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62DF4" w14:textId="7631DBC6" w:rsidR="00F23243" w:rsidRPr="00755BC0" w:rsidRDefault="00AF5EF6" w:rsidP="008C6A9C">
      <w:pPr>
        <w:pStyle w:val="Heading1"/>
        <w:numPr>
          <w:ilvl w:val="0"/>
          <w:numId w:val="0"/>
        </w:numPr>
        <w:spacing w:line="257" w:lineRule="auto"/>
        <w:rPr>
          <w:lang w:val="fr-FR"/>
        </w:rPr>
      </w:pPr>
      <w:bookmarkStart w:id="0" w:name="_Toc156316291"/>
      <w:bookmarkStart w:id="1" w:name="_Toc156316290"/>
      <w:bookmarkStart w:id="2" w:name="_Ref157524002"/>
      <w:bookmarkStart w:id="3" w:name="_Ref157524003"/>
      <w:bookmarkStart w:id="4" w:name="_Toc157762055"/>
      <w:bookmarkEnd w:id="0"/>
      <w:r w:rsidRPr="00755BC0">
        <w:rPr>
          <w:lang w:val="fr-FR"/>
        </w:rPr>
        <w:t>E</w:t>
      </w:r>
      <w:bookmarkStart w:id="5" w:name="_Ref157523989"/>
      <w:bookmarkEnd w:id="5"/>
      <w:r w:rsidRPr="00755BC0">
        <w:rPr>
          <w:lang w:val="fr-FR"/>
        </w:rPr>
        <w:t xml:space="preserve">uropean </w:t>
      </w:r>
      <w:r w:rsidR="00AA4B8D" w:rsidRPr="00755BC0">
        <w:rPr>
          <w:lang w:val="fr-FR"/>
        </w:rPr>
        <w:t xml:space="preserve">Maritime Transport Environmental Report </w:t>
      </w:r>
      <w:r w:rsidR="009946EA" w:rsidRPr="00755BC0">
        <w:rPr>
          <w:lang w:val="fr-FR"/>
        </w:rPr>
        <w:t xml:space="preserve">- </w:t>
      </w:r>
      <w:r w:rsidR="00394BD0" w:rsidRPr="00755BC0">
        <w:rPr>
          <w:lang w:val="fr-FR"/>
        </w:rPr>
        <w:t>2024</w:t>
      </w:r>
      <w:bookmarkEnd w:id="1"/>
      <w:bookmarkEnd w:id="2"/>
      <w:bookmarkEnd w:id="3"/>
      <w:bookmarkEnd w:id="4"/>
    </w:p>
    <w:p w14:paraId="2DDDDFBB" w14:textId="77777777" w:rsidR="005627E0" w:rsidRPr="00755BC0" w:rsidRDefault="005627E0" w:rsidP="008C6A9C">
      <w:pPr>
        <w:pStyle w:val="Title"/>
        <w:spacing w:line="257" w:lineRule="auto"/>
        <w:jc w:val="left"/>
        <w:rPr>
          <w:sz w:val="48"/>
          <w:lang w:val="fr-FR"/>
        </w:rPr>
      </w:pPr>
    </w:p>
    <w:p w14:paraId="37BBC83B" w14:textId="77777777" w:rsidR="005627E0" w:rsidRPr="00755BC0" w:rsidRDefault="005627E0" w:rsidP="008C6A9C">
      <w:pPr>
        <w:spacing w:line="257" w:lineRule="auto"/>
        <w:jc w:val="left"/>
        <w:rPr>
          <w:rFonts w:cstheme="minorHAnsi"/>
          <w:lang w:val="fr-FR" w:eastAsia="da-DK"/>
        </w:rPr>
      </w:pPr>
    </w:p>
    <w:p w14:paraId="39FD4172" w14:textId="77777777" w:rsidR="005627E0" w:rsidRPr="00755BC0" w:rsidRDefault="005627E0" w:rsidP="008C6A9C">
      <w:pPr>
        <w:spacing w:line="257" w:lineRule="auto"/>
        <w:jc w:val="left"/>
        <w:rPr>
          <w:rFonts w:cstheme="minorHAnsi"/>
          <w:lang w:val="fr-FR" w:eastAsia="da-DK"/>
        </w:rPr>
      </w:pPr>
    </w:p>
    <w:p w14:paraId="43C48D3A" w14:textId="77777777" w:rsidR="005627E0" w:rsidRPr="00755BC0" w:rsidRDefault="005627E0" w:rsidP="008C6A9C">
      <w:pPr>
        <w:spacing w:line="257" w:lineRule="auto"/>
        <w:jc w:val="left"/>
        <w:rPr>
          <w:rFonts w:cstheme="minorHAnsi"/>
          <w:lang w:val="fr-FR" w:eastAsia="da-DK"/>
        </w:rPr>
      </w:pPr>
    </w:p>
    <w:p w14:paraId="666AC99A" w14:textId="77777777" w:rsidR="005627E0" w:rsidRPr="00755BC0" w:rsidRDefault="005627E0" w:rsidP="008C6A9C">
      <w:pPr>
        <w:spacing w:line="257" w:lineRule="auto"/>
        <w:jc w:val="left"/>
        <w:rPr>
          <w:rFonts w:cstheme="minorHAnsi"/>
          <w:lang w:val="fr-FR" w:eastAsia="da-DK"/>
        </w:rPr>
      </w:pPr>
    </w:p>
    <w:p w14:paraId="29C5097D" w14:textId="77777777" w:rsidR="0084704F" w:rsidRPr="00755BC0" w:rsidRDefault="0084704F" w:rsidP="008C6A9C">
      <w:pPr>
        <w:spacing w:line="257" w:lineRule="auto"/>
        <w:jc w:val="left"/>
        <w:rPr>
          <w:rFonts w:cstheme="minorHAnsi"/>
          <w:lang w:val="fr-FR"/>
        </w:rPr>
      </w:pPr>
    </w:p>
    <w:p w14:paraId="0709D382" w14:textId="77777777" w:rsidR="005627E0" w:rsidRPr="00755BC0" w:rsidRDefault="005627E0" w:rsidP="008C6A9C">
      <w:pPr>
        <w:spacing w:line="257" w:lineRule="auto"/>
        <w:jc w:val="left"/>
        <w:rPr>
          <w:rFonts w:cstheme="minorHAnsi"/>
          <w:lang w:val="fr-FR"/>
        </w:rPr>
      </w:pPr>
    </w:p>
    <w:p w14:paraId="1F03E690" w14:textId="0CDDC58C" w:rsidR="006D7CBE" w:rsidRPr="00C66C24" w:rsidRDefault="006D7CBE" w:rsidP="008C6A9C">
      <w:pPr>
        <w:pStyle w:val="Subtitle"/>
        <w:spacing w:line="257" w:lineRule="auto"/>
        <w:jc w:val="left"/>
        <w:rPr>
          <w:rStyle w:val="SubtleReference"/>
          <w:rFonts w:asciiTheme="minorHAnsi" w:hAnsiTheme="minorHAnsi" w:cstheme="minorHAnsi"/>
          <w:sz w:val="28"/>
        </w:rPr>
      </w:pPr>
      <w:r w:rsidRPr="00C66C24">
        <w:rPr>
          <w:rStyle w:val="SubtleReference"/>
          <w:rFonts w:asciiTheme="minorHAnsi" w:hAnsiTheme="minorHAnsi" w:cstheme="minorHAnsi"/>
          <w:sz w:val="28"/>
        </w:rPr>
        <w:t xml:space="preserve">Version: </w:t>
      </w:r>
      <w:bookmarkStart w:id="6" w:name="Text3"/>
      <w:r w:rsidR="005001CD" w:rsidRPr="00C66C24">
        <w:rPr>
          <w:rStyle w:val="SubtleReference"/>
          <w:rFonts w:asciiTheme="minorHAnsi" w:hAnsiTheme="minorHAnsi" w:cstheme="minorHAnsi"/>
          <w:sz w:val="28"/>
        </w:rPr>
        <w:fldChar w:fldCharType="begin">
          <w:ffData>
            <w:name w:val="Text3"/>
            <w:enabled/>
            <w:calcOnExit w:val="0"/>
            <w:textInput>
              <w:default w:val="version #"/>
            </w:textInput>
          </w:ffData>
        </w:fldChar>
      </w:r>
      <w:r w:rsidRPr="00C66C24">
        <w:rPr>
          <w:rStyle w:val="SubtleReference"/>
          <w:rFonts w:asciiTheme="minorHAnsi" w:hAnsiTheme="minorHAnsi" w:cstheme="minorHAnsi"/>
          <w:sz w:val="28"/>
        </w:rPr>
        <w:instrText xml:space="preserve"> FORMTEXT </w:instrText>
      </w:r>
      <w:r w:rsidR="005001CD" w:rsidRPr="00C66C24">
        <w:rPr>
          <w:rStyle w:val="SubtleReference"/>
          <w:rFonts w:asciiTheme="minorHAnsi" w:hAnsiTheme="minorHAnsi" w:cstheme="minorHAnsi"/>
          <w:sz w:val="28"/>
        </w:rPr>
      </w:r>
      <w:r w:rsidR="005001CD" w:rsidRPr="00C66C24">
        <w:rPr>
          <w:rStyle w:val="SubtleReference"/>
          <w:rFonts w:asciiTheme="minorHAnsi" w:hAnsiTheme="minorHAnsi" w:cstheme="minorHAnsi"/>
          <w:sz w:val="28"/>
        </w:rPr>
        <w:fldChar w:fldCharType="separate"/>
      </w:r>
      <w:r w:rsidRPr="00C66C24">
        <w:rPr>
          <w:rStyle w:val="SubtleReference"/>
          <w:rFonts w:asciiTheme="minorHAnsi" w:hAnsiTheme="minorHAnsi" w:cstheme="minorHAnsi"/>
          <w:sz w:val="28"/>
        </w:rPr>
        <w:t>version #</w:t>
      </w:r>
      <w:r w:rsidR="005001CD" w:rsidRPr="00C66C24">
        <w:rPr>
          <w:rStyle w:val="SubtleReference"/>
          <w:rFonts w:asciiTheme="minorHAnsi" w:hAnsiTheme="minorHAnsi" w:cstheme="minorHAnsi"/>
          <w:sz w:val="28"/>
        </w:rPr>
        <w:fldChar w:fldCharType="end"/>
      </w:r>
      <w:bookmarkEnd w:id="6"/>
    </w:p>
    <w:p w14:paraId="73B0EEF6" w14:textId="77777777" w:rsidR="006D7CBE" w:rsidRPr="00C66C24" w:rsidRDefault="006D7CBE" w:rsidP="008C6A9C">
      <w:pPr>
        <w:pStyle w:val="Subtitle"/>
        <w:spacing w:line="257" w:lineRule="auto"/>
        <w:jc w:val="left"/>
        <w:rPr>
          <w:rStyle w:val="SubtleReference"/>
          <w:rFonts w:asciiTheme="minorHAnsi" w:hAnsiTheme="minorHAnsi" w:cstheme="minorHAnsi"/>
          <w:sz w:val="28"/>
        </w:rPr>
      </w:pPr>
      <w:r w:rsidRPr="00C66C24">
        <w:rPr>
          <w:rStyle w:val="SubtleReference"/>
          <w:rFonts w:asciiTheme="minorHAnsi" w:hAnsiTheme="minorHAnsi" w:cstheme="minorHAnsi"/>
          <w:sz w:val="28"/>
        </w:rPr>
        <w:t xml:space="preserve">Date: </w:t>
      </w:r>
      <w:r w:rsidR="005001CD" w:rsidRPr="00C66C24">
        <w:rPr>
          <w:rStyle w:val="SubtleReference"/>
          <w:rFonts w:asciiTheme="minorHAnsi" w:hAnsiTheme="minorHAnsi" w:cstheme="minorHAnsi"/>
          <w:sz w:val="28"/>
        </w:rPr>
        <w:fldChar w:fldCharType="begin">
          <w:ffData>
            <w:name w:val="Text4"/>
            <w:enabled/>
            <w:calcOnExit w:val="0"/>
            <w:textInput/>
          </w:ffData>
        </w:fldChar>
      </w:r>
      <w:bookmarkStart w:id="7" w:name="Text4"/>
      <w:r w:rsidRPr="00C66C24">
        <w:rPr>
          <w:rStyle w:val="SubtleReference"/>
          <w:rFonts w:asciiTheme="minorHAnsi" w:hAnsiTheme="minorHAnsi" w:cstheme="minorHAnsi"/>
          <w:sz w:val="28"/>
        </w:rPr>
        <w:instrText xml:space="preserve"> FORMTEXT </w:instrText>
      </w:r>
      <w:r w:rsidR="005001CD" w:rsidRPr="00C66C24">
        <w:rPr>
          <w:rStyle w:val="SubtleReference"/>
          <w:rFonts w:asciiTheme="minorHAnsi" w:hAnsiTheme="minorHAnsi" w:cstheme="minorHAnsi"/>
          <w:sz w:val="28"/>
        </w:rPr>
      </w:r>
      <w:r w:rsidR="005001CD" w:rsidRPr="00C66C24">
        <w:rPr>
          <w:rStyle w:val="SubtleReference"/>
          <w:rFonts w:asciiTheme="minorHAnsi" w:hAnsiTheme="minorHAnsi" w:cstheme="minorHAnsi"/>
          <w:sz w:val="28"/>
        </w:rPr>
        <w:fldChar w:fldCharType="separate"/>
      </w:r>
      <w:r w:rsidRPr="00C66C24">
        <w:rPr>
          <w:rStyle w:val="SubtleReference"/>
          <w:rFonts w:asciiTheme="minorHAnsi" w:hAnsiTheme="minorHAnsi" w:cstheme="minorHAnsi"/>
          <w:sz w:val="28"/>
        </w:rPr>
        <w:t> </w:t>
      </w:r>
      <w:r w:rsidRPr="00C66C24">
        <w:rPr>
          <w:rStyle w:val="SubtleReference"/>
          <w:rFonts w:asciiTheme="minorHAnsi" w:hAnsiTheme="minorHAnsi" w:cstheme="minorHAnsi"/>
          <w:sz w:val="28"/>
        </w:rPr>
        <w:t> </w:t>
      </w:r>
      <w:r w:rsidRPr="00C66C24">
        <w:rPr>
          <w:rStyle w:val="SubtleReference"/>
          <w:rFonts w:asciiTheme="minorHAnsi" w:hAnsiTheme="minorHAnsi" w:cstheme="minorHAnsi"/>
          <w:sz w:val="28"/>
        </w:rPr>
        <w:t> </w:t>
      </w:r>
      <w:r w:rsidRPr="00C66C24">
        <w:rPr>
          <w:rStyle w:val="SubtleReference"/>
          <w:rFonts w:asciiTheme="minorHAnsi" w:hAnsiTheme="minorHAnsi" w:cstheme="minorHAnsi"/>
          <w:sz w:val="28"/>
        </w:rPr>
        <w:t> </w:t>
      </w:r>
      <w:r w:rsidRPr="00C66C24">
        <w:rPr>
          <w:rStyle w:val="SubtleReference"/>
          <w:rFonts w:asciiTheme="minorHAnsi" w:hAnsiTheme="minorHAnsi" w:cstheme="minorHAnsi"/>
          <w:sz w:val="28"/>
        </w:rPr>
        <w:t> </w:t>
      </w:r>
      <w:r w:rsidR="005001CD" w:rsidRPr="00C66C24">
        <w:rPr>
          <w:rStyle w:val="SubtleReference"/>
          <w:rFonts w:asciiTheme="minorHAnsi" w:hAnsiTheme="minorHAnsi" w:cstheme="minorHAnsi"/>
          <w:sz w:val="28"/>
        </w:rPr>
        <w:fldChar w:fldCharType="end"/>
      </w:r>
      <w:bookmarkEnd w:id="7"/>
    </w:p>
    <w:p w14:paraId="579E9E60" w14:textId="77777777" w:rsidR="006D7CBE" w:rsidRPr="00C66C24" w:rsidRDefault="006D7CBE" w:rsidP="008C6A9C">
      <w:pPr>
        <w:pStyle w:val="Subtitle"/>
        <w:spacing w:line="257" w:lineRule="auto"/>
        <w:jc w:val="left"/>
        <w:rPr>
          <w:rStyle w:val="SubtleReference"/>
          <w:rFonts w:asciiTheme="minorHAnsi" w:hAnsiTheme="minorHAnsi" w:cstheme="minorHAnsi"/>
          <w:sz w:val="28"/>
        </w:rPr>
      </w:pPr>
    </w:p>
    <w:p w14:paraId="7B2EA9FB" w14:textId="77777777" w:rsidR="006D7CBE" w:rsidRPr="00C66C24" w:rsidRDefault="006D7CBE" w:rsidP="008C6A9C">
      <w:pPr>
        <w:pStyle w:val="Subtitle"/>
        <w:spacing w:line="257" w:lineRule="auto"/>
        <w:jc w:val="left"/>
        <w:rPr>
          <w:rStyle w:val="SubtleReference"/>
          <w:rFonts w:asciiTheme="minorHAnsi" w:hAnsiTheme="minorHAnsi" w:cstheme="minorHAnsi"/>
          <w:sz w:val="28"/>
        </w:rPr>
      </w:pPr>
    </w:p>
    <w:p w14:paraId="483BEB9C" w14:textId="77777777" w:rsidR="006D7CBE" w:rsidRPr="00C66C24" w:rsidRDefault="006D7CBE" w:rsidP="008C6A9C">
      <w:pPr>
        <w:pStyle w:val="Subtitle"/>
        <w:spacing w:line="257" w:lineRule="auto"/>
        <w:jc w:val="left"/>
        <w:rPr>
          <w:rStyle w:val="SubtleReference"/>
          <w:rFonts w:asciiTheme="minorHAnsi" w:hAnsiTheme="minorHAnsi" w:cstheme="minorHAnsi"/>
          <w:sz w:val="28"/>
        </w:rPr>
      </w:pPr>
      <w:r w:rsidRPr="00C66C24">
        <w:rPr>
          <w:rStyle w:val="SubtleReference"/>
          <w:rFonts w:asciiTheme="minorHAnsi" w:hAnsiTheme="minorHAnsi" w:cstheme="minorHAnsi"/>
          <w:sz w:val="28"/>
        </w:rPr>
        <w:t xml:space="preserve"> </w:t>
      </w:r>
    </w:p>
    <w:p w14:paraId="3DCA8907" w14:textId="77777777" w:rsidR="006D7CBE" w:rsidRPr="00C66C24" w:rsidRDefault="006D7CBE" w:rsidP="008C6A9C">
      <w:pPr>
        <w:pStyle w:val="Subtitle"/>
        <w:spacing w:line="257" w:lineRule="auto"/>
        <w:jc w:val="left"/>
        <w:rPr>
          <w:rStyle w:val="SubtleReference"/>
          <w:rFonts w:asciiTheme="minorHAnsi" w:hAnsiTheme="minorHAnsi"/>
          <w:sz w:val="28"/>
        </w:rPr>
      </w:pPr>
      <w:r w:rsidRPr="00C66C24">
        <w:rPr>
          <w:rStyle w:val="SubtleReference"/>
          <w:rFonts w:asciiTheme="minorHAnsi" w:hAnsiTheme="minorHAnsi"/>
          <w:sz w:val="28"/>
        </w:rPr>
        <w:t xml:space="preserve">Author: </w:t>
      </w:r>
      <w:r w:rsidR="005001CD" w:rsidRPr="00C66C24">
        <w:rPr>
          <w:rStyle w:val="SubtleReference"/>
          <w:rFonts w:asciiTheme="minorHAnsi" w:hAnsiTheme="minorHAnsi" w:cstheme="minorHAnsi"/>
          <w:sz w:val="28"/>
        </w:rPr>
        <w:fldChar w:fldCharType="begin">
          <w:ffData>
            <w:name w:val="Text6"/>
            <w:enabled/>
            <w:calcOnExit w:val="0"/>
            <w:textInput/>
          </w:ffData>
        </w:fldChar>
      </w:r>
      <w:bookmarkStart w:id="8" w:name="Text6"/>
      <w:r w:rsidRPr="00C66C24">
        <w:rPr>
          <w:rStyle w:val="SubtleReference"/>
          <w:rFonts w:asciiTheme="minorHAnsi" w:hAnsiTheme="minorHAnsi"/>
          <w:sz w:val="28"/>
        </w:rPr>
        <w:instrText xml:space="preserve"> FORMTEXT </w:instrText>
      </w:r>
      <w:r w:rsidR="005001CD" w:rsidRPr="00C66C24">
        <w:rPr>
          <w:rStyle w:val="SubtleReference"/>
          <w:rFonts w:asciiTheme="minorHAnsi" w:hAnsiTheme="minorHAnsi" w:cstheme="minorHAnsi"/>
          <w:sz w:val="28"/>
        </w:rPr>
      </w:r>
      <w:r w:rsidR="005001CD" w:rsidRPr="00C66C24">
        <w:rPr>
          <w:rStyle w:val="SubtleReference"/>
          <w:rFonts w:asciiTheme="minorHAnsi" w:hAnsiTheme="minorHAnsi" w:cstheme="minorHAnsi"/>
          <w:sz w:val="28"/>
        </w:rPr>
        <w:fldChar w:fldCharType="separate"/>
      </w:r>
      <w:r w:rsidRPr="00C66C24">
        <w:rPr>
          <w:rStyle w:val="SubtleReference"/>
          <w:rFonts w:asciiTheme="minorHAnsi" w:hAnsiTheme="minorHAnsi" w:cstheme="minorHAnsi"/>
          <w:sz w:val="28"/>
        </w:rPr>
        <w:t> </w:t>
      </w:r>
      <w:r w:rsidRPr="00C66C24">
        <w:rPr>
          <w:rStyle w:val="SubtleReference"/>
          <w:rFonts w:asciiTheme="minorHAnsi" w:hAnsiTheme="minorHAnsi" w:cstheme="minorHAnsi"/>
          <w:sz w:val="28"/>
        </w:rPr>
        <w:t> </w:t>
      </w:r>
      <w:r w:rsidRPr="00C66C24">
        <w:rPr>
          <w:rStyle w:val="SubtleReference"/>
          <w:rFonts w:asciiTheme="minorHAnsi" w:hAnsiTheme="minorHAnsi" w:cstheme="minorHAnsi"/>
          <w:sz w:val="28"/>
        </w:rPr>
        <w:t> </w:t>
      </w:r>
      <w:r w:rsidRPr="00C66C24">
        <w:rPr>
          <w:rStyle w:val="SubtleReference"/>
          <w:rFonts w:asciiTheme="minorHAnsi" w:hAnsiTheme="minorHAnsi" w:cstheme="minorHAnsi"/>
          <w:sz w:val="28"/>
        </w:rPr>
        <w:t> </w:t>
      </w:r>
      <w:r w:rsidRPr="00C66C24">
        <w:rPr>
          <w:rStyle w:val="SubtleReference"/>
          <w:rFonts w:asciiTheme="minorHAnsi" w:hAnsiTheme="minorHAnsi" w:cstheme="minorHAnsi"/>
          <w:sz w:val="28"/>
        </w:rPr>
        <w:t> </w:t>
      </w:r>
      <w:r w:rsidR="005001CD" w:rsidRPr="00C66C24">
        <w:rPr>
          <w:rStyle w:val="SubtleReference"/>
          <w:rFonts w:asciiTheme="minorHAnsi" w:hAnsiTheme="minorHAnsi" w:cstheme="minorHAnsi"/>
          <w:sz w:val="28"/>
        </w:rPr>
        <w:fldChar w:fldCharType="end"/>
      </w:r>
      <w:bookmarkEnd w:id="8"/>
    </w:p>
    <w:p w14:paraId="1DF7A4B7" w14:textId="359C1CF4" w:rsidR="006D7CBE" w:rsidRPr="00C66C24" w:rsidRDefault="006D7CBE" w:rsidP="008C6A9C">
      <w:pPr>
        <w:pStyle w:val="Subtitle"/>
        <w:spacing w:line="257" w:lineRule="auto"/>
        <w:jc w:val="left"/>
        <w:rPr>
          <w:rStyle w:val="SubtleReference"/>
          <w:rFonts w:asciiTheme="minorHAnsi" w:hAnsiTheme="minorHAnsi"/>
          <w:sz w:val="28"/>
        </w:rPr>
      </w:pPr>
      <w:r w:rsidRPr="00C66C24">
        <w:rPr>
          <w:rStyle w:val="SubtleReference"/>
          <w:rFonts w:asciiTheme="minorHAnsi" w:hAnsiTheme="minorHAnsi"/>
          <w:sz w:val="28"/>
        </w:rPr>
        <w:t>From:</w:t>
      </w:r>
      <w:bookmarkStart w:id="9" w:name="Text7"/>
      <w:r w:rsidRPr="00C66C24">
        <w:rPr>
          <w:rStyle w:val="SubtleReference"/>
          <w:rFonts w:asciiTheme="minorHAnsi" w:hAnsiTheme="minorHAnsi"/>
          <w:sz w:val="28"/>
        </w:rPr>
        <w:t xml:space="preserve"> </w:t>
      </w:r>
      <w:bookmarkEnd w:id="9"/>
    </w:p>
    <w:p w14:paraId="4076CBC9" w14:textId="77777777" w:rsidR="006D7CBE" w:rsidRPr="00C66C24" w:rsidRDefault="006D7CBE" w:rsidP="008C6A9C">
      <w:pPr>
        <w:pStyle w:val="Subtitle"/>
        <w:spacing w:line="257" w:lineRule="auto"/>
        <w:jc w:val="left"/>
        <w:rPr>
          <w:rStyle w:val="SubtleReference"/>
          <w:rFonts w:asciiTheme="minorHAnsi" w:hAnsiTheme="minorHAnsi"/>
          <w:sz w:val="28"/>
        </w:rPr>
      </w:pPr>
    </w:p>
    <w:p w14:paraId="2874A68D" w14:textId="2995D6F9" w:rsidR="006D7CBE" w:rsidRPr="00C66C24" w:rsidRDefault="006D7CBE" w:rsidP="008C6A9C">
      <w:pPr>
        <w:pStyle w:val="Subtitle"/>
        <w:spacing w:line="257" w:lineRule="auto"/>
        <w:jc w:val="left"/>
        <w:rPr>
          <w:rStyle w:val="SubtleReference"/>
          <w:rFonts w:asciiTheme="minorHAnsi" w:hAnsiTheme="minorHAnsi"/>
          <w:sz w:val="28"/>
        </w:rPr>
      </w:pPr>
      <w:r w:rsidRPr="00C66C24">
        <w:rPr>
          <w:rStyle w:val="SubtleReference"/>
          <w:rFonts w:asciiTheme="minorHAnsi" w:hAnsiTheme="minorHAnsi"/>
          <w:sz w:val="28"/>
        </w:rPr>
        <w:t xml:space="preserve">Contributors: </w:t>
      </w:r>
    </w:p>
    <w:p w14:paraId="1E264278" w14:textId="7464D57C" w:rsidR="006D7CBE" w:rsidRPr="00C66C24" w:rsidRDefault="006D7CBE" w:rsidP="008C6A9C">
      <w:pPr>
        <w:pStyle w:val="Subtitle"/>
        <w:spacing w:line="257" w:lineRule="auto"/>
        <w:jc w:val="left"/>
        <w:rPr>
          <w:rStyle w:val="SubtleReference"/>
          <w:rFonts w:asciiTheme="minorHAnsi" w:hAnsiTheme="minorHAnsi" w:cstheme="minorHAnsi"/>
          <w:sz w:val="28"/>
        </w:rPr>
      </w:pPr>
      <w:r w:rsidRPr="00C66C24">
        <w:rPr>
          <w:rStyle w:val="SubtleReference"/>
          <w:rFonts w:asciiTheme="minorHAnsi" w:hAnsiTheme="minorHAnsi" w:cstheme="minorHAnsi"/>
          <w:sz w:val="28"/>
        </w:rPr>
        <w:t xml:space="preserve">From: </w:t>
      </w:r>
    </w:p>
    <w:p w14:paraId="7B2326AB" w14:textId="378DA982" w:rsidR="00B80D4A" w:rsidRPr="00C66C24" w:rsidRDefault="00B80D4A" w:rsidP="008C6A9C">
      <w:pPr>
        <w:spacing w:line="257" w:lineRule="auto"/>
        <w:rPr>
          <w:lang w:eastAsia="da-DK"/>
        </w:rPr>
      </w:pPr>
    </w:p>
    <w:p w14:paraId="53095982" w14:textId="1226BDB9" w:rsidR="00B80D4A" w:rsidRPr="00C66C24" w:rsidRDefault="00B80D4A" w:rsidP="008C6A9C">
      <w:pPr>
        <w:pStyle w:val="TableTitle"/>
        <w:spacing w:line="257" w:lineRule="auto"/>
        <w:jc w:val="left"/>
        <w:rPr>
          <w:rFonts w:cstheme="minorHAnsi"/>
          <w:sz w:val="28"/>
        </w:rPr>
      </w:pPr>
      <w:r w:rsidRPr="00C66C24">
        <w:rPr>
          <w:rFonts w:cstheme="minorHAnsi"/>
          <w:sz w:val="28"/>
        </w:rPr>
        <w:t>Document History (optional)</w:t>
      </w:r>
    </w:p>
    <w:p w14:paraId="28BBA007" w14:textId="77777777" w:rsidR="00B80D4A" w:rsidRPr="00C66C24" w:rsidRDefault="00B80D4A" w:rsidP="008C6A9C">
      <w:pPr>
        <w:pStyle w:val="TableTitle"/>
        <w:spacing w:line="257" w:lineRule="auto"/>
        <w:jc w:val="left"/>
        <w:rPr>
          <w:rFonts w:cstheme="minorHAnsi"/>
          <w:sz w:val="28"/>
        </w:rPr>
      </w:pPr>
    </w:p>
    <w:tbl>
      <w:tblPr>
        <w:tblStyle w:val="TableGrid"/>
        <w:tblW w:w="0" w:type="auto"/>
        <w:tblLook w:val="04A0" w:firstRow="1" w:lastRow="0" w:firstColumn="1" w:lastColumn="0" w:noHBand="0" w:noVBand="1"/>
      </w:tblPr>
      <w:tblGrid>
        <w:gridCol w:w="1696"/>
        <w:gridCol w:w="1560"/>
        <w:gridCol w:w="2693"/>
        <w:gridCol w:w="2545"/>
      </w:tblGrid>
      <w:tr w:rsidR="00B80D4A" w:rsidRPr="00C66C24" w14:paraId="6703DD5A" w14:textId="77777777" w:rsidTr="00292923">
        <w:tc>
          <w:tcPr>
            <w:tcW w:w="1696" w:type="dxa"/>
          </w:tcPr>
          <w:p w14:paraId="40F6F12D" w14:textId="77777777" w:rsidR="00B80D4A" w:rsidRPr="00C66C24" w:rsidRDefault="00B80D4A" w:rsidP="008C6A9C">
            <w:pPr>
              <w:pStyle w:val="NormalBold"/>
              <w:spacing w:line="257" w:lineRule="auto"/>
              <w:jc w:val="left"/>
              <w:rPr>
                <w:rFonts w:cstheme="minorHAnsi"/>
                <w:sz w:val="24"/>
                <w:lang w:val="en-GB"/>
              </w:rPr>
            </w:pPr>
            <w:r w:rsidRPr="00C66C24">
              <w:rPr>
                <w:rFonts w:cstheme="minorHAnsi"/>
                <w:sz w:val="24"/>
                <w:lang w:val="en-GB"/>
              </w:rPr>
              <w:t xml:space="preserve">Version </w:t>
            </w:r>
          </w:p>
        </w:tc>
        <w:tc>
          <w:tcPr>
            <w:tcW w:w="1560" w:type="dxa"/>
          </w:tcPr>
          <w:p w14:paraId="5C8F33DF" w14:textId="77777777" w:rsidR="00B80D4A" w:rsidRPr="00C66C24" w:rsidRDefault="00B80D4A" w:rsidP="008C6A9C">
            <w:pPr>
              <w:pStyle w:val="NormalBold"/>
              <w:spacing w:line="257" w:lineRule="auto"/>
              <w:jc w:val="left"/>
              <w:rPr>
                <w:rFonts w:cstheme="minorHAnsi"/>
                <w:sz w:val="24"/>
                <w:lang w:val="en-GB"/>
              </w:rPr>
            </w:pPr>
            <w:r w:rsidRPr="00C66C24">
              <w:rPr>
                <w:rFonts w:cstheme="minorHAnsi"/>
                <w:sz w:val="24"/>
                <w:lang w:val="en-GB"/>
              </w:rPr>
              <w:t>Date</w:t>
            </w:r>
          </w:p>
        </w:tc>
        <w:tc>
          <w:tcPr>
            <w:tcW w:w="2693" w:type="dxa"/>
          </w:tcPr>
          <w:p w14:paraId="7CC5DAC2" w14:textId="77777777" w:rsidR="00B80D4A" w:rsidRPr="00C66C24" w:rsidRDefault="00B80D4A" w:rsidP="008C6A9C">
            <w:pPr>
              <w:pStyle w:val="NormalBold"/>
              <w:spacing w:line="257" w:lineRule="auto"/>
              <w:jc w:val="left"/>
              <w:rPr>
                <w:rFonts w:cstheme="minorHAnsi"/>
                <w:sz w:val="24"/>
                <w:lang w:val="en-GB"/>
              </w:rPr>
            </w:pPr>
            <w:r w:rsidRPr="00C66C24">
              <w:rPr>
                <w:rFonts w:cstheme="minorHAnsi"/>
                <w:sz w:val="24"/>
                <w:lang w:val="en-GB"/>
              </w:rPr>
              <w:t>Author(s)</w:t>
            </w:r>
          </w:p>
        </w:tc>
        <w:tc>
          <w:tcPr>
            <w:tcW w:w="2545" w:type="dxa"/>
          </w:tcPr>
          <w:p w14:paraId="4D664221" w14:textId="77777777" w:rsidR="00B80D4A" w:rsidRPr="00C66C24" w:rsidRDefault="00B80D4A" w:rsidP="008C6A9C">
            <w:pPr>
              <w:pStyle w:val="NormalBold"/>
              <w:spacing w:line="257" w:lineRule="auto"/>
              <w:jc w:val="left"/>
              <w:rPr>
                <w:rFonts w:cstheme="minorHAnsi"/>
                <w:sz w:val="24"/>
                <w:lang w:val="en-GB"/>
              </w:rPr>
            </w:pPr>
            <w:r w:rsidRPr="00C66C24">
              <w:rPr>
                <w:rFonts w:cstheme="minorHAnsi"/>
                <w:sz w:val="24"/>
                <w:lang w:val="en-GB"/>
              </w:rPr>
              <w:t>Remarks</w:t>
            </w:r>
          </w:p>
        </w:tc>
      </w:tr>
      <w:tr w:rsidR="00B80D4A" w:rsidRPr="00C66C24" w14:paraId="18A7E948" w14:textId="77777777" w:rsidTr="00292923">
        <w:tc>
          <w:tcPr>
            <w:tcW w:w="1696" w:type="dxa"/>
          </w:tcPr>
          <w:p w14:paraId="1A4FBF15" w14:textId="75AD0F1F" w:rsidR="00B80D4A" w:rsidRPr="00C66C24" w:rsidRDefault="006776DF" w:rsidP="008C6A9C">
            <w:pPr>
              <w:spacing w:line="257" w:lineRule="auto"/>
              <w:jc w:val="left"/>
              <w:rPr>
                <w:rFonts w:cstheme="minorHAnsi"/>
              </w:rPr>
            </w:pPr>
            <w:r w:rsidRPr="00C66C24">
              <w:rPr>
                <w:rFonts w:cstheme="minorHAnsi"/>
              </w:rPr>
              <w:t>0.1</w:t>
            </w:r>
          </w:p>
        </w:tc>
        <w:tc>
          <w:tcPr>
            <w:tcW w:w="1560" w:type="dxa"/>
          </w:tcPr>
          <w:p w14:paraId="00624600" w14:textId="454C9953" w:rsidR="00B80D4A" w:rsidRPr="00C66C24" w:rsidRDefault="006046A6" w:rsidP="008C6A9C">
            <w:pPr>
              <w:spacing w:line="257" w:lineRule="auto"/>
              <w:jc w:val="left"/>
              <w:rPr>
                <w:rFonts w:cstheme="minorHAnsi"/>
              </w:rPr>
            </w:pPr>
            <w:r w:rsidRPr="00C66C24">
              <w:rPr>
                <w:rFonts w:cstheme="minorHAnsi"/>
              </w:rPr>
              <w:t>01</w:t>
            </w:r>
            <w:r w:rsidR="0000018C" w:rsidRPr="00C66C24">
              <w:rPr>
                <w:rFonts w:cstheme="minorHAnsi"/>
              </w:rPr>
              <w:t>-02-2024</w:t>
            </w:r>
          </w:p>
        </w:tc>
        <w:tc>
          <w:tcPr>
            <w:tcW w:w="2693" w:type="dxa"/>
          </w:tcPr>
          <w:p w14:paraId="55241869" w14:textId="77777777" w:rsidR="00B80D4A" w:rsidRPr="00C66C24" w:rsidRDefault="00B80D4A" w:rsidP="008C6A9C">
            <w:pPr>
              <w:spacing w:line="257" w:lineRule="auto"/>
              <w:jc w:val="left"/>
              <w:rPr>
                <w:rFonts w:cstheme="minorHAnsi"/>
              </w:rPr>
            </w:pPr>
          </w:p>
        </w:tc>
        <w:tc>
          <w:tcPr>
            <w:tcW w:w="2545" w:type="dxa"/>
          </w:tcPr>
          <w:p w14:paraId="64C946A4" w14:textId="65DC556D" w:rsidR="00B80D4A" w:rsidRPr="00C66C24" w:rsidRDefault="006776DF" w:rsidP="008C6A9C">
            <w:pPr>
              <w:spacing w:line="257" w:lineRule="auto"/>
              <w:jc w:val="left"/>
              <w:rPr>
                <w:rFonts w:cstheme="minorHAnsi"/>
              </w:rPr>
            </w:pPr>
            <w:r w:rsidRPr="00C66C24">
              <w:rPr>
                <w:rFonts w:cstheme="minorHAnsi"/>
              </w:rPr>
              <w:t>Draft for Consulta</w:t>
            </w:r>
            <w:r w:rsidR="00292923" w:rsidRPr="00C66C24">
              <w:rPr>
                <w:rFonts w:cstheme="minorHAnsi"/>
              </w:rPr>
              <w:t>t</w:t>
            </w:r>
            <w:r w:rsidRPr="00C66C24">
              <w:rPr>
                <w:rFonts w:cstheme="minorHAnsi"/>
              </w:rPr>
              <w:t>ion</w:t>
            </w:r>
          </w:p>
        </w:tc>
      </w:tr>
      <w:tr w:rsidR="00B80D4A" w:rsidRPr="00C66C24" w14:paraId="7211D889" w14:textId="77777777" w:rsidTr="00292923">
        <w:tc>
          <w:tcPr>
            <w:tcW w:w="1696" w:type="dxa"/>
          </w:tcPr>
          <w:p w14:paraId="7CAD319D" w14:textId="77777777" w:rsidR="00B80D4A" w:rsidRPr="00C66C24" w:rsidRDefault="00B80D4A" w:rsidP="008C6A9C">
            <w:pPr>
              <w:spacing w:line="257" w:lineRule="auto"/>
              <w:jc w:val="left"/>
              <w:rPr>
                <w:rFonts w:cstheme="minorHAnsi"/>
              </w:rPr>
            </w:pPr>
          </w:p>
        </w:tc>
        <w:tc>
          <w:tcPr>
            <w:tcW w:w="1560" w:type="dxa"/>
          </w:tcPr>
          <w:p w14:paraId="1B5558A9" w14:textId="77777777" w:rsidR="00B80D4A" w:rsidRPr="00C66C24" w:rsidRDefault="00B80D4A" w:rsidP="008C6A9C">
            <w:pPr>
              <w:spacing w:line="257" w:lineRule="auto"/>
              <w:jc w:val="left"/>
              <w:rPr>
                <w:rFonts w:cstheme="minorHAnsi"/>
              </w:rPr>
            </w:pPr>
          </w:p>
        </w:tc>
        <w:tc>
          <w:tcPr>
            <w:tcW w:w="2693" w:type="dxa"/>
          </w:tcPr>
          <w:p w14:paraId="3437125A" w14:textId="77777777" w:rsidR="00B80D4A" w:rsidRPr="00C66C24" w:rsidRDefault="00B80D4A" w:rsidP="008C6A9C">
            <w:pPr>
              <w:spacing w:line="257" w:lineRule="auto"/>
              <w:jc w:val="left"/>
              <w:rPr>
                <w:rFonts w:cstheme="minorHAnsi"/>
              </w:rPr>
            </w:pPr>
          </w:p>
        </w:tc>
        <w:tc>
          <w:tcPr>
            <w:tcW w:w="2545" w:type="dxa"/>
          </w:tcPr>
          <w:p w14:paraId="3FC7E10F" w14:textId="77777777" w:rsidR="00B80D4A" w:rsidRPr="00C66C24" w:rsidRDefault="00B80D4A" w:rsidP="008C6A9C">
            <w:pPr>
              <w:spacing w:line="257" w:lineRule="auto"/>
              <w:jc w:val="left"/>
              <w:rPr>
                <w:rFonts w:cstheme="minorHAnsi"/>
              </w:rPr>
            </w:pPr>
          </w:p>
        </w:tc>
      </w:tr>
      <w:tr w:rsidR="00B80D4A" w:rsidRPr="00C66C24" w14:paraId="7D8586C7" w14:textId="77777777" w:rsidTr="00292923">
        <w:tc>
          <w:tcPr>
            <w:tcW w:w="1696" w:type="dxa"/>
          </w:tcPr>
          <w:p w14:paraId="31ACE2AD" w14:textId="77777777" w:rsidR="00B80D4A" w:rsidRPr="00C66C24" w:rsidRDefault="00B80D4A" w:rsidP="008C6A9C">
            <w:pPr>
              <w:spacing w:line="257" w:lineRule="auto"/>
              <w:jc w:val="left"/>
              <w:rPr>
                <w:rFonts w:cstheme="minorHAnsi"/>
              </w:rPr>
            </w:pPr>
          </w:p>
        </w:tc>
        <w:tc>
          <w:tcPr>
            <w:tcW w:w="1560" w:type="dxa"/>
          </w:tcPr>
          <w:p w14:paraId="5080D7B2" w14:textId="77777777" w:rsidR="00B80D4A" w:rsidRPr="00C66C24" w:rsidRDefault="00B80D4A" w:rsidP="008C6A9C">
            <w:pPr>
              <w:spacing w:line="257" w:lineRule="auto"/>
              <w:jc w:val="left"/>
              <w:rPr>
                <w:rFonts w:cstheme="minorHAnsi"/>
              </w:rPr>
            </w:pPr>
          </w:p>
        </w:tc>
        <w:tc>
          <w:tcPr>
            <w:tcW w:w="2693" w:type="dxa"/>
          </w:tcPr>
          <w:p w14:paraId="79DFA120" w14:textId="77777777" w:rsidR="00B80D4A" w:rsidRPr="00C66C24" w:rsidRDefault="00B80D4A" w:rsidP="008C6A9C">
            <w:pPr>
              <w:spacing w:line="257" w:lineRule="auto"/>
              <w:jc w:val="left"/>
              <w:rPr>
                <w:rFonts w:cstheme="minorHAnsi"/>
              </w:rPr>
            </w:pPr>
          </w:p>
        </w:tc>
        <w:tc>
          <w:tcPr>
            <w:tcW w:w="2545" w:type="dxa"/>
          </w:tcPr>
          <w:p w14:paraId="1335442F" w14:textId="77777777" w:rsidR="00B80D4A" w:rsidRPr="00C66C24" w:rsidRDefault="00B80D4A" w:rsidP="008C6A9C">
            <w:pPr>
              <w:spacing w:line="257" w:lineRule="auto"/>
              <w:jc w:val="left"/>
              <w:rPr>
                <w:rFonts w:cstheme="minorHAnsi"/>
              </w:rPr>
            </w:pPr>
          </w:p>
        </w:tc>
      </w:tr>
    </w:tbl>
    <w:p w14:paraId="669E457F" w14:textId="77777777" w:rsidR="00B80D4A" w:rsidRPr="00C66C24" w:rsidRDefault="00B80D4A" w:rsidP="008C6A9C">
      <w:pPr>
        <w:pStyle w:val="TableTitle"/>
        <w:spacing w:line="257" w:lineRule="auto"/>
        <w:jc w:val="left"/>
        <w:rPr>
          <w:rFonts w:cstheme="minorHAnsi"/>
          <w:sz w:val="28"/>
        </w:rPr>
      </w:pPr>
    </w:p>
    <w:p w14:paraId="50ACBE7C" w14:textId="77777777" w:rsidR="00B80D4A" w:rsidRPr="00C66C24" w:rsidRDefault="00B80D4A" w:rsidP="008C6A9C">
      <w:pPr>
        <w:spacing w:line="257" w:lineRule="auto"/>
        <w:rPr>
          <w:lang w:eastAsia="da-DK"/>
        </w:rPr>
      </w:pPr>
    </w:p>
    <w:p w14:paraId="0C886907" w14:textId="77777777" w:rsidR="00FC6404" w:rsidRPr="00C66C24" w:rsidRDefault="00FC6404" w:rsidP="008C6A9C">
      <w:pPr>
        <w:spacing w:line="257" w:lineRule="auto"/>
        <w:rPr>
          <w:lang w:eastAsia="da-DK"/>
        </w:rPr>
      </w:pPr>
    </w:p>
    <w:sdt>
      <w:sdtPr>
        <w:rPr>
          <w:rFonts w:cstheme="minorHAnsi"/>
          <w:b w:val="0"/>
          <w:color w:val="auto"/>
          <w:sz w:val="22"/>
        </w:rPr>
        <w:id w:val="1632669631"/>
        <w:docPartObj>
          <w:docPartGallery w:val="Table of Contents"/>
          <w:docPartUnique/>
        </w:docPartObj>
      </w:sdtPr>
      <w:sdtEndPr/>
      <w:sdtContent>
        <w:bookmarkStart w:id="10" w:name="_Toc157762056" w:displacedByCustomXml="prev"/>
        <w:p w14:paraId="418CF99E" w14:textId="77777777" w:rsidR="00E120F4" w:rsidRPr="00C66C24" w:rsidRDefault="007F22BD" w:rsidP="008C6A9C">
          <w:pPr>
            <w:pStyle w:val="TOCHeading"/>
            <w:spacing w:line="257" w:lineRule="auto"/>
            <w:ind w:left="0"/>
            <w:jc w:val="left"/>
            <w:rPr>
              <w:rFonts w:eastAsia="Times New Roman" w:cstheme="minorHAnsi"/>
              <w:sz w:val="28"/>
            </w:rPr>
          </w:pPr>
          <w:r w:rsidRPr="00C66C24">
            <w:rPr>
              <w:rFonts w:cstheme="minorHAnsi"/>
              <w:color w:val="auto"/>
              <w:sz w:val="22"/>
            </w:rPr>
            <w:br w:type="page"/>
          </w:r>
          <w:bookmarkStart w:id="11" w:name="_Toc474849496"/>
          <w:r w:rsidR="002D0D17" w:rsidRPr="00C66C24">
            <w:rPr>
              <w:rFonts w:cstheme="minorHAnsi"/>
              <w:sz w:val="28"/>
            </w:rPr>
            <w:t>Contents</w:t>
          </w:r>
          <w:bookmarkEnd w:id="10"/>
          <w:r w:rsidR="00891DE2" w:rsidRPr="00C66C24">
            <w:rPr>
              <w:rFonts w:cstheme="minorHAnsi"/>
              <w:sz w:val="28"/>
            </w:rPr>
            <w:t xml:space="preserve"> </w:t>
          </w:r>
          <w:bookmarkEnd w:id="11"/>
        </w:p>
        <w:p w14:paraId="0BDE80AB" w14:textId="5E6543D1" w:rsidR="006730A7" w:rsidRDefault="005001CD">
          <w:pPr>
            <w:pStyle w:val="TOC1"/>
            <w:rPr>
              <w:rFonts w:eastAsiaTheme="minorEastAsia" w:cstheme="minorBidi"/>
              <w:iCs w:val="0"/>
              <w:noProof/>
              <w:szCs w:val="22"/>
              <w:lang w:val="en-IE" w:eastAsia="en-IE"/>
            </w:rPr>
          </w:pPr>
          <w:r w:rsidRPr="00C66C24">
            <w:rPr>
              <w:rFonts w:cstheme="minorHAnsi"/>
            </w:rPr>
            <w:fldChar w:fldCharType="begin"/>
          </w:r>
          <w:r w:rsidR="00E120F4" w:rsidRPr="00C66C24">
            <w:rPr>
              <w:rFonts w:cstheme="minorHAnsi"/>
            </w:rPr>
            <w:instrText xml:space="preserve"> TOC \o "1-3" \h \z \u </w:instrText>
          </w:r>
          <w:r w:rsidRPr="00C66C24">
            <w:rPr>
              <w:rFonts w:cstheme="minorHAnsi"/>
            </w:rPr>
            <w:fldChar w:fldCharType="separate"/>
          </w:r>
          <w:hyperlink w:anchor="_Toc157762055" w:history="1">
            <w:r w:rsidR="006730A7" w:rsidRPr="009505B2">
              <w:rPr>
                <w:rStyle w:val="Hyperlink"/>
                <w:noProof/>
                <w:lang w:val="fr-FR"/>
              </w:rPr>
              <w:t>European Maritime Transport Environmental Report - 2024</w:t>
            </w:r>
            <w:r w:rsidR="006730A7">
              <w:rPr>
                <w:noProof/>
                <w:webHidden/>
              </w:rPr>
              <w:tab/>
            </w:r>
            <w:r w:rsidR="006730A7">
              <w:rPr>
                <w:noProof/>
                <w:webHidden/>
              </w:rPr>
              <w:fldChar w:fldCharType="begin"/>
            </w:r>
            <w:r w:rsidR="006730A7">
              <w:rPr>
                <w:noProof/>
                <w:webHidden/>
              </w:rPr>
              <w:instrText xml:space="preserve"> PAGEREF _Toc157762055 \h </w:instrText>
            </w:r>
            <w:r w:rsidR="006730A7">
              <w:rPr>
                <w:noProof/>
                <w:webHidden/>
              </w:rPr>
            </w:r>
            <w:r w:rsidR="006730A7">
              <w:rPr>
                <w:noProof/>
                <w:webHidden/>
              </w:rPr>
              <w:fldChar w:fldCharType="separate"/>
            </w:r>
            <w:r w:rsidR="006730A7">
              <w:rPr>
                <w:noProof/>
                <w:webHidden/>
              </w:rPr>
              <w:t>1</w:t>
            </w:r>
            <w:r w:rsidR="006730A7">
              <w:rPr>
                <w:noProof/>
                <w:webHidden/>
              </w:rPr>
              <w:fldChar w:fldCharType="end"/>
            </w:r>
          </w:hyperlink>
        </w:p>
        <w:p w14:paraId="71FAE6C7" w14:textId="608E3ACB" w:rsidR="006730A7" w:rsidRDefault="006730A7">
          <w:pPr>
            <w:pStyle w:val="TOC1"/>
            <w:rPr>
              <w:rFonts w:eastAsiaTheme="minorEastAsia" w:cstheme="minorBidi"/>
              <w:iCs w:val="0"/>
              <w:noProof/>
              <w:szCs w:val="22"/>
              <w:lang w:val="en-IE" w:eastAsia="en-IE"/>
            </w:rPr>
          </w:pPr>
          <w:hyperlink w:anchor="_Toc157762056" w:history="1">
            <w:r w:rsidRPr="009505B2">
              <w:rPr>
                <w:rStyle w:val="Hyperlink"/>
                <w:rFonts w:cstheme="minorHAnsi"/>
                <w:noProof/>
              </w:rPr>
              <w:t>Contents</w:t>
            </w:r>
            <w:r>
              <w:rPr>
                <w:noProof/>
                <w:webHidden/>
              </w:rPr>
              <w:tab/>
            </w:r>
            <w:r>
              <w:rPr>
                <w:noProof/>
                <w:webHidden/>
              </w:rPr>
              <w:fldChar w:fldCharType="begin"/>
            </w:r>
            <w:r>
              <w:rPr>
                <w:noProof/>
                <w:webHidden/>
              </w:rPr>
              <w:instrText xml:space="preserve"> PAGEREF _Toc157762056 \h </w:instrText>
            </w:r>
            <w:r>
              <w:rPr>
                <w:noProof/>
                <w:webHidden/>
              </w:rPr>
            </w:r>
            <w:r>
              <w:rPr>
                <w:noProof/>
                <w:webHidden/>
              </w:rPr>
              <w:fldChar w:fldCharType="separate"/>
            </w:r>
            <w:r>
              <w:rPr>
                <w:noProof/>
                <w:webHidden/>
              </w:rPr>
              <w:t>2</w:t>
            </w:r>
            <w:r>
              <w:rPr>
                <w:noProof/>
                <w:webHidden/>
              </w:rPr>
              <w:fldChar w:fldCharType="end"/>
            </w:r>
          </w:hyperlink>
        </w:p>
        <w:p w14:paraId="41744526" w14:textId="4003F033" w:rsidR="006730A7" w:rsidRDefault="006730A7">
          <w:pPr>
            <w:pStyle w:val="TOC1"/>
            <w:rPr>
              <w:rFonts w:eastAsiaTheme="minorEastAsia" w:cstheme="minorBidi"/>
              <w:iCs w:val="0"/>
              <w:noProof/>
              <w:szCs w:val="22"/>
              <w:lang w:val="en-IE" w:eastAsia="en-IE"/>
            </w:rPr>
          </w:pPr>
          <w:hyperlink w:anchor="_Toc157762057" w:history="1">
            <w:r w:rsidRPr="009505B2">
              <w:rPr>
                <w:rStyle w:val="Hyperlink"/>
                <w:noProof/>
              </w:rPr>
              <w:t>Foreword/Preface</w:t>
            </w:r>
            <w:r>
              <w:rPr>
                <w:noProof/>
                <w:webHidden/>
              </w:rPr>
              <w:tab/>
            </w:r>
            <w:r>
              <w:rPr>
                <w:noProof/>
                <w:webHidden/>
              </w:rPr>
              <w:fldChar w:fldCharType="begin"/>
            </w:r>
            <w:r>
              <w:rPr>
                <w:noProof/>
                <w:webHidden/>
              </w:rPr>
              <w:instrText xml:space="preserve"> PAGEREF _Toc157762057 \h </w:instrText>
            </w:r>
            <w:r>
              <w:rPr>
                <w:noProof/>
                <w:webHidden/>
              </w:rPr>
            </w:r>
            <w:r>
              <w:rPr>
                <w:noProof/>
                <w:webHidden/>
              </w:rPr>
              <w:fldChar w:fldCharType="separate"/>
            </w:r>
            <w:r>
              <w:rPr>
                <w:noProof/>
                <w:webHidden/>
              </w:rPr>
              <w:t>4</w:t>
            </w:r>
            <w:r>
              <w:rPr>
                <w:noProof/>
                <w:webHidden/>
              </w:rPr>
              <w:fldChar w:fldCharType="end"/>
            </w:r>
          </w:hyperlink>
        </w:p>
        <w:p w14:paraId="248D892A" w14:textId="159F5884" w:rsidR="006730A7" w:rsidRDefault="006730A7">
          <w:pPr>
            <w:pStyle w:val="TOC1"/>
            <w:rPr>
              <w:rFonts w:eastAsiaTheme="minorEastAsia" w:cstheme="minorBidi"/>
              <w:iCs w:val="0"/>
              <w:noProof/>
              <w:szCs w:val="22"/>
              <w:lang w:val="en-IE" w:eastAsia="en-IE"/>
            </w:rPr>
          </w:pPr>
          <w:hyperlink w:anchor="_Toc157762058" w:history="1">
            <w:r w:rsidRPr="009505B2">
              <w:rPr>
                <w:rStyle w:val="Hyperlink"/>
                <w:noProof/>
              </w:rPr>
              <w:t>Acknowledgements</w:t>
            </w:r>
            <w:r>
              <w:rPr>
                <w:noProof/>
                <w:webHidden/>
              </w:rPr>
              <w:tab/>
            </w:r>
            <w:r>
              <w:rPr>
                <w:noProof/>
                <w:webHidden/>
              </w:rPr>
              <w:fldChar w:fldCharType="begin"/>
            </w:r>
            <w:r>
              <w:rPr>
                <w:noProof/>
                <w:webHidden/>
              </w:rPr>
              <w:instrText xml:space="preserve"> PAGEREF _Toc157762058 \h </w:instrText>
            </w:r>
            <w:r>
              <w:rPr>
                <w:noProof/>
                <w:webHidden/>
              </w:rPr>
            </w:r>
            <w:r>
              <w:rPr>
                <w:noProof/>
                <w:webHidden/>
              </w:rPr>
              <w:fldChar w:fldCharType="separate"/>
            </w:r>
            <w:r>
              <w:rPr>
                <w:noProof/>
                <w:webHidden/>
              </w:rPr>
              <w:t>5</w:t>
            </w:r>
            <w:r>
              <w:rPr>
                <w:noProof/>
                <w:webHidden/>
              </w:rPr>
              <w:fldChar w:fldCharType="end"/>
            </w:r>
          </w:hyperlink>
        </w:p>
        <w:p w14:paraId="64D3D93C" w14:textId="333B734D" w:rsidR="006730A7" w:rsidRDefault="006730A7">
          <w:pPr>
            <w:pStyle w:val="TOC1"/>
            <w:rPr>
              <w:rFonts w:eastAsiaTheme="minorEastAsia" w:cstheme="minorBidi"/>
              <w:iCs w:val="0"/>
              <w:noProof/>
              <w:szCs w:val="22"/>
              <w:lang w:val="en-IE" w:eastAsia="en-IE"/>
            </w:rPr>
          </w:pPr>
          <w:hyperlink w:anchor="_Toc157762059" w:history="1">
            <w:r w:rsidRPr="009505B2">
              <w:rPr>
                <w:rStyle w:val="Hyperlink"/>
                <w:noProof/>
              </w:rPr>
              <w:t>Executive Summary and Key Messages</w:t>
            </w:r>
            <w:r>
              <w:rPr>
                <w:noProof/>
                <w:webHidden/>
              </w:rPr>
              <w:tab/>
            </w:r>
            <w:r>
              <w:rPr>
                <w:noProof/>
                <w:webHidden/>
              </w:rPr>
              <w:fldChar w:fldCharType="begin"/>
            </w:r>
            <w:r>
              <w:rPr>
                <w:noProof/>
                <w:webHidden/>
              </w:rPr>
              <w:instrText xml:space="preserve"> PAGEREF _Toc157762059 \h </w:instrText>
            </w:r>
            <w:r>
              <w:rPr>
                <w:noProof/>
                <w:webHidden/>
              </w:rPr>
            </w:r>
            <w:r>
              <w:rPr>
                <w:noProof/>
                <w:webHidden/>
              </w:rPr>
              <w:fldChar w:fldCharType="separate"/>
            </w:r>
            <w:r>
              <w:rPr>
                <w:noProof/>
                <w:webHidden/>
              </w:rPr>
              <w:t>6</w:t>
            </w:r>
            <w:r>
              <w:rPr>
                <w:noProof/>
                <w:webHidden/>
              </w:rPr>
              <w:fldChar w:fldCharType="end"/>
            </w:r>
          </w:hyperlink>
        </w:p>
        <w:p w14:paraId="2E41CFDB" w14:textId="7CF2905C" w:rsidR="006730A7" w:rsidRDefault="006730A7">
          <w:pPr>
            <w:pStyle w:val="TOC1"/>
            <w:rPr>
              <w:rFonts w:eastAsiaTheme="minorEastAsia" w:cstheme="minorBidi"/>
              <w:iCs w:val="0"/>
              <w:noProof/>
              <w:szCs w:val="22"/>
              <w:lang w:val="en-IE" w:eastAsia="en-IE"/>
            </w:rPr>
          </w:pPr>
          <w:hyperlink w:anchor="_Toc157762060" w:history="1">
            <w:r w:rsidRPr="009505B2">
              <w:rPr>
                <w:rStyle w:val="Hyperlink"/>
                <w:rFonts w:cstheme="minorHAnsi"/>
                <w:noProof/>
              </w:rPr>
              <w:t>1</w:t>
            </w:r>
            <w:r>
              <w:rPr>
                <w:rFonts w:eastAsiaTheme="minorEastAsia" w:cstheme="minorBidi"/>
                <w:iCs w:val="0"/>
                <w:noProof/>
                <w:szCs w:val="22"/>
                <w:lang w:val="en-IE" w:eastAsia="en-IE"/>
              </w:rPr>
              <w:tab/>
            </w:r>
            <w:r w:rsidRPr="009505B2">
              <w:rPr>
                <w:rStyle w:val="Hyperlink"/>
                <w:rFonts w:cstheme="minorHAnsi"/>
                <w:noProof/>
              </w:rPr>
              <w:t>Introduction</w:t>
            </w:r>
            <w:r>
              <w:rPr>
                <w:noProof/>
                <w:webHidden/>
              </w:rPr>
              <w:tab/>
            </w:r>
            <w:r>
              <w:rPr>
                <w:noProof/>
                <w:webHidden/>
              </w:rPr>
              <w:fldChar w:fldCharType="begin"/>
            </w:r>
            <w:r>
              <w:rPr>
                <w:noProof/>
                <w:webHidden/>
              </w:rPr>
              <w:instrText xml:space="preserve"> PAGEREF _Toc157762060 \h </w:instrText>
            </w:r>
            <w:r>
              <w:rPr>
                <w:noProof/>
                <w:webHidden/>
              </w:rPr>
            </w:r>
            <w:r>
              <w:rPr>
                <w:noProof/>
                <w:webHidden/>
              </w:rPr>
              <w:fldChar w:fldCharType="separate"/>
            </w:r>
            <w:r>
              <w:rPr>
                <w:noProof/>
                <w:webHidden/>
              </w:rPr>
              <w:t>7</w:t>
            </w:r>
            <w:r>
              <w:rPr>
                <w:noProof/>
                <w:webHidden/>
              </w:rPr>
              <w:fldChar w:fldCharType="end"/>
            </w:r>
          </w:hyperlink>
        </w:p>
        <w:p w14:paraId="2DCFBE1B" w14:textId="70E47F26" w:rsidR="006730A7" w:rsidRDefault="006730A7">
          <w:pPr>
            <w:pStyle w:val="TOC2"/>
            <w:rPr>
              <w:rFonts w:eastAsiaTheme="minorEastAsia" w:cstheme="minorBidi"/>
              <w:iCs w:val="0"/>
              <w:noProof/>
              <w:szCs w:val="22"/>
              <w:lang w:val="en-IE" w:eastAsia="en-IE"/>
            </w:rPr>
          </w:pPr>
          <w:hyperlink w:anchor="_Toc157762061" w:history="1">
            <w:r w:rsidRPr="009505B2">
              <w:rPr>
                <w:rStyle w:val="Hyperlink"/>
                <w:noProof/>
              </w:rPr>
              <w:t>1.1</w:t>
            </w:r>
            <w:r>
              <w:rPr>
                <w:rFonts w:eastAsiaTheme="minorEastAsia" w:cstheme="minorBidi"/>
                <w:iCs w:val="0"/>
                <w:noProof/>
                <w:szCs w:val="22"/>
                <w:lang w:val="en-IE" w:eastAsia="en-IE"/>
              </w:rPr>
              <w:tab/>
            </w:r>
            <w:r w:rsidRPr="009505B2">
              <w:rPr>
                <w:rStyle w:val="Hyperlink"/>
                <w:noProof/>
              </w:rPr>
              <w:t>Aim and objective</w:t>
            </w:r>
            <w:r>
              <w:rPr>
                <w:noProof/>
                <w:webHidden/>
              </w:rPr>
              <w:tab/>
            </w:r>
            <w:r>
              <w:rPr>
                <w:noProof/>
                <w:webHidden/>
              </w:rPr>
              <w:fldChar w:fldCharType="begin"/>
            </w:r>
            <w:r>
              <w:rPr>
                <w:noProof/>
                <w:webHidden/>
              </w:rPr>
              <w:instrText xml:space="preserve"> PAGEREF _Toc157762061 \h </w:instrText>
            </w:r>
            <w:r>
              <w:rPr>
                <w:noProof/>
                <w:webHidden/>
              </w:rPr>
            </w:r>
            <w:r>
              <w:rPr>
                <w:noProof/>
                <w:webHidden/>
              </w:rPr>
              <w:fldChar w:fldCharType="separate"/>
            </w:r>
            <w:r>
              <w:rPr>
                <w:noProof/>
                <w:webHidden/>
              </w:rPr>
              <w:t>7</w:t>
            </w:r>
            <w:r>
              <w:rPr>
                <w:noProof/>
                <w:webHidden/>
              </w:rPr>
              <w:fldChar w:fldCharType="end"/>
            </w:r>
          </w:hyperlink>
        </w:p>
        <w:p w14:paraId="15BCD878" w14:textId="1B545956" w:rsidR="006730A7" w:rsidRDefault="006730A7">
          <w:pPr>
            <w:pStyle w:val="TOC2"/>
            <w:rPr>
              <w:rFonts w:eastAsiaTheme="minorEastAsia" w:cstheme="minorBidi"/>
              <w:iCs w:val="0"/>
              <w:noProof/>
              <w:szCs w:val="22"/>
              <w:lang w:val="en-IE" w:eastAsia="en-IE"/>
            </w:rPr>
          </w:pPr>
          <w:hyperlink w:anchor="_Toc157762062" w:history="1">
            <w:r w:rsidRPr="009505B2">
              <w:rPr>
                <w:rStyle w:val="Hyperlink"/>
                <w:noProof/>
              </w:rPr>
              <w:t>1.2</w:t>
            </w:r>
            <w:r>
              <w:rPr>
                <w:rFonts w:eastAsiaTheme="minorEastAsia" w:cstheme="minorBidi"/>
                <w:iCs w:val="0"/>
                <w:noProof/>
                <w:szCs w:val="22"/>
                <w:lang w:val="en-IE" w:eastAsia="en-IE"/>
              </w:rPr>
              <w:tab/>
            </w:r>
            <w:r w:rsidRPr="009505B2">
              <w:rPr>
                <w:rStyle w:val="Hyperlink"/>
                <w:noProof/>
              </w:rPr>
              <w:t>From EMTER-2021 to EMTER-2024</w:t>
            </w:r>
            <w:r>
              <w:rPr>
                <w:noProof/>
                <w:webHidden/>
              </w:rPr>
              <w:tab/>
            </w:r>
            <w:r>
              <w:rPr>
                <w:noProof/>
                <w:webHidden/>
              </w:rPr>
              <w:fldChar w:fldCharType="begin"/>
            </w:r>
            <w:r>
              <w:rPr>
                <w:noProof/>
                <w:webHidden/>
              </w:rPr>
              <w:instrText xml:space="preserve"> PAGEREF _Toc157762062 \h </w:instrText>
            </w:r>
            <w:r>
              <w:rPr>
                <w:noProof/>
                <w:webHidden/>
              </w:rPr>
            </w:r>
            <w:r>
              <w:rPr>
                <w:noProof/>
                <w:webHidden/>
              </w:rPr>
              <w:fldChar w:fldCharType="separate"/>
            </w:r>
            <w:r>
              <w:rPr>
                <w:noProof/>
                <w:webHidden/>
              </w:rPr>
              <w:t>7</w:t>
            </w:r>
            <w:r>
              <w:rPr>
                <w:noProof/>
                <w:webHidden/>
              </w:rPr>
              <w:fldChar w:fldCharType="end"/>
            </w:r>
          </w:hyperlink>
        </w:p>
        <w:p w14:paraId="08C93216" w14:textId="339EBBC3" w:rsidR="006730A7" w:rsidRDefault="006730A7">
          <w:pPr>
            <w:pStyle w:val="TOC2"/>
            <w:rPr>
              <w:rFonts w:eastAsiaTheme="minorEastAsia" w:cstheme="minorBidi"/>
              <w:iCs w:val="0"/>
              <w:noProof/>
              <w:szCs w:val="22"/>
              <w:lang w:val="en-IE" w:eastAsia="en-IE"/>
            </w:rPr>
          </w:pPr>
          <w:hyperlink w:anchor="_Toc157762063" w:history="1">
            <w:r w:rsidRPr="009505B2">
              <w:rPr>
                <w:rStyle w:val="Hyperlink"/>
                <w:noProof/>
              </w:rPr>
              <w:t>1.3</w:t>
            </w:r>
            <w:r>
              <w:rPr>
                <w:rFonts w:eastAsiaTheme="minorEastAsia" w:cstheme="minorBidi"/>
                <w:iCs w:val="0"/>
                <w:noProof/>
                <w:szCs w:val="22"/>
                <w:lang w:val="en-IE" w:eastAsia="en-IE"/>
              </w:rPr>
              <w:tab/>
            </w:r>
            <w:r w:rsidRPr="009505B2">
              <w:rPr>
                <w:rStyle w:val="Hyperlink"/>
                <w:noProof/>
              </w:rPr>
              <w:t>State of the maritime transport sector traffic and trade</w:t>
            </w:r>
            <w:r>
              <w:rPr>
                <w:noProof/>
                <w:webHidden/>
              </w:rPr>
              <w:tab/>
            </w:r>
            <w:r>
              <w:rPr>
                <w:noProof/>
                <w:webHidden/>
              </w:rPr>
              <w:fldChar w:fldCharType="begin"/>
            </w:r>
            <w:r>
              <w:rPr>
                <w:noProof/>
                <w:webHidden/>
              </w:rPr>
              <w:instrText xml:space="preserve"> PAGEREF _Toc157762063 \h </w:instrText>
            </w:r>
            <w:r>
              <w:rPr>
                <w:noProof/>
                <w:webHidden/>
              </w:rPr>
            </w:r>
            <w:r>
              <w:rPr>
                <w:noProof/>
                <w:webHidden/>
              </w:rPr>
              <w:fldChar w:fldCharType="separate"/>
            </w:r>
            <w:r>
              <w:rPr>
                <w:noProof/>
                <w:webHidden/>
              </w:rPr>
              <w:t>8</w:t>
            </w:r>
            <w:r>
              <w:rPr>
                <w:noProof/>
                <w:webHidden/>
              </w:rPr>
              <w:fldChar w:fldCharType="end"/>
            </w:r>
          </w:hyperlink>
        </w:p>
        <w:p w14:paraId="29933C34" w14:textId="1F62308C" w:rsidR="006730A7" w:rsidRDefault="006730A7">
          <w:pPr>
            <w:pStyle w:val="TOC1"/>
            <w:rPr>
              <w:rFonts w:eastAsiaTheme="minorEastAsia" w:cstheme="minorBidi"/>
              <w:iCs w:val="0"/>
              <w:noProof/>
              <w:szCs w:val="22"/>
              <w:lang w:val="en-IE" w:eastAsia="en-IE"/>
            </w:rPr>
          </w:pPr>
          <w:hyperlink w:anchor="_Toc157762064" w:history="1">
            <w:r w:rsidRPr="009505B2">
              <w:rPr>
                <w:rStyle w:val="Hyperlink"/>
                <w:noProof/>
              </w:rPr>
              <w:t>2</w:t>
            </w:r>
            <w:r>
              <w:rPr>
                <w:rFonts w:eastAsiaTheme="minorEastAsia" w:cstheme="minorBidi"/>
                <w:iCs w:val="0"/>
                <w:noProof/>
                <w:szCs w:val="22"/>
                <w:lang w:val="en-IE" w:eastAsia="en-IE"/>
              </w:rPr>
              <w:tab/>
            </w:r>
            <w:r w:rsidRPr="009505B2">
              <w:rPr>
                <w:rStyle w:val="Hyperlink"/>
                <w:noProof/>
              </w:rPr>
              <w:t>Trends, status and prospects</w:t>
            </w:r>
            <w:r>
              <w:rPr>
                <w:noProof/>
                <w:webHidden/>
              </w:rPr>
              <w:tab/>
            </w:r>
            <w:r>
              <w:rPr>
                <w:noProof/>
                <w:webHidden/>
              </w:rPr>
              <w:fldChar w:fldCharType="begin"/>
            </w:r>
            <w:r>
              <w:rPr>
                <w:noProof/>
                <w:webHidden/>
              </w:rPr>
              <w:instrText xml:space="preserve"> PAGEREF _Toc157762064 \h </w:instrText>
            </w:r>
            <w:r>
              <w:rPr>
                <w:noProof/>
                <w:webHidden/>
              </w:rPr>
            </w:r>
            <w:r>
              <w:rPr>
                <w:noProof/>
                <w:webHidden/>
              </w:rPr>
              <w:fldChar w:fldCharType="separate"/>
            </w:r>
            <w:r>
              <w:rPr>
                <w:noProof/>
                <w:webHidden/>
              </w:rPr>
              <w:t>13</w:t>
            </w:r>
            <w:r>
              <w:rPr>
                <w:noProof/>
                <w:webHidden/>
              </w:rPr>
              <w:fldChar w:fldCharType="end"/>
            </w:r>
          </w:hyperlink>
        </w:p>
        <w:p w14:paraId="107951F0" w14:textId="0C037CFE" w:rsidR="006730A7" w:rsidRDefault="006730A7">
          <w:pPr>
            <w:pStyle w:val="TOC2"/>
            <w:rPr>
              <w:rFonts w:eastAsiaTheme="minorEastAsia" w:cstheme="minorBidi"/>
              <w:iCs w:val="0"/>
              <w:noProof/>
              <w:szCs w:val="22"/>
              <w:lang w:val="en-IE" w:eastAsia="en-IE"/>
            </w:rPr>
          </w:pPr>
          <w:hyperlink w:anchor="_Toc157762065" w:history="1">
            <w:r w:rsidRPr="009505B2">
              <w:rPr>
                <w:rStyle w:val="Hyperlink"/>
                <w:noProof/>
              </w:rPr>
              <w:t>2.1</w:t>
            </w:r>
            <w:r>
              <w:rPr>
                <w:rFonts w:eastAsiaTheme="minorEastAsia" w:cstheme="minorBidi"/>
                <w:iCs w:val="0"/>
                <w:noProof/>
                <w:szCs w:val="22"/>
                <w:lang w:val="en-IE" w:eastAsia="en-IE"/>
              </w:rPr>
              <w:tab/>
            </w:r>
            <w:r w:rsidRPr="009505B2">
              <w:rPr>
                <w:rStyle w:val="Hyperlink"/>
                <w:noProof/>
              </w:rPr>
              <w:t>Emissions to the atmosphere</w:t>
            </w:r>
            <w:r>
              <w:rPr>
                <w:noProof/>
                <w:webHidden/>
              </w:rPr>
              <w:tab/>
            </w:r>
            <w:r>
              <w:rPr>
                <w:noProof/>
                <w:webHidden/>
              </w:rPr>
              <w:fldChar w:fldCharType="begin"/>
            </w:r>
            <w:r>
              <w:rPr>
                <w:noProof/>
                <w:webHidden/>
              </w:rPr>
              <w:instrText xml:space="preserve"> PAGEREF _Toc157762065 \h </w:instrText>
            </w:r>
            <w:r>
              <w:rPr>
                <w:noProof/>
                <w:webHidden/>
              </w:rPr>
            </w:r>
            <w:r>
              <w:rPr>
                <w:noProof/>
                <w:webHidden/>
              </w:rPr>
              <w:fldChar w:fldCharType="separate"/>
            </w:r>
            <w:r>
              <w:rPr>
                <w:noProof/>
                <w:webHidden/>
              </w:rPr>
              <w:t>13</w:t>
            </w:r>
            <w:r>
              <w:rPr>
                <w:noProof/>
                <w:webHidden/>
              </w:rPr>
              <w:fldChar w:fldCharType="end"/>
            </w:r>
          </w:hyperlink>
        </w:p>
        <w:p w14:paraId="19491CC3" w14:textId="72D538A0" w:rsidR="006730A7" w:rsidRDefault="006730A7">
          <w:pPr>
            <w:pStyle w:val="TOC3"/>
            <w:rPr>
              <w:rFonts w:eastAsiaTheme="minorEastAsia" w:cstheme="minorBidi"/>
              <w:iCs w:val="0"/>
              <w:noProof/>
              <w:szCs w:val="22"/>
              <w:lang w:val="en-IE" w:eastAsia="en-IE"/>
            </w:rPr>
          </w:pPr>
          <w:hyperlink w:anchor="_Toc157762066" w:history="1">
            <w:r w:rsidRPr="009505B2">
              <w:rPr>
                <w:rStyle w:val="Hyperlink"/>
                <w:bCs/>
                <w:noProof/>
              </w:rPr>
              <w:t>2.1.1</w:t>
            </w:r>
            <w:r>
              <w:rPr>
                <w:rFonts w:eastAsiaTheme="minorEastAsia" w:cstheme="minorBidi"/>
                <w:iCs w:val="0"/>
                <w:noProof/>
                <w:szCs w:val="22"/>
                <w:lang w:val="en-IE" w:eastAsia="en-IE"/>
              </w:rPr>
              <w:tab/>
            </w:r>
            <w:r w:rsidRPr="009505B2">
              <w:rPr>
                <w:rStyle w:val="Hyperlink"/>
                <w:noProof/>
              </w:rPr>
              <w:t>Greenhouse gases</w:t>
            </w:r>
            <w:r>
              <w:rPr>
                <w:noProof/>
                <w:webHidden/>
              </w:rPr>
              <w:tab/>
            </w:r>
            <w:r>
              <w:rPr>
                <w:noProof/>
                <w:webHidden/>
              </w:rPr>
              <w:fldChar w:fldCharType="begin"/>
            </w:r>
            <w:r>
              <w:rPr>
                <w:noProof/>
                <w:webHidden/>
              </w:rPr>
              <w:instrText xml:space="preserve"> PAGEREF _Toc157762066 \h </w:instrText>
            </w:r>
            <w:r>
              <w:rPr>
                <w:noProof/>
                <w:webHidden/>
              </w:rPr>
            </w:r>
            <w:r>
              <w:rPr>
                <w:noProof/>
                <w:webHidden/>
              </w:rPr>
              <w:fldChar w:fldCharType="separate"/>
            </w:r>
            <w:r>
              <w:rPr>
                <w:noProof/>
                <w:webHidden/>
              </w:rPr>
              <w:t>13</w:t>
            </w:r>
            <w:r>
              <w:rPr>
                <w:noProof/>
                <w:webHidden/>
              </w:rPr>
              <w:fldChar w:fldCharType="end"/>
            </w:r>
          </w:hyperlink>
        </w:p>
        <w:p w14:paraId="24E11DA3" w14:textId="22B80548" w:rsidR="006730A7" w:rsidRDefault="006730A7">
          <w:pPr>
            <w:pStyle w:val="TOC3"/>
            <w:rPr>
              <w:rFonts w:eastAsiaTheme="minorEastAsia" w:cstheme="minorBidi"/>
              <w:iCs w:val="0"/>
              <w:noProof/>
              <w:szCs w:val="22"/>
              <w:lang w:val="en-IE" w:eastAsia="en-IE"/>
            </w:rPr>
          </w:pPr>
          <w:hyperlink w:anchor="_Toc157762067" w:history="1">
            <w:r w:rsidRPr="009505B2">
              <w:rPr>
                <w:rStyle w:val="Hyperlink"/>
                <w:bCs/>
                <w:noProof/>
              </w:rPr>
              <w:t>2.1.2</w:t>
            </w:r>
            <w:r>
              <w:rPr>
                <w:rFonts w:eastAsiaTheme="minorEastAsia" w:cstheme="minorBidi"/>
                <w:iCs w:val="0"/>
                <w:noProof/>
                <w:szCs w:val="22"/>
                <w:lang w:val="en-IE" w:eastAsia="en-IE"/>
              </w:rPr>
              <w:tab/>
            </w:r>
            <w:r w:rsidRPr="009505B2">
              <w:rPr>
                <w:rStyle w:val="Hyperlink"/>
                <w:noProof/>
              </w:rPr>
              <w:t>Air Quality</w:t>
            </w:r>
            <w:r>
              <w:rPr>
                <w:noProof/>
                <w:webHidden/>
              </w:rPr>
              <w:tab/>
            </w:r>
            <w:r>
              <w:rPr>
                <w:noProof/>
                <w:webHidden/>
              </w:rPr>
              <w:fldChar w:fldCharType="begin"/>
            </w:r>
            <w:r>
              <w:rPr>
                <w:noProof/>
                <w:webHidden/>
              </w:rPr>
              <w:instrText xml:space="preserve"> PAGEREF _Toc157762067 \h </w:instrText>
            </w:r>
            <w:r>
              <w:rPr>
                <w:noProof/>
                <w:webHidden/>
              </w:rPr>
            </w:r>
            <w:r>
              <w:rPr>
                <w:noProof/>
                <w:webHidden/>
              </w:rPr>
              <w:fldChar w:fldCharType="separate"/>
            </w:r>
            <w:r>
              <w:rPr>
                <w:noProof/>
                <w:webHidden/>
              </w:rPr>
              <w:t>25</w:t>
            </w:r>
            <w:r>
              <w:rPr>
                <w:noProof/>
                <w:webHidden/>
              </w:rPr>
              <w:fldChar w:fldCharType="end"/>
            </w:r>
          </w:hyperlink>
        </w:p>
        <w:p w14:paraId="6B3AC3EA" w14:textId="6AEE70CF" w:rsidR="006730A7" w:rsidRDefault="006730A7">
          <w:pPr>
            <w:pStyle w:val="TOC2"/>
            <w:rPr>
              <w:rFonts w:eastAsiaTheme="minorEastAsia" w:cstheme="minorBidi"/>
              <w:iCs w:val="0"/>
              <w:noProof/>
              <w:szCs w:val="22"/>
              <w:lang w:val="en-IE" w:eastAsia="en-IE"/>
            </w:rPr>
          </w:pPr>
          <w:hyperlink w:anchor="_Toc157762068" w:history="1">
            <w:r w:rsidRPr="009505B2">
              <w:rPr>
                <w:rStyle w:val="Hyperlink"/>
                <w:noProof/>
              </w:rPr>
              <w:t>2.2</w:t>
            </w:r>
            <w:r>
              <w:rPr>
                <w:rFonts w:eastAsiaTheme="minorEastAsia" w:cstheme="minorBidi"/>
                <w:iCs w:val="0"/>
                <w:noProof/>
                <w:szCs w:val="22"/>
                <w:lang w:val="en-IE" w:eastAsia="en-IE"/>
              </w:rPr>
              <w:tab/>
            </w:r>
            <w:r w:rsidRPr="009505B2">
              <w:rPr>
                <w:rStyle w:val="Hyperlink"/>
                <w:noProof/>
              </w:rPr>
              <w:t>Water Pollution</w:t>
            </w:r>
            <w:r>
              <w:rPr>
                <w:noProof/>
                <w:webHidden/>
              </w:rPr>
              <w:tab/>
            </w:r>
            <w:r>
              <w:rPr>
                <w:noProof/>
                <w:webHidden/>
              </w:rPr>
              <w:fldChar w:fldCharType="begin"/>
            </w:r>
            <w:r>
              <w:rPr>
                <w:noProof/>
                <w:webHidden/>
              </w:rPr>
              <w:instrText xml:space="preserve"> PAGEREF _Toc157762068 \h </w:instrText>
            </w:r>
            <w:r>
              <w:rPr>
                <w:noProof/>
                <w:webHidden/>
              </w:rPr>
            </w:r>
            <w:r>
              <w:rPr>
                <w:noProof/>
                <w:webHidden/>
              </w:rPr>
              <w:fldChar w:fldCharType="separate"/>
            </w:r>
            <w:r>
              <w:rPr>
                <w:noProof/>
                <w:webHidden/>
              </w:rPr>
              <w:t>40</w:t>
            </w:r>
            <w:r>
              <w:rPr>
                <w:noProof/>
                <w:webHidden/>
              </w:rPr>
              <w:fldChar w:fldCharType="end"/>
            </w:r>
          </w:hyperlink>
        </w:p>
        <w:p w14:paraId="487ACFB5" w14:textId="0DCBF83E" w:rsidR="006730A7" w:rsidRDefault="006730A7">
          <w:pPr>
            <w:pStyle w:val="TOC3"/>
            <w:rPr>
              <w:rFonts w:eastAsiaTheme="minorEastAsia" w:cstheme="minorBidi"/>
              <w:iCs w:val="0"/>
              <w:noProof/>
              <w:szCs w:val="22"/>
              <w:lang w:val="en-IE" w:eastAsia="en-IE"/>
            </w:rPr>
          </w:pPr>
          <w:hyperlink w:anchor="_Toc157762069" w:history="1">
            <w:r w:rsidRPr="009505B2">
              <w:rPr>
                <w:rStyle w:val="Hyperlink"/>
                <w:bCs/>
                <w:noProof/>
              </w:rPr>
              <w:t>2.2.1</w:t>
            </w:r>
            <w:r>
              <w:rPr>
                <w:rFonts w:eastAsiaTheme="minorEastAsia" w:cstheme="minorBidi"/>
                <w:iCs w:val="0"/>
                <w:noProof/>
                <w:szCs w:val="22"/>
                <w:lang w:val="en-IE" w:eastAsia="en-IE"/>
              </w:rPr>
              <w:tab/>
            </w:r>
            <w:r w:rsidRPr="009505B2">
              <w:rPr>
                <w:rStyle w:val="Hyperlink"/>
                <w:noProof/>
              </w:rPr>
              <w:t>Oil spills</w:t>
            </w:r>
            <w:r>
              <w:rPr>
                <w:noProof/>
                <w:webHidden/>
              </w:rPr>
              <w:tab/>
            </w:r>
            <w:r>
              <w:rPr>
                <w:noProof/>
                <w:webHidden/>
              </w:rPr>
              <w:fldChar w:fldCharType="begin"/>
            </w:r>
            <w:r>
              <w:rPr>
                <w:noProof/>
                <w:webHidden/>
              </w:rPr>
              <w:instrText xml:space="preserve"> PAGEREF _Toc157762069 \h </w:instrText>
            </w:r>
            <w:r>
              <w:rPr>
                <w:noProof/>
                <w:webHidden/>
              </w:rPr>
            </w:r>
            <w:r>
              <w:rPr>
                <w:noProof/>
                <w:webHidden/>
              </w:rPr>
              <w:fldChar w:fldCharType="separate"/>
            </w:r>
            <w:r>
              <w:rPr>
                <w:noProof/>
                <w:webHidden/>
              </w:rPr>
              <w:t>40</w:t>
            </w:r>
            <w:r>
              <w:rPr>
                <w:noProof/>
                <w:webHidden/>
              </w:rPr>
              <w:fldChar w:fldCharType="end"/>
            </w:r>
          </w:hyperlink>
        </w:p>
        <w:p w14:paraId="2A7F3B95" w14:textId="456A1AF9" w:rsidR="006730A7" w:rsidRDefault="006730A7">
          <w:pPr>
            <w:pStyle w:val="TOC3"/>
            <w:rPr>
              <w:rFonts w:eastAsiaTheme="minorEastAsia" w:cstheme="minorBidi"/>
              <w:iCs w:val="0"/>
              <w:noProof/>
              <w:szCs w:val="22"/>
              <w:lang w:val="en-IE" w:eastAsia="en-IE"/>
            </w:rPr>
          </w:pPr>
          <w:hyperlink w:anchor="_Toc157762070" w:history="1">
            <w:r w:rsidRPr="009505B2">
              <w:rPr>
                <w:rStyle w:val="Hyperlink"/>
                <w:bCs/>
                <w:noProof/>
              </w:rPr>
              <w:t>2.2.2</w:t>
            </w:r>
            <w:r>
              <w:rPr>
                <w:rFonts w:eastAsiaTheme="minorEastAsia" w:cstheme="minorBidi"/>
                <w:iCs w:val="0"/>
                <w:noProof/>
                <w:szCs w:val="22"/>
                <w:lang w:val="en-IE" w:eastAsia="en-IE"/>
              </w:rPr>
              <w:tab/>
            </w:r>
            <w:r w:rsidRPr="009505B2">
              <w:rPr>
                <w:rStyle w:val="Hyperlink"/>
                <w:noProof/>
              </w:rPr>
              <w:t>Discharge waters and contaminants</w:t>
            </w:r>
            <w:r>
              <w:rPr>
                <w:noProof/>
                <w:webHidden/>
              </w:rPr>
              <w:tab/>
            </w:r>
            <w:r>
              <w:rPr>
                <w:noProof/>
                <w:webHidden/>
              </w:rPr>
              <w:fldChar w:fldCharType="begin"/>
            </w:r>
            <w:r>
              <w:rPr>
                <w:noProof/>
                <w:webHidden/>
              </w:rPr>
              <w:instrText xml:space="preserve"> PAGEREF _Toc157762070 \h </w:instrText>
            </w:r>
            <w:r>
              <w:rPr>
                <w:noProof/>
                <w:webHidden/>
              </w:rPr>
            </w:r>
            <w:r>
              <w:rPr>
                <w:noProof/>
                <w:webHidden/>
              </w:rPr>
              <w:fldChar w:fldCharType="separate"/>
            </w:r>
            <w:r>
              <w:rPr>
                <w:noProof/>
                <w:webHidden/>
              </w:rPr>
              <w:t>45</w:t>
            </w:r>
            <w:r>
              <w:rPr>
                <w:noProof/>
                <w:webHidden/>
              </w:rPr>
              <w:fldChar w:fldCharType="end"/>
            </w:r>
          </w:hyperlink>
        </w:p>
        <w:p w14:paraId="6E1D7B06" w14:textId="1E5EE3FB" w:rsidR="006730A7" w:rsidRDefault="006730A7">
          <w:pPr>
            <w:pStyle w:val="TOC3"/>
            <w:rPr>
              <w:rFonts w:eastAsiaTheme="minorEastAsia" w:cstheme="minorBidi"/>
              <w:iCs w:val="0"/>
              <w:noProof/>
              <w:szCs w:val="22"/>
              <w:lang w:val="en-IE" w:eastAsia="en-IE"/>
            </w:rPr>
          </w:pPr>
          <w:hyperlink w:anchor="_Toc157762071" w:history="1">
            <w:r w:rsidRPr="009505B2">
              <w:rPr>
                <w:rStyle w:val="Hyperlink"/>
                <w:bCs/>
                <w:noProof/>
              </w:rPr>
              <w:t>2.2.3</w:t>
            </w:r>
            <w:r>
              <w:rPr>
                <w:rFonts w:eastAsiaTheme="minorEastAsia" w:cstheme="minorBidi"/>
                <w:iCs w:val="0"/>
                <w:noProof/>
                <w:szCs w:val="22"/>
                <w:lang w:val="en-IE" w:eastAsia="en-IE"/>
              </w:rPr>
              <w:tab/>
            </w:r>
            <w:r w:rsidRPr="009505B2">
              <w:rPr>
                <w:rStyle w:val="Hyperlink"/>
                <w:noProof/>
              </w:rPr>
              <w:t>Ballast waters and non-indigenous species (NIS)</w:t>
            </w:r>
            <w:r>
              <w:rPr>
                <w:noProof/>
                <w:webHidden/>
              </w:rPr>
              <w:tab/>
            </w:r>
            <w:r>
              <w:rPr>
                <w:noProof/>
                <w:webHidden/>
              </w:rPr>
              <w:fldChar w:fldCharType="begin"/>
            </w:r>
            <w:r>
              <w:rPr>
                <w:noProof/>
                <w:webHidden/>
              </w:rPr>
              <w:instrText xml:space="preserve"> PAGEREF _Toc157762071 \h </w:instrText>
            </w:r>
            <w:r>
              <w:rPr>
                <w:noProof/>
                <w:webHidden/>
              </w:rPr>
            </w:r>
            <w:r>
              <w:rPr>
                <w:noProof/>
                <w:webHidden/>
              </w:rPr>
              <w:fldChar w:fldCharType="separate"/>
            </w:r>
            <w:r>
              <w:rPr>
                <w:noProof/>
                <w:webHidden/>
              </w:rPr>
              <w:t>49</w:t>
            </w:r>
            <w:r>
              <w:rPr>
                <w:noProof/>
                <w:webHidden/>
              </w:rPr>
              <w:fldChar w:fldCharType="end"/>
            </w:r>
          </w:hyperlink>
        </w:p>
        <w:p w14:paraId="7C058259" w14:textId="2512F9A2" w:rsidR="006730A7" w:rsidRDefault="006730A7">
          <w:pPr>
            <w:pStyle w:val="TOC3"/>
            <w:rPr>
              <w:rFonts w:eastAsiaTheme="minorEastAsia" w:cstheme="minorBidi"/>
              <w:iCs w:val="0"/>
              <w:noProof/>
              <w:szCs w:val="22"/>
              <w:lang w:val="en-IE" w:eastAsia="en-IE"/>
            </w:rPr>
          </w:pPr>
          <w:hyperlink w:anchor="_Toc157762072" w:history="1">
            <w:r w:rsidRPr="009505B2">
              <w:rPr>
                <w:rStyle w:val="Hyperlink"/>
                <w:bCs/>
                <w:noProof/>
              </w:rPr>
              <w:t>2.2.4</w:t>
            </w:r>
            <w:r>
              <w:rPr>
                <w:rFonts w:eastAsiaTheme="minorEastAsia" w:cstheme="minorBidi"/>
                <w:iCs w:val="0"/>
                <w:noProof/>
                <w:szCs w:val="22"/>
                <w:lang w:val="en-IE" w:eastAsia="en-IE"/>
              </w:rPr>
              <w:tab/>
            </w:r>
            <w:r w:rsidRPr="009505B2">
              <w:rPr>
                <w:rStyle w:val="Hyperlink"/>
                <w:noProof/>
              </w:rPr>
              <w:t>Underwater radiated noise</w:t>
            </w:r>
            <w:r>
              <w:rPr>
                <w:noProof/>
                <w:webHidden/>
              </w:rPr>
              <w:tab/>
            </w:r>
            <w:r>
              <w:rPr>
                <w:noProof/>
                <w:webHidden/>
              </w:rPr>
              <w:fldChar w:fldCharType="begin"/>
            </w:r>
            <w:r>
              <w:rPr>
                <w:noProof/>
                <w:webHidden/>
              </w:rPr>
              <w:instrText xml:space="preserve"> PAGEREF _Toc157762072 \h </w:instrText>
            </w:r>
            <w:r>
              <w:rPr>
                <w:noProof/>
                <w:webHidden/>
              </w:rPr>
            </w:r>
            <w:r>
              <w:rPr>
                <w:noProof/>
                <w:webHidden/>
              </w:rPr>
              <w:fldChar w:fldCharType="separate"/>
            </w:r>
            <w:r>
              <w:rPr>
                <w:noProof/>
                <w:webHidden/>
              </w:rPr>
              <w:t>51</w:t>
            </w:r>
            <w:r>
              <w:rPr>
                <w:noProof/>
                <w:webHidden/>
              </w:rPr>
              <w:fldChar w:fldCharType="end"/>
            </w:r>
          </w:hyperlink>
        </w:p>
        <w:p w14:paraId="7A668332" w14:textId="67205117" w:rsidR="006730A7" w:rsidRDefault="006730A7">
          <w:pPr>
            <w:pStyle w:val="TOC2"/>
            <w:rPr>
              <w:rFonts w:eastAsiaTheme="minorEastAsia" w:cstheme="minorBidi"/>
              <w:iCs w:val="0"/>
              <w:noProof/>
              <w:szCs w:val="22"/>
              <w:lang w:val="en-IE" w:eastAsia="en-IE"/>
            </w:rPr>
          </w:pPr>
          <w:hyperlink w:anchor="_Toc157762073" w:history="1">
            <w:r w:rsidRPr="009505B2">
              <w:rPr>
                <w:rStyle w:val="Hyperlink"/>
                <w:noProof/>
              </w:rPr>
              <w:t>2.3</w:t>
            </w:r>
            <w:r>
              <w:rPr>
                <w:rFonts w:eastAsiaTheme="minorEastAsia" w:cstheme="minorBidi"/>
                <w:iCs w:val="0"/>
                <w:noProof/>
                <w:szCs w:val="22"/>
                <w:lang w:val="en-IE" w:eastAsia="en-IE"/>
              </w:rPr>
              <w:tab/>
            </w:r>
            <w:r w:rsidRPr="009505B2">
              <w:rPr>
                <w:rStyle w:val="Hyperlink"/>
                <w:noProof/>
              </w:rPr>
              <w:t>Marine litter and waste generation</w:t>
            </w:r>
            <w:r>
              <w:rPr>
                <w:noProof/>
                <w:webHidden/>
              </w:rPr>
              <w:tab/>
            </w:r>
            <w:r>
              <w:rPr>
                <w:noProof/>
                <w:webHidden/>
              </w:rPr>
              <w:fldChar w:fldCharType="begin"/>
            </w:r>
            <w:r>
              <w:rPr>
                <w:noProof/>
                <w:webHidden/>
              </w:rPr>
              <w:instrText xml:space="preserve"> PAGEREF _Toc157762073 \h </w:instrText>
            </w:r>
            <w:r>
              <w:rPr>
                <w:noProof/>
                <w:webHidden/>
              </w:rPr>
            </w:r>
            <w:r>
              <w:rPr>
                <w:noProof/>
                <w:webHidden/>
              </w:rPr>
              <w:fldChar w:fldCharType="separate"/>
            </w:r>
            <w:r>
              <w:rPr>
                <w:noProof/>
                <w:webHidden/>
              </w:rPr>
              <w:t>55</w:t>
            </w:r>
            <w:r>
              <w:rPr>
                <w:noProof/>
                <w:webHidden/>
              </w:rPr>
              <w:fldChar w:fldCharType="end"/>
            </w:r>
          </w:hyperlink>
        </w:p>
        <w:p w14:paraId="49C40089" w14:textId="17AC3E6F" w:rsidR="006730A7" w:rsidRDefault="006730A7">
          <w:pPr>
            <w:pStyle w:val="TOC3"/>
            <w:rPr>
              <w:rFonts w:eastAsiaTheme="minorEastAsia" w:cstheme="minorBidi"/>
              <w:iCs w:val="0"/>
              <w:noProof/>
              <w:szCs w:val="22"/>
              <w:lang w:val="en-IE" w:eastAsia="en-IE"/>
            </w:rPr>
          </w:pPr>
          <w:hyperlink w:anchor="_Toc157762074" w:history="1">
            <w:r w:rsidRPr="009505B2">
              <w:rPr>
                <w:rStyle w:val="Hyperlink"/>
                <w:bCs/>
                <w:noProof/>
              </w:rPr>
              <w:t>2.3.1</w:t>
            </w:r>
            <w:r>
              <w:rPr>
                <w:rFonts w:eastAsiaTheme="minorEastAsia" w:cstheme="minorBidi"/>
                <w:iCs w:val="0"/>
                <w:noProof/>
                <w:szCs w:val="22"/>
                <w:lang w:val="en-IE" w:eastAsia="en-IE"/>
              </w:rPr>
              <w:tab/>
            </w:r>
            <w:r w:rsidRPr="009505B2">
              <w:rPr>
                <w:rStyle w:val="Hyperlink"/>
                <w:noProof/>
              </w:rPr>
              <w:t>Marine litter, passively fished waste and container loss.</w:t>
            </w:r>
            <w:r>
              <w:rPr>
                <w:noProof/>
                <w:webHidden/>
              </w:rPr>
              <w:tab/>
            </w:r>
            <w:r>
              <w:rPr>
                <w:noProof/>
                <w:webHidden/>
              </w:rPr>
              <w:fldChar w:fldCharType="begin"/>
            </w:r>
            <w:r>
              <w:rPr>
                <w:noProof/>
                <w:webHidden/>
              </w:rPr>
              <w:instrText xml:space="preserve"> PAGEREF _Toc157762074 \h </w:instrText>
            </w:r>
            <w:r>
              <w:rPr>
                <w:noProof/>
                <w:webHidden/>
              </w:rPr>
            </w:r>
            <w:r>
              <w:rPr>
                <w:noProof/>
                <w:webHidden/>
              </w:rPr>
              <w:fldChar w:fldCharType="separate"/>
            </w:r>
            <w:r>
              <w:rPr>
                <w:noProof/>
                <w:webHidden/>
              </w:rPr>
              <w:t>55</w:t>
            </w:r>
            <w:r>
              <w:rPr>
                <w:noProof/>
                <w:webHidden/>
              </w:rPr>
              <w:fldChar w:fldCharType="end"/>
            </w:r>
          </w:hyperlink>
        </w:p>
        <w:p w14:paraId="7F556CD8" w14:textId="18E51933" w:rsidR="006730A7" w:rsidRDefault="006730A7">
          <w:pPr>
            <w:pStyle w:val="TOC3"/>
            <w:rPr>
              <w:rFonts w:eastAsiaTheme="minorEastAsia" w:cstheme="minorBidi"/>
              <w:iCs w:val="0"/>
              <w:noProof/>
              <w:szCs w:val="22"/>
              <w:lang w:val="en-IE" w:eastAsia="en-IE"/>
            </w:rPr>
          </w:pPr>
          <w:hyperlink w:anchor="_Toc157762075" w:history="1">
            <w:r w:rsidRPr="009505B2">
              <w:rPr>
                <w:rStyle w:val="Hyperlink"/>
                <w:bCs/>
                <w:noProof/>
              </w:rPr>
              <w:t>2.3.2</w:t>
            </w:r>
            <w:r>
              <w:rPr>
                <w:rFonts w:eastAsiaTheme="minorEastAsia" w:cstheme="minorBidi"/>
                <w:iCs w:val="0"/>
                <w:noProof/>
                <w:szCs w:val="22"/>
                <w:lang w:val="en-IE" w:eastAsia="en-IE"/>
              </w:rPr>
              <w:tab/>
            </w:r>
            <w:r w:rsidRPr="009505B2">
              <w:rPr>
                <w:rStyle w:val="Hyperlink"/>
                <w:noProof/>
              </w:rPr>
              <w:t>Waste reception at ports</w:t>
            </w:r>
            <w:r>
              <w:rPr>
                <w:noProof/>
                <w:webHidden/>
              </w:rPr>
              <w:tab/>
            </w:r>
            <w:r>
              <w:rPr>
                <w:noProof/>
                <w:webHidden/>
              </w:rPr>
              <w:fldChar w:fldCharType="begin"/>
            </w:r>
            <w:r>
              <w:rPr>
                <w:noProof/>
                <w:webHidden/>
              </w:rPr>
              <w:instrText xml:space="preserve"> PAGEREF _Toc157762075 \h </w:instrText>
            </w:r>
            <w:r>
              <w:rPr>
                <w:noProof/>
                <w:webHidden/>
              </w:rPr>
            </w:r>
            <w:r>
              <w:rPr>
                <w:noProof/>
                <w:webHidden/>
              </w:rPr>
              <w:fldChar w:fldCharType="separate"/>
            </w:r>
            <w:r>
              <w:rPr>
                <w:noProof/>
                <w:webHidden/>
              </w:rPr>
              <w:t>60</w:t>
            </w:r>
            <w:r>
              <w:rPr>
                <w:noProof/>
                <w:webHidden/>
              </w:rPr>
              <w:fldChar w:fldCharType="end"/>
            </w:r>
          </w:hyperlink>
        </w:p>
        <w:p w14:paraId="0B3D9BF3" w14:textId="63BF176C" w:rsidR="006730A7" w:rsidRDefault="006730A7">
          <w:pPr>
            <w:pStyle w:val="TOC3"/>
            <w:rPr>
              <w:rFonts w:eastAsiaTheme="minorEastAsia" w:cstheme="minorBidi"/>
              <w:iCs w:val="0"/>
              <w:noProof/>
              <w:szCs w:val="22"/>
              <w:lang w:val="en-IE" w:eastAsia="en-IE"/>
            </w:rPr>
          </w:pPr>
          <w:hyperlink w:anchor="_Toc157762076" w:history="1">
            <w:r w:rsidRPr="009505B2">
              <w:rPr>
                <w:rStyle w:val="Hyperlink"/>
                <w:bCs/>
                <w:noProof/>
              </w:rPr>
              <w:t>2.3.3</w:t>
            </w:r>
            <w:r>
              <w:rPr>
                <w:rFonts w:eastAsiaTheme="minorEastAsia" w:cstheme="minorBidi"/>
                <w:iCs w:val="0"/>
                <w:noProof/>
                <w:szCs w:val="22"/>
                <w:lang w:val="en-IE" w:eastAsia="en-IE"/>
              </w:rPr>
              <w:tab/>
            </w:r>
            <w:r w:rsidRPr="009505B2">
              <w:rPr>
                <w:rStyle w:val="Hyperlink"/>
                <w:noProof/>
              </w:rPr>
              <w:t>Ship recycling</w:t>
            </w:r>
            <w:r>
              <w:rPr>
                <w:noProof/>
                <w:webHidden/>
              </w:rPr>
              <w:tab/>
            </w:r>
            <w:r>
              <w:rPr>
                <w:noProof/>
                <w:webHidden/>
              </w:rPr>
              <w:fldChar w:fldCharType="begin"/>
            </w:r>
            <w:r>
              <w:rPr>
                <w:noProof/>
                <w:webHidden/>
              </w:rPr>
              <w:instrText xml:space="preserve"> PAGEREF _Toc157762076 \h </w:instrText>
            </w:r>
            <w:r>
              <w:rPr>
                <w:noProof/>
                <w:webHidden/>
              </w:rPr>
            </w:r>
            <w:r>
              <w:rPr>
                <w:noProof/>
                <w:webHidden/>
              </w:rPr>
              <w:fldChar w:fldCharType="separate"/>
            </w:r>
            <w:r>
              <w:rPr>
                <w:noProof/>
                <w:webHidden/>
              </w:rPr>
              <w:t>61</w:t>
            </w:r>
            <w:r>
              <w:rPr>
                <w:noProof/>
                <w:webHidden/>
              </w:rPr>
              <w:fldChar w:fldCharType="end"/>
            </w:r>
          </w:hyperlink>
        </w:p>
        <w:p w14:paraId="559467F5" w14:textId="142FC881" w:rsidR="006730A7" w:rsidRDefault="006730A7">
          <w:pPr>
            <w:pStyle w:val="TOC2"/>
            <w:rPr>
              <w:rFonts w:eastAsiaTheme="minorEastAsia" w:cstheme="minorBidi"/>
              <w:iCs w:val="0"/>
              <w:noProof/>
              <w:szCs w:val="22"/>
              <w:lang w:val="en-IE" w:eastAsia="en-IE"/>
            </w:rPr>
          </w:pPr>
          <w:hyperlink w:anchor="_Toc157762077" w:history="1">
            <w:r w:rsidRPr="009505B2">
              <w:rPr>
                <w:rStyle w:val="Hyperlink"/>
                <w:noProof/>
              </w:rPr>
              <w:t>2.4</w:t>
            </w:r>
            <w:r>
              <w:rPr>
                <w:rFonts w:eastAsiaTheme="minorEastAsia" w:cstheme="minorBidi"/>
                <w:iCs w:val="0"/>
                <w:noProof/>
                <w:szCs w:val="22"/>
                <w:lang w:val="en-IE" w:eastAsia="en-IE"/>
              </w:rPr>
              <w:tab/>
            </w:r>
            <w:r w:rsidRPr="009505B2">
              <w:rPr>
                <w:rStyle w:val="Hyperlink"/>
                <w:noProof/>
              </w:rPr>
              <w:t>Hazards and physical disturbance of seabed</w:t>
            </w:r>
            <w:r>
              <w:rPr>
                <w:noProof/>
                <w:webHidden/>
              </w:rPr>
              <w:tab/>
            </w:r>
            <w:r>
              <w:rPr>
                <w:noProof/>
                <w:webHidden/>
              </w:rPr>
              <w:fldChar w:fldCharType="begin"/>
            </w:r>
            <w:r>
              <w:rPr>
                <w:noProof/>
                <w:webHidden/>
              </w:rPr>
              <w:instrText xml:space="preserve"> PAGEREF _Toc157762077 \h </w:instrText>
            </w:r>
            <w:r>
              <w:rPr>
                <w:noProof/>
                <w:webHidden/>
              </w:rPr>
            </w:r>
            <w:r>
              <w:rPr>
                <w:noProof/>
                <w:webHidden/>
              </w:rPr>
              <w:fldChar w:fldCharType="separate"/>
            </w:r>
            <w:r>
              <w:rPr>
                <w:noProof/>
                <w:webHidden/>
              </w:rPr>
              <w:t>63</w:t>
            </w:r>
            <w:r>
              <w:rPr>
                <w:noProof/>
                <w:webHidden/>
              </w:rPr>
              <w:fldChar w:fldCharType="end"/>
            </w:r>
          </w:hyperlink>
        </w:p>
        <w:p w14:paraId="39650210" w14:textId="5EAF7FA7" w:rsidR="006730A7" w:rsidRDefault="006730A7">
          <w:pPr>
            <w:pStyle w:val="TOC3"/>
            <w:rPr>
              <w:rFonts w:eastAsiaTheme="minorEastAsia" w:cstheme="minorBidi"/>
              <w:iCs w:val="0"/>
              <w:noProof/>
              <w:szCs w:val="22"/>
              <w:lang w:val="en-IE" w:eastAsia="en-IE"/>
            </w:rPr>
          </w:pPr>
          <w:hyperlink w:anchor="_Toc157762078" w:history="1">
            <w:r w:rsidRPr="009505B2">
              <w:rPr>
                <w:rStyle w:val="Hyperlink"/>
                <w:bCs/>
                <w:noProof/>
              </w:rPr>
              <w:t>2.4.1</w:t>
            </w:r>
            <w:r>
              <w:rPr>
                <w:rFonts w:eastAsiaTheme="minorEastAsia" w:cstheme="minorBidi"/>
                <w:iCs w:val="0"/>
                <w:noProof/>
                <w:szCs w:val="22"/>
                <w:lang w:val="en-IE" w:eastAsia="en-IE"/>
              </w:rPr>
              <w:tab/>
            </w:r>
            <w:r w:rsidRPr="009505B2">
              <w:rPr>
                <w:rStyle w:val="Hyperlink"/>
                <w:noProof/>
              </w:rPr>
              <w:t>Collisions with animals</w:t>
            </w:r>
            <w:r>
              <w:rPr>
                <w:noProof/>
                <w:webHidden/>
              </w:rPr>
              <w:tab/>
            </w:r>
            <w:r>
              <w:rPr>
                <w:noProof/>
                <w:webHidden/>
              </w:rPr>
              <w:fldChar w:fldCharType="begin"/>
            </w:r>
            <w:r>
              <w:rPr>
                <w:noProof/>
                <w:webHidden/>
              </w:rPr>
              <w:instrText xml:space="preserve"> PAGEREF _Toc157762078 \h </w:instrText>
            </w:r>
            <w:r>
              <w:rPr>
                <w:noProof/>
                <w:webHidden/>
              </w:rPr>
            </w:r>
            <w:r>
              <w:rPr>
                <w:noProof/>
                <w:webHidden/>
              </w:rPr>
              <w:fldChar w:fldCharType="separate"/>
            </w:r>
            <w:r>
              <w:rPr>
                <w:noProof/>
                <w:webHidden/>
              </w:rPr>
              <w:t>63</w:t>
            </w:r>
            <w:r>
              <w:rPr>
                <w:noProof/>
                <w:webHidden/>
              </w:rPr>
              <w:fldChar w:fldCharType="end"/>
            </w:r>
          </w:hyperlink>
        </w:p>
        <w:p w14:paraId="730CF467" w14:textId="04987C41" w:rsidR="006730A7" w:rsidRDefault="006730A7">
          <w:pPr>
            <w:pStyle w:val="TOC3"/>
            <w:rPr>
              <w:rFonts w:eastAsiaTheme="minorEastAsia" w:cstheme="minorBidi"/>
              <w:iCs w:val="0"/>
              <w:noProof/>
              <w:szCs w:val="22"/>
              <w:lang w:val="en-IE" w:eastAsia="en-IE"/>
            </w:rPr>
          </w:pPr>
          <w:hyperlink w:anchor="_Toc157762079" w:history="1">
            <w:r w:rsidRPr="009505B2">
              <w:rPr>
                <w:rStyle w:val="Hyperlink"/>
                <w:bCs/>
                <w:noProof/>
              </w:rPr>
              <w:t>2.4.2</w:t>
            </w:r>
            <w:r>
              <w:rPr>
                <w:rFonts w:eastAsiaTheme="minorEastAsia" w:cstheme="minorBidi"/>
                <w:iCs w:val="0"/>
                <w:noProof/>
                <w:szCs w:val="22"/>
                <w:lang w:val="en-IE" w:eastAsia="en-IE"/>
              </w:rPr>
              <w:tab/>
            </w:r>
            <w:r w:rsidRPr="009505B2">
              <w:rPr>
                <w:rStyle w:val="Hyperlink"/>
                <w:noProof/>
              </w:rPr>
              <w:t>Physical disturbance of the seabed</w:t>
            </w:r>
            <w:r>
              <w:rPr>
                <w:noProof/>
                <w:webHidden/>
              </w:rPr>
              <w:tab/>
            </w:r>
            <w:r>
              <w:rPr>
                <w:noProof/>
                <w:webHidden/>
              </w:rPr>
              <w:fldChar w:fldCharType="begin"/>
            </w:r>
            <w:r>
              <w:rPr>
                <w:noProof/>
                <w:webHidden/>
              </w:rPr>
              <w:instrText xml:space="preserve"> PAGEREF _Toc157762079 \h </w:instrText>
            </w:r>
            <w:r>
              <w:rPr>
                <w:noProof/>
                <w:webHidden/>
              </w:rPr>
            </w:r>
            <w:r>
              <w:rPr>
                <w:noProof/>
                <w:webHidden/>
              </w:rPr>
              <w:fldChar w:fldCharType="separate"/>
            </w:r>
            <w:r>
              <w:rPr>
                <w:noProof/>
                <w:webHidden/>
              </w:rPr>
              <w:t>67</w:t>
            </w:r>
            <w:r>
              <w:rPr>
                <w:noProof/>
                <w:webHidden/>
              </w:rPr>
              <w:fldChar w:fldCharType="end"/>
            </w:r>
          </w:hyperlink>
        </w:p>
        <w:p w14:paraId="53091664" w14:textId="31DB175F" w:rsidR="006730A7" w:rsidRDefault="006730A7">
          <w:pPr>
            <w:pStyle w:val="TOC3"/>
            <w:rPr>
              <w:rFonts w:eastAsiaTheme="minorEastAsia" w:cstheme="minorBidi"/>
              <w:iCs w:val="0"/>
              <w:noProof/>
              <w:szCs w:val="22"/>
              <w:lang w:val="en-IE" w:eastAsia="en-IE"/>
            </w:rPr>
          </w:pPr>
          <w:hyperlink w:anchor="_Toc157762080" w:history="1">
            <w:r w:rsidRPr="009505B2">
              <w:rPr>
                <w:rStyle w:val="Hyperlink"/>
                <w:bCs/>
                <w:noProof/>
              </w:rPr>
              <w:t>2.4.3</w:t>
            </w:r>
            <w:r>
              <w:rPr>
                <w:rFonts w:eastAsiaTheme="minorEastAsia" w:cstheme="minorBidi"/>
                <w:iCs w:val="0"/>
                <w:noProof/>
                <w:szCs w:val="22"/>
                <w:lang w:val="en-IE" w:eastAsia="en-IE"/>
              </w:rPr>
              <w:tab/>
            </w:r>
            <w:r w:rsidRPr="009505B2">
              <w:rPr>
                <w:rStyle w:val="Hyperlink"/>
                <w:noProof/>
              </w:rPr>
              <w:t>Seabed disturbance: A special focus on ports</w:t>
            </w:r>
            <w:r>
              <w:rPr>
                <w:noProof/>
                <w:webHidden/>
              </w:rPr>
              <w:tab/>
            </w:r>
            <w:r>
              <w:rPr>
                <w:noProof/>
                <w:webHidden/>
              </w:rPr>
              <w:fldChar w:fldCharType="begin"/>
            </w:r>
            <w:r>
              <w:rPr>
                <w:noProof/>
                <w:webHidden/>
              </w:rPr>
              <w:instrText xml:space="preserve"> PAGEREF _Toc157762080 \h </w:instrText>
            </w:r>
            <w:r>
              <w:rPr>
                <w:noProof/>
                <w:webHidden/>
              </w:rPr>
            </w:r>
            <w:r>
              <w:rPr>
                <w:noProof/>
                <w:webHidden/>
              </w:rPr>
              <w:fldChar w:fldCharType="separate"/>
            </w:r>
            <w:r>
              <w:rPr>
                <w:noProof/>
                <w:webHidden/>
              </w:rPr>
              <w:t>70</w:t>
            </w:r>
            <w:r>
              <w:rPr>
                <w:noProof/>
                <w:webHidden/>
              </w:rPr>
              <w:fldChar w:fldCharType="end"/>
            </w:r>
          </w:hyperlink>
        </w:p>
        <w:p w14:paraId="1EACE7A7" w14:textId="31230590" w:rsidR="006730A7" w:rsidRDefault="006730A7">
          <w:pPr>
            <w:pStyle w:val="TOC1"/>
            <w:rPr>
              <w:rFonts w:eastAsiaTheme="minorEastAsia" w:cstheme="minorBidi"/>
              <w:iCs w:val="0"/>
              <w:noProof/>
              <w:szCs w:val="22"/>
              <w:lang w:val="en-IE" w:eastAsia="en-IE"/>
            </w:rPr>
          </w:pPr>
          <w:hyperlink w:anchor="_Toc157762081" w:history="1">
            <w:r w:rsidRPr="009505B2">
              <w:rPr>
                <w:rStyle w:val="Hyperlink"/>
                <w:noProof/>
              </w:rPr>
              <w:t>3</w:t>
            </w:r>
            <w:r>
              <w:rPr>
                <w:rFonts w:eastAsiaTheme="minorEastAsia" w:cstheme="minorBidi"/>
                <w:iCs w:val="0"/>
                <w:noProof/>
                <w:szCs w:val="22"/>
                <w:lang w:val="en-IE" w:eastAsia="en-IE"/>
              </w:rPr>
              <w:tab/>
            </w:r>
            <w:r w:rsidRPr="009505B2">
              <w:rPr>
                <w:rStyle w:val="Hyperlink"/>
                <w:noProof/>
              </w:rPr>
              <w:t>Achieving decarbonisation targets</w:t>
            </w:r>
            <w:r>
              <w:rPr>
                <w:noProof/>
                <w:webHidden/>
              </w:rPr>
              <w:tab/>
            </w:r>
            <w:r>
              <w:rPr>
                <w:noProof/>
                <w:webHidden/>
              </w:rPr>
              <w:fldChar w:fldCharType="begin"/>
            </w:r>
            <w:r>
              <w:rPr>
                <w:noProof/>
                <w:webHidden/>
              </w:rPr>
              <w:instrText xml:space="preserve"> PAGEREF _Toc157762081 \h </w:instrText>
            </w:r>
            <w:r>
              <w:rPr>
                <w:noProof/>
                <w:webHidden/>
              </w:rPr>
            </w:r>
            <w:r>
              <w:rPr>
                <w:noProof/>
                <w:webHidden/>
              </w:rPr>
              <w:fldChar w:fldCharType="separate"/>
            </w:r>
            <w:r>
              <w:rPr>
                <w:noProof/>
                <w:webHidden/>
              </w:rPr>
              <w:t>74</w:t>
            </w:r>
            <w:r>
              <w:rPr>
                <w:noProof/>
                <w:webHidden/>
              </w:rPr>
              <w:fldChar w:fldCharType="end"/>
            </w:r>
          </w:hyperlink>
        </w:p>
        <w:p w14:paraId="6A3FA5AA" w14:textId="0399839C" w:rsidR="006730A7" w:rsidRDefault="006730A7">
          <w:pPr>
            <w:pStyle w:val="TOC2"/>
            <w:rPr>
              <w:rFonts w:eastAsiaTheme="minorEastAsia" w:cstheme="minorBidi"/>
              <w:iCs w:val="0"/>
              <w:noProof/>
              <w:szCs w:val="22"/>
              <w:lang w:val="en-IE" w:eastAsia="en-IE"/>
            </w:rPr>
          </w:pPr>
          <w:hyperlink w:anchor="_Toc157762082" w:history="1">
            <w:r w:rsidRPr="009505B2">
              <w:rPr>
                <w:rStyle w:val="Hyperlink"/>
                <w:noProof/>
              </w:rPr>
              <w:t>3.1</w:t>
            </w:r>
            <w:r>
              <w:rPr>
                <w:rFonts w:eastAsiaTheme="minorEastAsia" w:cstheme="minorBidi"/>
                <w:iCs w:val="0"/>
                <w:noProof/>
                <w:szCs w:val="22"/>
                <w:lang w:val="en-IE" w:eastAsia="en-IE"/>
              </w:rPr>
              <w:tab/>
            </w:r>
            <w:r w:rsidRPr="009505B2">
              <w:rPr>
                <w:rStyle w:val="Hyperlink"/>
                <w:noProof/>
              </w:rPr>
              <w:t>An EU basket of measures</w:t>
            </w:r>
            <w:r>
              <w:rPr>
                <w:noProof/>
                <w:webHidden/>
              </w:rPr>
              <w:tab/>
            </w:r>
            <w:r>
              <w:rPr>
                <w:noProof/>
                <w:webHidden/>
              </w:rPr>
              <w:fldChar w:fldCharType="begin"/>
            </w:r>
            <w:r>
              <w:rPr>
                <w:noProof/>
                <w:webHidden/>
              </w:rPr>
              <w:instrText xml:space="preserve"> PAGEREF _Toc157762082 \h </w:instrText>
            </w:r>
            <w:r>
              <w:rPr>
                <w:noProof/>
                <w:webHidden/>
              </w:rPr>
            </w:r>
            <w:r>
              <w:rPr>
                <w:noProof/>
                <w:webHidden/>
              </w:rPr>
              <w:fldChar w:fldCharType="separate"/>
            </w:r>
            <w:r>
              <w:rPr>
                <w:noProof/>
                <w:webHidden/>
              </w:rPr>
              <w:t>74</w:t>
            </w:r>
            <w:r>
              <w:rPr>
                <w:noProof/>
                <w:webHidden/>
              </w:rPr>
              <w:fldChar w:fldCharType="end"/>
            </w:r>
          </w:hyperlink>
        </w:p>
        <w:p w14:paraId="26C36D36" w14:textId="1BB7CD35" w:rsidR="006730A7" w:rsidRDefault="006730A7">
          <w:pPr>
            <w:pStyle w:val="TOC3"/>
            <w:rPr>
              <w:rFonts w:eastAsiaTheme="minorEastAsia" w:cstheme="minorBidi"/>
              <w:iCs w:val="0"/>
              <w:noProof/>
              <w:szCs w:val="22"/>
              <w:lang w:val="en-IE" w:eastAsia="en-IE"/>
            </w:rPr>
          </w:pPr>
          <w:hyperlink w:anchor="_Toc157762083" w:history="1">
            <w:r w:rsidRPr="009505B2">
              <w:rPr>
                <w:rStyle w:val="Hyperlink"/>
                <w:bCs/>
                <w:noProof/>
              </w:rPr>
              <w:t>3.1.1</w:t>
            </w:r>
            <w:r>
              <w:rPr>
                <w:rFonts w:eastAsiaTheme="minorEastAsia" w:cstheme="minorBidi"/>
                <w:iCs w:val="0"/>
                <w:noProof/>
                <w:szCs w:val="22"/>
                <w:lang w:val="en-IE" w:eastAsia="en-IE"/>
              </w:rPr>
              <w:tab/>
            </w:r>
            <w:r w:rsidRPr="009505B2">
              <w:rPr>
                <w:rStyle w:val="Hyperlink"/>
                <w:noProof/>
              </w:rPr>
              <w:t>EU Emission Trading System</w:t>
            </w:r>
            <w:r>
              <w:rPr>
                <w:noProof/>
                <w:webHidden/>
              </w:rPr>
              <w:tab/>
            </w:r>
            <w:r>
              <w:rPr>
                <w:noProof/>
                <w:webHidden/>
              </w:rPr>
              <w:fldChar w:fldCharType="begin"/>
            </w:r>
            <w:r>
              <w:rPr>
                <w:noProof/>
                <w:webHidden/>
              </w:rPr>
              <w:instrText xml:space="preserve"> PAGEREF _Toc157762083 \h </w:instrText>
            </w:r>
            <w:r>
              <w:rPr>
                <w:noProof/>
                <w:webHidden/>
              </w:rPr>
            </w:r>
            <w:r>
              <w:rPr>
                <w:noProof/>
                <w:webHidden/>
              </w:rPr>
              <w:fldChar w:fldCharType="separate"/>
            </w:r>
            <w:r>
              <w:rPr>
                <w:noProof/>
                <w:webHidden/>
              </w:rPr>
              <w:t>74</w:t>
            </w:r>
            <w:r>
              <w:rPr>
                <w:noProof/>
                <w:webHidden/>
              </w:rPr>
              <w:fldChar w:fldCharType="end"/>
            </w:r>
          </w:hyperlink>
        </w:p>
        <w:p w14:paraId="32416D29" w14:textId="37E67E3B" w:rsidR="006730A7" w:rsidRDefault="006730A7">
          <w:pPr>
            <w:pStyle w:val="TOC3"/>
            <w:rPr>
              <w:rFonts w:eastAsiaTheme="minorEastAsia" w:cstheme="minorBidi"/>
              <w:iCs w:val="0"/>
              <w:noProof/>
              <w:szCs w:val="22"/>
              <w:lang w:val="en-IE" w:eastAsia="en-IE"/>
            </w:rPr>
          </w:pPr>
          <w:hyperlink w:anchor="_Toc157762084" w:history="1">
            <w:r w:rsidRPr="009505B2">
              <w:rPr>
                <w:rStyle w:val="Hyperlink"/>
                <w:bCs/>
                <w:noProof/>
              </w:rPr>
              <w:t>3.1.2</w:t>
            </w:r>
            <w:r>
              <w:rPr>
                <w:rFonts w:eastAsiaTheme="minorEastAsia" w:cstheme="minorBidi"/>
                <w:iCs w:val="0"/>
                <w:noProof/>
                <w:szCs w:val="22"/>
                <w:lang w:val="en-IE" w:eastAsia="en-IE"/>
              </w:rPr>
              <w:tab/>
            </w:r>
            <w:r w:rsidRPr="009505B2">
              <w:rPr>
                <w:rStyle w:val="Hyperlink"/>
                <w:noProof/>
              </w:rPr>
              <w:t>Fuel EU Maritime</w:t>
            </w:r>
            <w:r>
              <w:rPr>
                <w:noProof/>
                <w:webHidden/>
              </w:rPr>
              <w:tab/>
            </w:r>
            <w:r>
              <w:rPr>
                <w:noProof/>
                <w:webHidden/>
              </w:rPr>
              <w:fldChar w:fldCharType="begin"/>
            </w:r>
            <w:r>
              <w:rPr>
                <w:noProof/>
                <w:webHidden/>
              </w:rPr>
              <w:instrText xml:space="preserve"> PAGEREF _Toc157762084 \h </w:instrText>
            </w:r>
            <w:r>
              <w:rPr>
                <w:noProof/>
                <w:webHidden/>
              </w:rPr>
            </w:r>
            <w:r>
              <w:rPr>
                <w:noProof/>
                <w:webHidden/>
              </w:rPr>
              <w:fldChar w:fldCharType="separate"/>
            </w:r>
            <w:r>
              <w:rPr>
                <w:noProof/>
                <w:webHidden/>
              </w:rPr>
              <w:t>75</w:t>
            </w:r>
            <w:r>
              <w:rPr>
                <w:noProof/>
                <w:webHidden/>
              </w:rPr>
              <w:fldChar w:fldCharType="end"/>
            </w:r>
          </w:hyperlink>
        </w:p>
        <w:p w14:paraId="13058EBF" w14:textId="0C3191C4" w:rsidR="006730A7" w:rsidRDefault="006730A7">
          <w:pPr>
            <w:pStyle w:val="TOC3"/>
            <w:rPr>
              <w:rFonts w:eastAsiaTheme="minorEastAsia" w:cstheme="minorBidi"/>
              <w:iCs w:val="0"/>
              <w:noProof/>
              <w:szCs w:val="22"/>
              <w:lang w:val="en-IE" w:eastAsia="en-IE"/>
            </w:rPr>
          </w:pPr>
          <w:hyperlink w:anchor="_Toc157762085" w:history="1">
            <w:r w:rsidRPr="009505B2">
              <w:rPr>
                <w:rStyle w:val="Hyperlink"/>
                <w:bCs/>
                <w:noProof/>
              </w:rPr>
              <w:t>3.1.3</w:t>
            </w:r>
            <w:r>
              <w:rPr>
                <w:rFonts w:eastAsiaTheme="minorEastAsia" w:cstheme="minorBidi"/>
                <w:iCs w:val="0"/>
                <w:noProof/>
                <w:szCs w:val="22"/>
                <w:lang w:val="en-IE" w:eastAsia="en-IE"/>
              </w:rPr>
              <w:tab/>
            </w:r>
            <w:r w:rsidRPr="009505B2">
              <w:rPr>
                <w:rStyle w:val="Hyperlink"/>
                <w:noProof/>
              </w:rPr>
              <w:t>Alternative Fuel Infrastructure Regulation</w:t>
            </w:r>
            <w:r>
              <w:rPr>
                <w:noProof/>
                <w:webHidden/>
              </w:rPr>
              <w:tab/>
            </w:r>
            <w:r>
              <w:rPr>
                <w:noProof/>
                <w:webHidden/>
              </w:rPr>
              <w:fldChar w:fldCharType="begin"/>
            </w:r>
            <w:r>
              <w:rPr>
                <w:noProof/>
                <w:webHidden/>
              </w:rPr>
              <w:instrText xml:space="preserve"> PAGEREF _Toc157762085 \h </w:instrText>
            </w:r>
            <w:r>
              <w:rPr>
                <w:noProof/>
                <w:webHidden/>
              </w:rPr>
            </w:r>
            <w:r>
              <w:rPr>
                <w:noProof/>
                <w:webHidden/>
              </w:rPr>
              <w:fldChar w:fldCharType="separate"/>
            </w:r>
            <w:r>
              <w:rPr>
                <w:noProof/>
                <w:webHidden/>
              </w:rPr>
              <w:t>75</w:t>
            </w:r>
            <w:r>
              <w:rPr>
                <w:noProof/>
                <w:webHidden/>
              </w:rPr>
              <w:fldChar w:fldCharType="end"/>
            </w:r>
          </w:hyperlink>
        </w:p>
        <w:p w14:paraId="5741E87D" w14:textId="59033224" w:rsidR="006730A7" w:rsidRDefault="006730A7">
          <w:pPr>
            <w:pStyle w:val="TOC3"/>
            <w:rPr>
              <w:rFonts w:eastAsiaTheme="minorEastAsia" w:cstheme="minorBidi"/>
              <w:iCs w:val="0"/>
              <w:noProof/>
              <w:szCs w:val="22"/>
              <w:lang w:val="en-IE" w:eastAsia="en-IE"/>
            </w:rPr>
          </w:pPr>
          <w:hyperlink w:anchor="_Toc157762086" w:history="1">
            <w:r w:rsidRPr="009505B2">
              <w:rPr>
                <w:rStyle w:val="Hyperlink"/>
                <w:bCs/>
                <w:noProof/>
              </w:rPr>
              <w:t>3.1.4</w:t>
            </w:r>
            <w:r>
              <w:rPr>
                <w:rFonts w:eastAsiaTheme="minorEastAsia" w:cstheme="minorBidi"/>
                <w:iCs w:val="0"/>
                <w:noProof/>
                <w:szCs w:val="22"/>
                <w:lang w:val="en-IE" w:eastAsia="en-IE"/>
              </w:rPr>
              <w:tab/>
            </w:r>
            <w:r w:rsidRPr="009505B2">
              <w:rPr>
                <w:rStyle w:val="Hyperlink"/>
                <w:noProof/>
              </w:rPr>
              <w:t>Renewable Energy Directive</w:t>
            </w:r>
            <w:r>
              <w:rPr>
                <w:noProof/>
                <w:webHidden/>
              </w:rPr>
              <w:tab/>
            </w:r>
            <w:r>
              <w:rPr>
                <w:noProof/>
                <w:webHidden/>
              </w:rPr>
              <w:fldChar w:fldCharType="begin"/>
            </w:r>
            <w:r>
              <w:rPr>
                <w:noProof/>
                <w:webHidden/>
              </w:rPr>
              <w:instrText xml:space="preserve"> PAGEREF _Toc157762086 \h </w:instrText>
            </w:r>
            <w:r>
              <w:rPr>
                <w:noProof/>
                <w:webHidden/>
              </w:rPr>
            </w:r>
            <w:r>
              <w:rPr>
                <w:noProof/>
                <w:webHidden/>
              </w:rPr>
              <w:fldChar w:fldCharType="separate"/>
            </w:r>
            <w:r>
              <w:rPr>
                <w:noProof/>
                <w:webHidden/>
              </w:rPr>
              <w:t>75</w:t>
            </w:r>
            <w:r>
              <w:rPr>
                <w:noProof/>
                <w:webHidden/>
              </w:rPr>
              <w:fldChar w:fldCharType="end"/>
            </w:r>
          </w:hyperlink>
        </w:p>
        <w:p w14:paraId="1680D89B" w14:textId="3D372D8B" w:rsidR="006730A7" w:rsidRDefault="006730A7">
          <w:pPr>
            <w:pStyle w:val="TOC3"/>
            <w:rPr>
              <w:rFonts w:eastAsiaTheme="minorEastAsia" w:cstheme="minorBidi"/>
              <w:iCs w:val="0"/>
              <w:noProof/>
              <w:szCs w:val="22"/>
              <w:lang w:val="en-IE" w:eastAsia="en-IE"/>
            </w:rPr>
          </w:pPr>
          <w:hyperlink w:anchor="_Toc157762087" w:history="1">
            <w:r w:rsidRPr="009505B2">
              <w:rPr>
                <w:rStyle w:val="Hyperlink"/>
                <w:bCs/>
                <w:noProof/>
              </w:rPr>
              <w:t>3.1.5</w:t>
            </w:r>
            <w:r>
              <w:rPr>
                <w:rFonts w:eastAsiaTheme="minorEastAsia" w:cstheme="minorBidi"/>
                <w:iCs w:val="0"/>
                <w:noProof/>
                <w:szCs w:val="22"/>
                <w:lang w:val="en-IE" w:eastAsia="en-IE"/>
              </w:rPr>
              <w:tab/>
            </w:r>
            <w:r w:rsidRPr="009505B2">
              <w:rPr>
                <w:rStyle w:val="Hyperlink"/>
                <w:noProof/>
              </w:rPr>
              <w:t>Energy Taxation Directive</w:t>
            </w:r>
            <w:r>
              <w:rPr>
                <w:noProof/>
                <w:webHidden/>
              </w:rPr>
              <w:tab/>
            </w:r>
            <w:r>
              <w:rPr>
                <w:noProof/>
                <w:webHidden/>
              </w:rPr>
              <w:fldChar w:fldCharType="begin"/>
            </w:r>
            <w:r>
              <w:rPr>
                <w:noProof/>
                <w:webHidden/>
              </w:rPr>
              <w:instrText xml:space="preserve"> PAGEREF _Toc157762087 \h </w:instrText>
            </w:r>
            <w:r>
              <w:rPr>
                <w:noProof/>
                <w:webHidden/>
              </w:rPr>
            </w:r>
            <w:r>
              <w:rPr>
                <w:noProof/>
                <w:webHidden/>
              </w:rPr>
              <w:fldChar w:fldCharType="separate"/>
            </w:r>
            <w:r>
              <w:rPr>
                <w:noProof/>
                <w:webHidden/>
              </w:rPr>
              <w:t>76</w:t>
            </w:r>
            <w:r>
              <w:rPr>
                <w:noProof/>
                <w:webHidden/>
              </w:rPr>
              <w:fldChar w:fldCharType="end"/>
            </w:r>
          </w:hyperlink>
        </w:p>
        <w:p w14:paraId="680279F0" w14:textId="60817621" w:rsidR="006730A7" w:rsidRDefault="006730A7">
          <w:pPr>
            <w:pStyle w:val="TOC2"/>
            <w:rPr>
              <w:rFonts w:eastAsiaTheme="minorEastAsia" w:cstheme="minorBidi"/>
              <w:iCs w:val="0"/>
              <w:noProof/>
              <w:szCs w:val="22"/>
              <w:lang w:val="en-IE" w:eastAsia="en-IE"/>
            </w:rPr>
          </w:pPr>
          <w:hyperlink w:anchor="_Toc157762088" w:history="1">
            <w:r w:rsidRPr="009505B2">
              <w:rPr>
                <w:rStyle w:val="Hyperlink"/>
                <w:noProof/>
              </w:rPr>
              <w:t>3.2</w:t>
            </w:r>
            <w:r>
              <w:rPr>
                <w:rFonts w:eastAsiaTheme="minorEastAsia" w:cstheme="minorBidi"/>
                <w:iCs w:val="0"/>
                <w:noProof/>
                <w:szCs w:val="22"/>
                <w:lang w:val="en-IE" w:eastAsia="en-IE"/>
              </w:rPr>
              <w:tab/>
            </w:r>
            <w:r w:rsidRPr="009505B2">
              <w:rPr>
                <w:rStyle w:val="Hyperlink"/>
                <w:noProof/>
              </w:rPr>
              <w:t>Climate neutral energy solutions</w:t>
            </w:r>
            <w:r>
              <w:rPr>
                <w:noProof/>
                <w:webHidden/>
              </w:rPr>
              <w:tab/>
            </w:r>
            <w:r>
              <w:rPr>
                <w:noProof/>
                <w:webHidden/>
              </w:rPr>
              <w:fldChar w:fldCharType="begin"/>
            </w:r>
            <w:r>
              <w:rPr>
                <w:noProof/>
                <w:webHidden/>
              </w:rPr>
              <w:instrText xml:space="preserve"> PAGEREF _Toc157762088 \h </w:instrText>
            </w:r>
            <w:r>
              <w:rPr>
                <w:noProof/>
                <w:webHidden/>
              </w:rPr>
            </w:r>
            <w:r>
              <w:rPr>
                <w:noProof/>
                <w:webHidden/>
              </w:rPr>
              <w:fldChar w:fldCharType="separate"/>
            </w:r>
            <w:r>
              <w:rPr>
                <w:noProof/>
                <w:webHidden/>
              </w:rPr>
              <w:t>76</w:t>
            </w:r>
            <w:r>
              <w:rPr>
                <w:noProof/>
                <w:webHidden/>
              </w:rPr>
              <w:fldChar w:fldCharType="end"/>
            </w:r>
          </w:hyperlink>
        </w:p>
        <w:p w14:paraId="420CDEE7" w14:textId="29FC5EF6" w:rsidR="006730A7" w:rsidRDefault="006730A7">
          <w:pPr>
            <w:pStyle w:val="TOC3"/>
            <w:rPr>
              <w:rFonts w:eastAsiaTheme="minorEastAsia" w:cstheme="minorBidi"/>
              <w:iCs w:val="0"/>
              <w:noProof/>
              <w:szCs w:val="22"/>
              <w:lang w:val="en-IE" w:eastAsia="en-IE"/>
            </w:rPr>
          </w:pPr>
          <w:hyperlink w:anchor="_Toc157762089" w:history="1">
            <w:r w:rsidRPr="009505B2">
              <w:rPr>
                <w:rStyle w:val="Hyperlink"/>
                <w:bCs/>
                <w:noProof/>
              </w:rPr>
              <w:t>3.2.1</w:t>
            </w:r>
            <w:r>
              <w:rPr>
                <w:rFonts w:eastAsiaTheme="minorEastAsia" w:cstheme="minorBidi"/>
                <w:iCs w:val="0"/>
                <w:noProof/>
                <w:szCs w:val="22"/>
                <w:lang w:val="en-IE" w:eastAsia="en-IE"/>
              </w:rPr>
              <w:tab/>
            </w:r>
            <w:r w:rsidRPr="009505B2">
              <w:rPr>
                <w:rStyle w:val="Hyperlink"/>
                <w:noProof/>
              </w:rPr>
              <w:t>Biofuels</w:t>
            </w:r>
            <w:r>
              <w:rPr>
                <w:noProof/>
                <w:webHidden/>
              </w:rPr>
              <w:tab/>
            </w:r>
            <w:r>
              <w:rPr>
                <w:noProof/>
                <w:webHidden/>
              </w:rPr>
              <w:fldChar w:fldCharType="begin"/>
            </w:r>
            <w:r>
              <w:rPr>
                <w:noProof/>
                <w:webHidden/>
              </w:rPr>
              <w:instrText xml:space="preserve"> PAGEREF _Toc157762089 \h </w:instrText>
            </w:r>
            <w:r>
              <w:rPr>
                <w:noProof/>
                <w:webHidden/>
              </w:rPr>
            </w:r>
            <w:r>
              <w:rPr>
                <w:noProof/>
                <w:webHidden/>
              </w:rPr>
              <w:fldChar w:fldCharType="separate"/>
            </w:r>
            <w:r>
              <w:rPr>
                <w:noProof/>
                <w:webHidden/>
              </w:rPr>
              <w:t>76</w:t>
            </w:r>
            <w:r>
              <w:rPr>
                <w:noProof/>
                <w:webHidden/>
              </w:rPr>
              <w:fldChar w:fldCharType="end"/>
            </w:r>
          </w:hyperlink>
        </w:p>
        <w:p w14:paraId="02D02148" w14:textId="5214EA74" w:rsidR="006730A7" w:rsidRDefault="006730A7">
          <w:pPr>
            <w:pStyle w:val="TOC3"/>
            <w:rPr>
              <w:rFonts w:eastAsiaTheme="minorEastAsia" w:cstheme="minorBidi"/>
              <w:iCs w:val="0"/>
              <w:noProof/>
              <w:szCs w:val="22"/>
              <w:lang w:val="en-IE" w:eastAsia="en-IE"/>
            </w:rPr>
          </w:pPr>
          <w:hyperlink w:anchor="_Toc157762090" w:history="1">
            <w:r w:rsidRPr="009505B2">
              <w:rPr>
                <w:rStyle w:val="Hyperlink"/>
                <w:bCs/>
                <w:noProof/>
              </w:rPr>
              <w:t>3.2.2</w:t>
            </w:r>
            <w:r>
              <w:rPr>
                <w:rFonts w:eastAsiaTheme="minorEastAsia" w:cstheme="minorBidi"/>
                <w:iCs w:val="0"/>
                <w:noProof/>
                <w:szCs w:val="22"/>
                <w:lang w:val="en-IE" w:eastAsia="en-IE"/>
              </w:rPr>
              <w:tab/>
            </w:r>
            <w:r w:rsidRPr="009505B2">
              <w:rPr>
                <w:rStyle w:val="Hyperlink"/>
                <w:noProof/>
              </w:rPr>
              <w:t>Methanol</w:t>
            </w:r>
            <w:r>
              <w:rPr>
                <w:noProof/>
                <w:webHidden/>
              </w:rPr>
              <w:tab/>
            </w:r>
            <w:r>
              <w:rPr>
                <w:noProof/>
                <w:webHidden/>
              </w:rPr>
              <w:fldChar w:fldCharType="begin"/>
            </w:r>
            <w:r>
              <w:rPr>
                <w:noProof/>
                <w:webHidden/>
              </w:rPr>
              <w:instrText xml:space="preserve"> PAGEREF _Toc157762090 \h </w:instrText>
            </w:r>
            <w:r>
              <w:rPr>
                <w:noProof/>
                <w:webHidden/>
              </w:rPr>
            </w:r>
            <w:r>
              <w:rPr>
                <w:noProof/>
                <w:webHidden/>
              </w:rPr>
              <w:fldChar w:fldCharType="separate"/>
            </w:r>
            <w:r>
              <w:rPr>
                <w:noProof/>
                <w:webHidden/>
              </w:rPr>
              <w:t>76</w:t>
            </w:r>
            <w:r>
              <w:rPr>
                <w:noProof/>
                <w:webHidden/>
              </w:rPr>
              <w:fldChar w:fldCharType="end"/>
            </w:r>
          </w:hyperlink>
        </w:p>
        <w:p w14:paraId="05998713" w14:textId="6CC7F6C1" w:rsidR="006730A7" w:rsidRDefault="006730A7">
          <w:pPr>
            <w:pStyle w:val="TOC3"/>
            <w:rPr>
              <w:rFonts w:eastAsiaTheme="minorEastAsia" w:cstheme="minorBidi"/>
              <w:iCs w:val="0"/>
              <w:noProof/>
              <w:szCs w:val="22"/>
              <w:lang w:val="en-IE" w:eastAsia="en-IE"/>
            </w:rPr>
          </w:pPr>
          <w:hyperlink w:anchor="_Toc157762091" w:history="1">
            <w:r w:rsidRPr="009505B2">
              <w:rPr>
                <w:rStyle w:val="Hyperlink"/>
                <w:bCs/>
                <w:noProof/>
              </w:rPr>
              <w:t>3.2.3</w:t>
            </w:r>
            <w:r>
              <w:rPr>
                <w:rFonts w:eastAsiaTheme="minorEastAsia" w:cstheme="minorBidi"/>
                <w:iCs w:val="0"/>
                <w:noProof/>
                <w:szCs w:val="22"/>
                <w:lang w:val="en-IE" w:eastAsia="en-IE"/>
              </w:rPr>
              <w:tab/>
            </w:r>
            <w:r w:rsidRPr="009505B2">
              <w:rPr>
                <w:rStyle w:val="Hyperlink"/>
                <w:noProof/>
              </w:rPr>
              <w:t>Hydrogen</w:t>
            </w:r>
            <w:r>
              <w:rPr>
                <w:noProof/>
                <w:webHidden/>
              </w:rPr>
              <w:tab/>
            </w:r>
            <w:r>
              <w:rPr>
                <w:noProof/>
                <w:webHidden/>
              </w:rPr>
              <w:fldChar w:fldCharType="begin"/>
            </w:r>
            <w:r>
              <w:rPr>
                <w:noProof/>
                <w:webHidden/>
              </w:rPr>
              <w:instrText xml:space="preserve"> PAGEREF _Toc157762091 \h </w:instrText>
            </w:r>
            <w:r>
              <w:rPr>
                <w:noProof/>
                <w:webHidden/>
              </w:rPr>
            </w:r>
            <w:r>
              <w:rPr>
                <w:noProof/>
                <w:webHidden/>
              </w:rPr>
              <w:fldChar w:fldCharType="separate"/>
            </w:r>
            <w:r>
              <w:rPr>
                <w:noProof/>
                <w:webHidden/>
              </w:rPr>
              <w:t>77</w:t>
            </w:r>
            <w:r>
              <w:rPr>
                <w:noProof/>
                <w:webHidden/>
              </w:rPr>
              <w:fldChar w:fldCharType="end"/>
            </w:r>
          </w:hyperlink>
        </w:p>
        <w:p w14:paraId="6DDF950E" w14:textId="42D55244" w:rsidR="006730A7" w:rsidRDefault="006730A7">
          <w:pPr>
            <w:pStyle w:val="TOC3"/>
            <w:rPr>
              <w:rFonts w:eastAsiaTheme="minorEastAsia" w:cstheme="minorBidi"/>
              <w:iCs w:val="0"/>
              <w:noProof/>
              <w:szCs w:val="22"/>
              <w:lang w:val="en-IE" w:eastAsia="en-IE"/>
            </w:rPr>
          </w:pPr>
          <w:hyperlink w:anchor="_Toc157762092" w:history="1">
            <w:r w:rsidRPr="009505B2">
              <w:rPr>
                <w:rStyle w:val="Hyperlink"/>
                <w:bCs/>
                <w:noProof/>
              </w:rPr>
              <w:t>3.2.4</w:t>
            </w:r>
            <w:r>
              <w:rPr>
                <w:rFonts w:eastAsiaTheme="minorEastAsia" w:cstheme="minorBidi"/>
                <w:iCs w:val="0"/>
                <w:noProof/>
                <w:szCs w:val="22"/>
                <w:lang w:val="en-IE" w:eastAsia="en-IE"/>
              </w:rPr>
              <w:tab/>
            </w:r>
            <w:r w:rsidRPr="009505B2">
              <w:rPr>
                <w:rStyle w:val="Hyperlink"/>
                <w:noProof/>
              </w:rPr>
              <w:t>Synthetic fuels</w:t>
            </w:r>
            <w:r>
              <w:rPr>
                <w:noProof/>
                <w:webHidden/>
              </w:rPr>
              <w:tab/>
            </w:r>
            <w:r>
              <w:rPr>
                <w:noProof/>
                <w:webHidden/>
              </w:rPr>
              <w:fldChar w:fldCharType="begin"/>
            </w:r>
            <w:r>
              <w:rPr>
                <w:noProof/>
                <w:webHidden/>
              </w:rPr>
              <w:instrText xml:space="preserve"> PAGEREF _Toc157762092 \h </w:instrText>
            </w:r>
            <w:r>
              <w:rPr>
                <w:noProof/>
                <w:webHidden/>
              </w:rPr>
            </w:r>
            <w:r>
              <w:rPr>
                <w:noProof/>
                <w:webHidden/>
              </w:rPr>
              <w:fldChar w:fldCharType="separate"/>
            </w:r>
            <w:r>
              <w:rPr>
                <w:noProof/>
                <w:webHidden/>
              </w:rPr>
              <w:t>78</w:t>
            </w:r>
            <w:r>
              <w:rPr>
                <w:noProof/>
                <w:webHidden/>
              </w:rPr>
              <w:fldChar w:fldCharType="end"/>
            </w:r>
          </w:hyperlink>
        </w:p>
        <w:p w14:paraId="356630EA" w14:textId="3A980AAB" w:rsidR="006730A7" w:rsidRDefault="006730A7">
          <w:pPr>
            <w:pStyle w:val="TOC3"/>
            <w:rPr>
              <w:rFonts w:eastAsiaTheme="minorEastAsia" w:cstheme="minorBidi"/>
              <w:iCs w:val="0"/>
              <w:noProof/>
              <w:szCs w:val="22"/>
              <w:lang w:val="en-IE" w:eastAsia="en-IE"/>
            </w:rPr>
          </w:pPr>
          <w:hyperlink w:anchor="_Toc157762093" w:history="1">
            <w:r w:rsidRPr="009505B2">
              <w:rPr>
                <w:rStyle w:val="Hyperlink"/>
                <w:bCs/>
                <w:noProof/>
              </w:rPr>
              <w:t>3.2.5</w:t>
            </w:r>
            <w:r>
              <w:rPr>
                <w:rFonts w:eastAsiaTheme="minorEastAsia" w:cstheme="minorBidi"/>
                <w:iCs w:val="0"/>
                <w:noProof/>
                <w:szCs w:val="22"/>
                <w:lang w:val="en-IE" w:eastAsia="en-IE"/>
              </w:rPr>
              <w:tab/>
            </w:r>
            <w:r w:rsidRPr="009505B2">
              <w:rPr>
                <w:rStyle w:val="Hyperlink"/>
                <w:noProof/>
              </w:rPr>
              <w:t>Ammonia</w:t>
            </w:r>
            <w:r>
              <w:rPr>
                <w:noProof/>
                <w:webHidden/>
              </w:rPr>
              <w:tab/>
            </w:r>
            <w:r>
              <w:rPr>
                <w:noProof/>
                <w:webHidden/>
              </w:rPr>
              <w:fldChar w:fldCharType="begin"/>
            </w:r>
            <w:r>
              <w:rPr>
                <w:noProof/>
                <w:webHidden/>
              </w:rPr>
              <w:instrText xml:space="preserve"> PAGEREF _Toc157762093 \h </w:instrText>
            </w:r>
            <w:r>
              <w:rPr>
                <w:noProof/>
                <w:webHidden/>
              </w:rPr>
            </w:r>
            <w:r>
              <w:rPr>
                <w:noProof/>
                <w:webHidden/>
              </w:rPr>
              <w:fldChar w:fldCharType="separate"/>
            </w:r>
            <w:r>
              <w:rPr>
                <w:noProof/>
                <w:webHidden/>
              </w:rPr>
              <w:t>79</w:t>
            </w:r>
            <w:r>
              <w:rPr>
                <w:noProof/>
                <w:webHidden/>
              </w:rPr>
              <w:fldChar w:fldCharType="end"/>
            </w:r>
          </w:hyperlink>
        </w:p>
        <w:p w14:paraId="2C6F4EDC" w14:textId="2D88F657" w:rsidR="006730A7" w:rsidRDefault="006730A7">
          <w:pPr>
            <w:pStyle w:val="TOC3"/>
            <w:rPr>
              <w:rFonts w:eastAsiaTheme="minorEastAsia" w:cstheme="minorBidi"/>
              <w:iCs w:val="0"/>
              <w:noProof/>
              <w:szCs w:val="22"/>
              <w:lang w:val="en-IE" w:eastAsia="en-IE"/>
            </w:rPr>
          </w:pPr>
          <w:hyperlink w:anchor="_Toc157762094" w:history="1">
            <w:r w:rsidRPr="009505B2">
              <w:rPr>
                <w:rStyle w:val="Hyperlink"/>
                <w:bCs/>
                <w:noProof/>
              </w:rPr>
              <w:t>3.2.6</w:t>
            </w:r>
            <w:r>
              <w:rPr>
                <w:rFonts w:eastAsiaTheme="minorEastAsia" w:cstheme="minorBidi"/>
                <w:iCs w:val="0"/>
                <w:noProof/>
                <w:szCs w:val="22"/>
                <w:lang w:val="en-IE" w:eastAsia="en-IE"/>
              </w:rPr>
              <w:tab/>
            </w:r>
            <w:r w:rsidRPr="009505B2">
              <w:rPr>
                <w:rStyle w:val="Hyperlink"/>
                <w:noProof/>
              </w:rPr>
              <w:t>Wind assistance</w:t>
            </w:r>
            <w:r>
              <w:rPr>
                <w:noProof/>
                <w:webHidden/>
              </w:rPr>
              <w:tab/>
            </w:r>
            <w:r>
              <w:rPr>
                <w:noProof/>
                <w:webHidden/>
              </w:rPr>
              <w:fldChar w:fldCharType="begin"/>
            </w:r>
            <w:r>
              <w:rPr>
                <w:noProof/>
                <w:webHidden/>
              </w:rPr>
              <w:instrText xml:space="preserve"> PAGEREF _Toc157762094 \h </w:instrText>
            </w:r>
            <w:r>
              <w:rPr>
                <w:noProof/>
                <w:webHidden/>
              </w:rPr>
            </w:r>
            <w:r>
              <w:rPr>
                <w:noProof/>
                <w:webHidden/>
              </w:rPr>
              <w:fldChar w:fldCharType="separate"/>
            </w:r>
            <w:r>
              <w:rPr>
                <w:noProof/>
                <w:webHidden/>
              </w:rPr>
              <w:t>80</w:t>
            </w:r>
            <w:r>
              <w:rPr>
                <w:noProof/>
                <w:webHidden/>
              </w:rPr>
              <w:fldChar w:fldCharType="end"/>
            </w:r>
          </w:hyperlink>
        </w:p>
        <w:p w14:paraId="45311D32" w14:textId="40F21865" w:rsidR="006730A7" w:rsidRDefault="006730A7">
          <w:pPr>
            <w:pStyle w:val="TOC3"/>
            <w:rPr>
              <w:rFonts w:eastAsiaTheme="minorEastAsia" w:cstheme="minorBidi"/>
              <w:iCs w:val="0"/>
              <w:noProof/>
              <w:szCs w:val="22"/>
              <w:lang w:val="en-IE" w:eastAsia="en-IE"/>
            </w:rPr>
          </w:pPr>
          <w:hyperlink w:anchor="_Toc157762095" w:history="1">
            <w:r w:rsidRPr="009505B2">
              <w:rPr>
                <w:rStyle w:val="Hyperlink"/>
                <w:bCs/>
                <w:noProof/>
              </w:rPr>
              <w:t>3.2.7</w:t>
            </w:r>
            <w:r>
              <w:rPr>
                <w:rFonts w:eastAsiaTheme="minorEastAsia" w:cstheme="minorBidi"/>
                <w:iCs w:val="0"/>
                <w:noProof/>
                <w:szCs w:val="22"/>
                <w:lang w:val="en-IE" w:eastAsia="en-IE"/>
              </w:rPr>
              <w:tab/>
            </w:r>
            <w:r w:rsidRPr="009505B2">
              <w:rPr>
                <w:rStyle w:val="Hyperlink"/>
                <w:noProof/>
              </w:rPr>
              <w:t>Batteries</w:t>
            </w:r>
            <w:r>
              <w:rPr>
                <w:noProof/>
                <w:webHidden/>
              </w:rPr>
              <w:tab/>
            </w:r>
            <w:r>
              <w:rPr>
                <w:noProof/>
                <w:webHidden/>
              </w:rPr>
              <w:fldChar w:fldCharType="begin"/>
            </w:r>
            <w:r>
              <w:rPr>
                <w:noProof/>
                <w:webHidden/>
              </w:rPr>
              <w:instrText xml:space="preserve"> PAGEREF _Toc157762095 \h </w:instrText>
            </w:r>
            <w:r>
              <w:rPr>
                <w:noProof/>
                <w:webHidden/>
              </w:rPr>
            </w:r>
            <w:r>
              <w:rPr>
                <w:noProof/>
                <w:webHidden/>
              </w:rPr>
              <w:fldChar w:fldCharType="separate"/>
            </w:r>
            <w:r>
              <w:rPr>
                <w:noProof/>
                <w:webHidden/>
              </w:rPr>
              <w:t>81</w:t>
            </w:r>
            <w:r>
              <w:rPr>
                <w:noProof/>
                <w:webHidden/>
              </w:rPr>
              <w:fldChar w:fldCharType="end"/>
            </w:r>
          </w:hyperlink>
        </w:p>
        <w:p w14:paraId="0839E7C0" w14:textId="50362933" w:rsidR="006730A7" w:rsidRDefault="006730A7">
          <w:pPr>
            <w:pStyle w:val="TOC3"/>
            <w:rPr>
              <w:rFonts w:eastAsiaTheme="minorEastAsia" w:cstheme="minorBidi"/>
              <w:iCs w:val="0"/>
              <w:noProof/>
              <w:szCs w:val="22"/>
              <w:lang w:val="en-IE" w:eastAsia="en-IE"/>
            </w:rPr>
          </w:pPr>
          <w:hyperlink w:anchor="_Toc157762096" w:history="1">
            <w:r w:rsidRPr="009505B2">
              <w:rPr>
                <w:rStyle w:val="Hyperlink"/>
                <w:bCs/>
                <w:noProof/>
              </w:rPr>
              <w:t>3.2.8</w:t>
            </w:r>
            <w:r>
              <w:rPr>
                <w:rFonts w:eastAsiaTheme="minorEastAsia" w:cstheme="minorBidi"/>
                <w:iCs w:val="0"/>
                <w:noProof/>
                <w:szCs w:val="22"/>
                <w:lang w:val="en-IE" w:eastAsia="en-IE"/>
              </w:rPr>
              <w:tab/>
            </w:r>
            <w:r w:rsidRPr="009505B2">
              <w:rPr>
                <w:rStyle w:val="Hyperlink"/>
                <w:noProof/>
              </w:rPr>
              <w:t>Fuel cells</w:t>
            </w:r>
            <w:r>
              <w:rPr>
                <w:noProof/>
                <w:webHidden/>
              </w:rPr>
              <w:tab/>
            </w:r>
            <w:r>
              <w:rPr>
                <w:noProof/>
                <w:webHidden/>
              </w:rPr>
              <w:fldChar w:fldCharType="begin"/>
            </w:r>
            <w:r>
              <w:rPr>
                <w:noProof/>
                <w:webHidden/>
              </w:rPr>
              <w:instrText xml:space="preserve"> PAGEREF _Toc157762096 \h </w:instrText>
            </w:r>
            <w:r>
              <w:rPr>
                <w:noProof/>
                <w:webHidden/>
              </w:rPr>
            </w:r>
            <w:r>
              <w:rPr>
                <w:noProof/>
                <w:webHidden/>
              </w:rPr>
              <w:fldChar w:fldCharType="separate"/>
            </w:r>
            <w:r>
              <w:rPr>
                <w:noProof/>
                <w:webHidden/>
              </w:rPr>
              <w:t>82</w:t>
            </w:r>
            <w:r>
              <w:rPr>
                <w:noProof/>
                <w:webHidden/>
              </w:rPr>
              <w:fldChar w:fldCharType="end"/>
            </w:r>
          </w:hyperlink>
        </w:p>
        <w:p w14:paraId="307C6966" w14:textId="2FBCEE5E" w:rsidR="006730A7" w:rsidRDefault="006730A7">
          <w:pPr>
            <w:pStyle w:val="TOC3"/>
            <w:rPr>
              <w:rFonts w:eastAsiaTheme="minorEastAsia" w:cstheme="minorBidi"/>
              <w:iCs w:val="0"/>
              <w:noProof/>
              <w:szCs w:val="22"/>
              <w:lang w:val="en-IE" w:eastAsia="en-IE"/>
            </w:rPr>
          </w:pPr>
          <w:hyperlink w:anchor="_Toc157762097" w:history="1">
            <w:r w:rsidRPr="009505B2">
              <w:rPr>
                <w:rStyle w:val="Hyperlink"/>
                <w:bCs/>
                <w:noProof/>
              </w:rPr>
              <w:t>3.2.9</w:t>
            </w:r>
            <w:r>
              <w:rPr>
                <w:rFonts w:eastAsiaTheme="minorEastAsia" w:cstheme="minorBidi"/>
                <w:iCs w:val="0"/>
                <w:noProof/>
                <w:szCs w:val="22"/>
                <w:lang w:val="en-IE" w:eastAsia="en-IE"/>
              </w:rPr>
              <w:tab/>
            </w:r>
            <w:r w:rsidRPr="009505B2">
              <w:rPr>
                <w:rStyle w:val="Hyperlink"/>
                <w:noProof/>
              </w:rPr>
              <w:t>Nuclear propulsion</w:t>
            </w:r>
            <w:r>
              <w:rPr>
                <w:noProof/>
                <w:webHidden/>
              </w:rPr>
              <w:tab/>
            </w:r>
            <w:r>
              <w:rPr>
                <w:noProof/>
                <w:webHidden/>
              </w:rPr>
              <w:fldChar w:fldCharType="begin"/>
            </w:r>
            <w:r>
              <w:rPr>
                <w:noProof/>
                <w:webHidden/>
              </w:rPr>
              <w:instrText xml:space="preserve"> PAGEREF _Toc157762097 \h </w:instrText>
            </w:r>
            <w:r>
              <w:rPr>
                <w:noProof/>
                <w:webHidden/>
              </w:rPr>
            </w:r>
            <w:r>
              <w:rPr>
                <w:noProof/>
                <w:webHidden/>
              </w:rPr>
              <w:fldChar w:fldCharType="separate"/>
            </w:r>
            <w:r>
              <w:rPr>
                <w:noProof/>
                <w:webHidden/>
              </w:rPr>
              <w:t>82</w:t>
            </w:r>
            <w:r>
              <w:rPr>
                <w:noProof/>
                <w:webHidden/>
              </w:rPr>
              <w:fldChar w:fldCharType="end"/>
            </w:r>
          </w:hyperlink>
        </w:p>
        <w:p w14:paraId="2FE42DD2" w14:textId="466B1DFB" w:rsidR="006730A7" w:rsidRDefault="006730A7">
          <w:pPr>
            <w:pStyle w:val="TOC3"/>
            <w:rPr>
              <w:rFonts w:eastAsiaTheme="minorEastAsia" w:cstheme="minorBidi"/>
              <w:iCs w:val="0"/>
              <w:noProof/>
              <w:szCs w:val="22"/>
              <w:lang w:val="en-IE" w:eastAsia="en-IE"/>
            </w:rPr>
          </w:pPr>
          <w:hyperlink w:anchor="_Toc157762098" w:history="1">
            <w:r w:rsidRPr="009505B2">
              <w:rPr>
                <w:rStyle w:val="Hyperlink"/>
                <w:bCs/>
                <w:noProof/>
              </w:rPr>
              <w:t>3.2.10</w:t>
            </w:r>
            <w:r>
              <w:rPr>
                <w:rFonts w:eastAsiaTheme="minorEastAsia" w:cstheme="minorBidi"/>
                <w:iCs w:val="0"/>
                <w:noProof/>
                <w:szCs w:val="22"/>
                <w:lang w:val="en-IE" w:eastAsia="en-IE"/>
              </w:rPr>
              <w:tab/>
            </w:r>
            <w:r w:rsidRPr="009505B2">
              <w:rPr>
                <w:rStyle w:val="Hyperlink"/>
                <w:noProof/>
              </w:rPr>
              <w:t>Carbon capture and storage</w:t>
            </w:r>
            <w:r>
              <w:rPr>
                <w:noProof/>
                <w:webHidden/>
              </w:rPr>
              <w:tab/>
            </w:r>
            <w:r>
              <w:rPr>
                <w:noProof/>
                <w:webHidden/>
              </w:rPr>
              <w:fldChar w:fldCharType="begin"/>
            </w:r>
            <w:r>
              <w:rPr>
                <w:noProof/>
                <w:webHidden/>
              </w:rPr>
              <w:instrText xml:space="preserve"> PAGEREF _Toc157762098 \h </w:instrText>
            </w:r>
            <w:r>
              <w:rPr>
                <w:noProof/>
                <w:webHidden/>
              </w:rPr>
            </w:r>
            <w:r>
              <w:rPr>
                <w:noProof/>
                <w:webHidden/>
              </w:rPr>
              <w:fldChar w:fldCharType="separate"/>
            </w:r>
            <w:r>
              <w:rPr>
                <w:noProof/>
                <w:webHidden/>
              </w:rPr>
              <w:t>83</w:t>
            </w:r>
            <w:r>
              <w:rPr>
                <w:noProof/>
                <w:webHidden/>
              </w:rPr>
              <w:fldChar w:fldCharType="end"/>
            </w:r>
          </w:hyperlink>
        </w:p>
        <w:p w14:paraId="5FBE9ADE" w14:textId="7CF31235" w:rsidR="006730A7" w:rsidRDefault="006730A7">
          <w:pPr>
            <w:pStyle w:val="TOC3"/>
            <w:rPr>
              <w:rFonts w:eastAsiaTheme="minorEastAsia" w:cstheme="minorBidi"/>
              <w:iCs w:val="0"/>
              <w:noProof/>
              <w:szCs w:val="22"/>
              <w:lang w:val="en-IE" w:eastAsia="en-IE"/>
            </w:rPr>
          </w:pPr>
          <w:hyperlink w:anchor="_Toc157762099" w:history="1">
            <w:r w:rsidRPr="009505B2">
              <w:rPr>
                <w:rStyle w:val="Hyperlink"/>
                <w:bCs/>
                <w:noProof/>
              </w:rPr>
              <w:t>3.2.11</w:t>
            </w:r>
            <w:r>
              <w:rPr>
                <w:rFonts w:eastAsiaTheme="minorEastAsia" w:cstheme="minorBidi"/>
                <w:iCs w:val="0"/>
                <w:noProof/>
                <w:szCs w:val="22"/>
                <w:lang w:val="en-IE" w:eastAsia="en-IE"/>
              </w:rPr>
              <w:tab/>
            </w:r>
            <w:r w:rsidRPr="009505B2">
              <w:rPr>
                <w:rStyle w:val="Hyperlink"/>
                <w:noProof/>
              </w:rPr>
              <w:t>Onshore Power Supply</w:t>
            </w:r>
            <w:r>
              <w:rPr>
                <w:noProof/>
                <w:webHidden/>
              </w:rPr>
              <w:tab/>
            </w:r>
            <w:r>
              <w:rPr>
                <w:noProof/>
                <w:webHidden/>
              </w:rPr>
              <w:fldChar w:fldCharType="begin"/>
            </w:r>
            <w:r>
              <w:rPr>
                <w:noProof/>
                <w:webHidden/>
              </w:rPr>
              <w:instrText xml:space="preserve"> PAGEREF _Toc157762099 \h </w:instrText>
            </w:r>
            <w:r>
              <w:rPr>
                <w:noProof/>
                <w:webHidden/>
              </w:rPr>
            </w:r>
            <w:r>
              <w:rPr>
                <w:noProof/>
                <w:webHidden/>
              </w:rPr>
              <w:fldChar w:fldCharType="separate"/>
            </w:r>
            <w:r>
              <w:rPr>
                <w:noProof/>
                <w:webHidden/>
              </w:rPr>
              <w:t>84</w:t>
            </w:r>
            <w:r>
              <w:rPr>
                <w:noProof/>
                <w:webHidden/>
              </w:rPr>
              <w:fldChar w:fldCharType="end"/>
            </w:r>
          </w:hyperlink>
        </w:p>
        <w:p w14:paraId="2E481EBA" w14:textId="24496691" w:rsidR="006730A7" w:rsidRDefault="006730A7">
          <w:pPr>
            <w:pStyle w:val="TOC2"/>
            <w:rPr>
              <w:rFonts w:eastAsiaTheme="minorEastAsia" w:cstheme="minorBidi"/>
              <w:iCs w:val="0"/>
              <w:noProof/>
              <w:szCs w:val="22"/>
              <w:lang w:val="en-IE" w:eastAsia="en-IE"/>
            </w:rPr>
          </w:pPr>
          <w:hyperlink w:anchor="_Toc157762100" w:history="1">
            <w:r w:rsidRPr="009505B2">
              <w:rPr>
                <w:rStyle w:val="Hyperlink"/>
                <w:noProof/>
              </w:rPr>
              <w:t>3.3</w:t>
            </w:r>
            <w:r>
              <w:rPr>
                <w:rFonts w:eastAsiaTheme="minorEastAsia" w:cstheme="minorBidi"/>
                <w:iCs w:val="0"/>
                <w:noProof/>
                <w:szCs w:val="22"/>
                <w:lang w:val="en-IE" w:eastAsia="en-IE"/>
              </w:rPr>
              <w:tab/>
            </w:r>
            <w:r w:rsidRPr="009505B2">
              <w:rPr>
                <w:rStyle w:val="Hyperlink"/>
                <w:noProof/>
              </w:rPr>
              <w:t>Energy transition foresight</w:t>
            </w:r>
            <w:r>
              <w:rPr>
                <w:noProof/>
                <w:webHidden/>
              </w:rPr>
              <w:tab/>
            </w:r>
            <w:r>
              <w:rPr>
                <w:noProof/>
                <w:webHidden/>
              </w:rPr>
              <w:fldChar w:fldCharType="begin"/>
            </w:r>
            <w:r>
              <w:rPr>
                <w:noProof/>
                <w:webHidden/>
              </w:rPr>
              <w:instrText xml:space="preserve"> PAGEREF _Toc157762100 \h </w:instrText>
            </w:r>
            <w:r>
              <w:rPr>
                <w:noProof/>
                <w:webHidden/>
              </w:rPr>
            </w:r>
            <w:r>
              <w:rPr>
                <w:noProof/>
                <w:webHidden/>
              </w:rPr>
              <w:fldChar w:fldCharType="separate"/>
            </w:r>
            <w:r>
              <w:rPr>
                <w:noProof/>
                <w:webHidden/>
              </w:rPr>
              <w:t>85</w:t>
            </w:r>
            <w:r>
              <w:rPr>
                <w:noProof/>
                <w:webHidden/>
              </w:rPr>
              <w:fldChar w:fldCharType="end"/>
            </w:r>
          </w:hyperlink>
        </w:p>
        <w:p w14:paraId="1FCF8483" w14:textId="39216753" w:rsidR="006730A7" w:rsidRDefault="006730A7">
          <w:pPr>
            <w:pStyle w:val="TOC3"/>
            <w:rPr>
              <w:rFonts w:eastAsiaTheme="minorEastAsia" w:cstheme="minorBidi"/>
              <w:iCs w:val="0"/>
              <w:noProof/>
              <w:szCs w:val="22"/>
              <w:lang w:val="en-IE" w:eastAsia="en-IE"/>
            </w:rPr>
          </w:pPr>
          <w:hyperlink w:anchor="_Toc157762101" w:history="1">
            <w:r w:rsidRPr="009505B2">
              <w:rPr>
                <w:rStyle w:val="Hyperlink"/>
                <w:bCs/>
                <w:noProof/>
              </w:rPr>
              <w:t>3.3.1</w:t>
            </w:r>
            <w:r>
              <w:rPr>
                <w:rFonts w:eastAsiaTheme="minorEastAsia" w:cstheme="minorBidi"/>
                <w:iCs w:val="0"/>
                <w:noProof/>
                <w:szCs w:val="22"/>
                <w:lang w:val="en-IE" w:eastAsia="en-IE"/>
              </w:rPr>
              <w:tab/>
            </w:r>
            <w:r w:rsidRPr="009505B2">
              <w:rPr>
                <w:rStyle w:val="Hyperlink"/>
                <w:noProof/>
              </w:rPr>
              <w:t>CO</w:t>
            </w:r>
            <w:r w:rsidRPr="009505B2">
              <w:rPr>
                <w:rStyle w:val="Hyperlink"/>
                <w:noProof/>
                <w:vertAlign w:val="subscript"/>
              </w:rPr>
              <w:t>2</w:t>
            </w:r>
            <w:r w:rsidRPr="009505B2">
              <w:rPr>
                <w:rStyle w:val="Hyperlink"/>
                <w:noProof/>
              </w:rPr>
              <w:t xml:space="preserve"> emissions outlook</w:t>
            </w:r>
            <w:r>
              <w:rPr>
                <w:noProof/>
                <w:webHidden/>
              </w:rPr>
              <w:tab/>
            </w:r>
            <w:r>
              <w:rPr>
                <w:noProof/>
                <w:webHidden/>
              </w:rPr>
              <w:fldChar w:fldCharType="begin"/>
            </w:r>
            <w:r>
              <w:rPr>
                <w:noProof/>
                <w:webHidden/>
              </w:rPr>
              <w:instrText xml:space="preserve"> PAGEREF _Toc157762101 \h </w:instrText>
            </w:r>
            <w:r>
              <w:rPr>
                <w:noProof/>
                <w:webHidden/>
              </w:rPr>
            </w:r>
            <w:r>
              <w:rPr>
                <w:noProof/>
                <w:webHidden/>
              </w:rPr>
              <w:fldChar w:fldCharType="separate"/>
            </w:r>
            <w:r>
              <w:rPr>
                <w:noProof/>
                <w:webHidden/>
              </w:rPr>
              <w:t>85</w:t>
            </w:r>
            <w:r>
              <w:rPr>
                <w:noProof/>
                <w:webHidden/>
              </w:rPr>
              <w:fldChar w:fldCharType="end"/>
            </w:r>
          </w:hyperlink>
        </w:p>
        <w:p w14:paraId="771B5F3E" w14:textId="119FD954" w:rsidR="006730A7" w:rsidRDefault="006730A7">
          <w:pPr>
            <w:pStyle w:val="TOC3"/>
            <w:rPr>
              <w:rFonts w:eastAsiaTheme="minorEastAsia" w:cstheme="minorBidi"/>
              <w:iCs w:val="0"/>
              <w:noProof/>
              <w:szCs w:val="22"/>
              <w:lang w:val="en-IE" w:eastAsia="en-IE"/>
            </w:rPr>
          </w:pPr>
          <w:hyperlink w:anchor="_Toc157762102" w:history="1">
            <w:r w:rsidRPr="009505B2">
              <w:rPr>
                <w:rStyle w:val="Hyperlink"/>
                <w:bCs/>
                <w:noProof/>
              </w:rPr>
              <w:t>3.3.2</w:t>
            </w:r>
            <w:r>
              <w:rPr>
                <w:rFonts w:eastAsiaTheme="minorEastAsia" w:cstheme="minorBidi"/>
                <w:iCs w:val="0"/>
                <w:noProof/>
                <w:szCs w:val="22"/>
                <w:lang w:val="en-IE" w:eastAsia="en-IE"/>
              </w:rPr>
              <w:tab/>
            </w:r>
            <w:r w:rsidRPr="009505B2">
              <w:rPr>
                <w:rStyle w:val="Hyperlink"/>
                <w:noProof/>
              </w:rPr>
              <w:t>Roadmap to energy transition in 2030 and 2050</w:t>
            </w:r>
            <w:r>
              <w:rPr>
                <w:noProof/>
                <w:webHidden/>
              </w:rPr>
              <w:tab/>
            </w:r>
            <w:r>
              <w:rPr>
                <w:noProof/>
                <w:webHidden/>
              </w:rPr>
              <w:fldChar w:fldCharType="begin"/>
            </w:r>
            <w:r>
              <w:rPr>
                <w:noProof/>
                <w:webHidden/>
              </w:rPr>
              <w:instrText xml:space="preserve"> PAGEREF _Toc157762102 \h </w:instrText>
            </w:r>
            <w:r>
              <w:rPr>
                <w:noProof/>
                <w:webHidden/>
              </w:rPr>
            </w:r>
            <w:r>
              <w:rPr>
                <w:noProof/>
                <w:webHidden/>
              </w:rPr>
              <w:fldChar w:fldCharType="separate"/>
            </w:r>
            <w:r>
              <w:rPr>
                <w:noProof/>
                <w:webHidden/>
              </w:rPr>
              <w:t>86</w:t>
            </w:r>
            <w:r>
              <w:rPr>
                <w:noProof/>
                <w:webHidden/>
              </w:rPr>
              <w:fldChar w:fldCharType="end"/>
            </w:r>
          </w:hyperlink>
        </w:p>
        <w:p w14:paraId="7021BC91" w14:textId="486CDA56" w:rsidR="006730A7" w:rsidRDefault="006730A7">
          <w:pPr>
            <w:pStyle w:val="TOC3"/>
            <w:rPr>
              <w:rFonts w:eastAsiaTheme="minorEastAsia" w:cstheme="minorBidi"/>
              <w:iCs w:val="0"/>
              <w:noProof/>
              <w:szCs w:val="22"/>
              <w:lang w:val="en-IE" w:eastAsia="en-IE"/>
            </w:rPr>
          </w:pPr>
          <w:hyperlink w:anchor="_Toc157762103" w:history="1">
            <w:r w:rsidRPr="009505B2">
              <w:rPr>
                <w:rStyle w:val="Hyperlink"/>
                <w:bCs/>
                <w:noProof/>
              </w:rPr>
              <w:t>3.3.3</w:t>
            </w:r>
            <w:r>
              <w:rPr>
                <w:rFonts w:eastAsiaTheme="minorEastAsia" w:cstheme="minorBidi"/>
                <w:iCs w:val="0"/>
                <w:noProof/>
                <w:szCs w:val="22"/>
                <w:lang w:val="en-IE" w:eastAsia="en-IE"/>
              </w:rPr>
              <w:tab/>
            </w:r>
            <w:r w:rsidRPr="009505B2">
              <w:rPr>
                <w:rStyle w:val="Hyperlink"/>
                <w:noProof/>
              </w:rPr>
              <w:t>Green corridors</w:t>
            </w:r>
            <w:r>
              <w:rPr>
                <w:noProof/>
                <w:webHidden/>
              </w:rPr>
              <w:tab/>
            </w:r>
            <w:r>
              <w:rPr>
                <w:noProof/>
                <w:webHidden/>
              </w:rPr>
              <w:fldChar w:fldCharType="begin"/>
            </w:r>
            <w:r>
              <w:rPr>
                <w:noProof/>
                <w:webHidden/>
              </w:rPr>
              <w:instrText xml:space="preserve"> PAGEREF _Toc157762103 \h </w:instrText>
            </w:r>
            <w:r>
              <w:rPr>
                <w:noProof/>
                <w:webHidden/>
              </w:rPr>
            </w:r>
            <w:r>
              <w:rPr>
                <w:noProof/>
                <w:webHidden/>
              </w:rPr>
              <w:fldChar w:fldCharType="separate"/>
            </w:r>
            <w:r>
              <w:rPr>
                <w:noProof/>
                <w:webHidden/>
              </w:rPr>
              <w:t>91</w:t>
            </w:r>
            <w:r>
              <w:rPr>
                <w:noProof/>
                <w:webHidden/>
              </w:rPr>
              <w:fldChar w:fldCharType="end"/>
            </w:r>
          </w:hyperlink>
        </w:p>
        <w:p w14:paraId="594BE802" w14:textId="2A234C5C" w:rsidR="006730A7" w:rsidRDefault="006730A7">
          <w:pPr>
            <w:pStyle w:val="TOC3"/>
            <w:rPr>
              <w:rFonts w:eastAsiaTheme="minorEastAsia" w:cstheme="minorBidi"/>
              <w:iCs w:val="0"/>
              <w:noProof/>
              <w:szCs w:val="22"/>
              <w:lang w:val="en-IE" w:eastAsia="en-IE"/>
            </w:rPr>
          </w:pPr>
          <w:hyperlink w:anchor="_Toc157762104" w:history="1">
            <w:r w:rsidRPr="009505B2">
              <w:rPr>
                <w:rStyle w:val="Hyperlink"/>
                <w:bCs/>
                <w:noProof/>
              </w:rPr>
              <w:t>3.3.4</w:t>
            </w:r>
            <w:r>
              <w:rPr>
                <w:rFonts w:eastAsiaTheme="minorEastAsia" w:cstheme="minorBidi"/>
                <w:iCs w:val="0"/>
                <w:noProof/>
                <w:szCs w:val="22"/>
                <w:lang w:val="en-IE" w:eastAsia="en-IE"/>
              </w:rPr>
              <w:tab/>
            </w:r>
            <w:r w:rsidRPr="009505B2">
              <w:rPr>
                <w:rStyle w:val="Hyperlink"/>
                <w:noProof/>
              </w:rPr>
              <w:t>Human element and seafarer training outlook</w:t>
            </w:r>
            <w:r>
              <w:rPr>
                <w:noProof/>
                <w:webHidden/>
              </w:rPr>
              <w:tab/>
            </w:r>
            <w:r>
              <w:rPr>
                <w:noProof/>
                <w:webHidden/>
              </w:rPr>
              <w:fldChar w:fldCharType="begin"/>
            </w:r>
            <w:r>
              <w:rPr>
                <w:noProof/>
                <w:webHidden/>
              </w:rPr>
              <w:instrText xml:space="preserve"> PAGEREF _Toc157762104 \h </w:instrText>
            </w:r>
            <w:r>
              <w:rPr>
                <w:noProof/>
                <w:webHidden/>
              </w:rPr>
            </w:r>
            <w:r>
              <w:rPr>
                <w:noProof/>
                <w:webHidden/>
              </w:rPr>
              <w:fldChar w:fldCharType="separate"/>
            </w:r>
            <w:r>
              <w:rPr>
                <w:noProof/>
                <w:webHidden/>
              </w:rPr>
              <w:t>92</w:t>
            </w:r>
            <w:r>
              <w:rPr>
                <w:noProof/>
                <w:webHidden/>
              </w:rPr>
              <w:fldChar w:fldCharType="end"/>
            </w:r>
          </w:hyperlink>
        </w:p>
        <w:p w14:paraId="50106CC4" w14:textId="6081FD6F" w:rsidR="006730A7" w:rsidRDefault="006730A7">
          <w:pPr>
            <w:pStyle w:val="TOC1"/>
            <w:rPr>
              <w:rFonts w:eastAsiaTheme="minorEastAsia" w:cstheme="minorBidi"/>
              <w:iCs w:val="0"/>
              <w:noProof/>
              <w:szCs w:val="22"/>
              <w:lang w:val="en-IE" w:eastAsia="en-IE"/>
            </w:rPr>
          </w:pPr>
          <w:hyperlink w:anchor="_Toc157762105" w:history="1">
            <w:r w:rsidRPr="009505B2">
              <w:rPr>
                <w:rStyle w:val="Hyperlink"/>
                <w:noProof/>
              </w:rPr>
              <w:t>4</w:t>
            </w:r>
            <w:r>
              <w:rPr>
                <w:rFonts w:eastAsiaTheme="minorEastAsia" w:cstheme="minorBidi"/>
                <w:iCs w:val="0"/>
                <w:noProof/>
                <w:szCs w:val="22"/>
                <w:lang w:val="en-IE" w:eastAsia="en-IE"/>
              </w:rPr>
              <w:tab/>
            </w:r>
            <w:r w:rsidRPr="009505B2">
              <w:rPr>
                <w:rStyle w:val="Hyperlink"/>
                <w:noProof/>
              </w:rPr>
              <w:t>Knowledge gaps</w:t>
            </w:r>
            <w:r>
              <w:rPr>
                <w:noProof/>
                <w:webHidden/>
              </w:rPr>
              <w:tab/>
            </w:r>
            <w:r>
              <w:rPr>
                <w:noProof/>
                <w:webHidden/>
              </w:rPr>
              <w:fldChar w:fldCharType="begin"/>
            </w:r>
            <w:r>
              <w:rPr>
                <w:noProof/>
                <w:webHidden/>
              </w:rPr>
              <w:instrText xml:space="preserve"> PAGEREF _Toc157762105 \h </w:instrText>
            </w:r>
            <w:r>
              <w:rPr>
                <w:noProof/>
                <w:webHidden/>
              </w:rPr>
            </w:r>
            <w:r>
              <w:rPr>
                <w:noProof/>
                <w:webHidden/>
              </w:rPr>
              <w:fldChar w:fldCharType="separate"/>
            </w:r>
            <w:r>
              <w:rPr>
                <w:noProof/>
                <w:webHidden/>
              </w:rPr>
              <w:t>93</w:t>
            </w:r>
            <w:r>
              <w:rPr>
                <w:noProof/>
                <w:webHidden/>
              </w:rPr>
              <w:fldChar w:fldCharType="end"/>
            </w:r>
          </w:hyperlink>
        </w:p>
        <w:p w14:paraId="21298574" w14:textId="3D6E6592" w:rsidR="006730A7" w:rsidRDefault="006730A7">
          <w:pPr>
            <w:pStyle w:val="TOC2"/>
            <w:rPr>
              <w:rFonts w:eastAsiaTheme="minorEastAsia" w:cstheme="minorBidi"/>
              <w:iCs w:val="0"/>
              <w:noProof/>
              <w:szCs w:val="22"/>
              <w:lang w:val="en-IE" w:eastAsia="en-IE"/>
            </w:rPr>
          </w:pPr>
          <w:hyperlink w:anchor="_Toc157762106" w:history="1">
            <w:r w:rsidRPr="009505B2">
              <w:rPr>
                <w:rStyle w:val="Hyperlink"/>
                <w:noProof/>
              </w:rPr>
              <w:t>4.1</w:t>
            </w:r>
            <w:r>
              <w:rPr>
                <w:rFonts w:eastAsiaTheme="minorEastAsia" w:cstheme="minorBidi"/>
                <w:iCs w:val="0"/>
                <w:noProof/>
                <w:szCs w:val="22"/>
                <w:lang w:val="en-IE" w:eastAsia="en-IE"/>
              </w:rPr>
              <w:tab/>
            </w:r>
            <w:r w:rsidRPr="009505B2">
              <w:rPr>
                <w:rStyle w:val="Hyperlink"/>
                <w:noProof/>
              </w:rPr>
              <w:t>Gaps</w:t>
            </w:r>
            <w:r>
              <w:rPr>
                <w:noProof/>
                <w:webHidden/>
              </w:rPr>
              <w:tab/>
            </w:r>
            <w:r>
              <w:rPr>
                <w:noProof/>
                <w:webHidden/>
              </w:rPr>
              <w:fldChar w:fldCharType="begin"/>
            </w:r>
            <w:r>
              <w:rPr>
                <w:noProof/>
                <w:webHidden/>
              </w:rPr>
              <w:instrText xml:space="preserve"> PAGEREF _Toc157762106 \h </w:instrText>
            </w:r>
            <w:r>
              <w:rPr>
                <w:noProof/>
                <w:webHidden/>
              </w:rPr>
            </w:r>
            <w:r>
              <w:rPr>
                <w:noProof/>
                <w:webHidden/>
              </w:rPr>
              <w:fldChar w:fldCharType="separate"/>
            </w:r>
            <w:r>
              <w:rPr>
                <w:noProof/>
                <w:webHidden/>
              </w:rPr>
              <w:t>93</w:t>
            </w:r>
            <w:r>
              <w:rPr>
                <w:noProof/>
                <w:webHidden/>
              </w:rPr>
              <w:fldChar w:fldCharType="end"/>
            </w:r>
          </w:hyperlink>
        </w:p>
        <w:p w14:paraId="50F17C58" w14:textId="24A04C15" w:rsidR="006730A7" w:rsidRDefault="006730A7">
          <w:pPr>
            <w:pStyle w:val="TOC2"/>
            <w:rPr>
              <w:rFonts w:eastAsiaTheme="minorEastAsia" w:cstheme="minorBidi"/>
              <w:iCs w:val="0"/>
              <w:noProof/>
              <w:szCs w:val="22"/>
              <w:lang w:val="en-IE" w:eastAsia="en-IE"/>
            </w:rPr>
          </w:pPr>
          <w:hyperlink w:anchor="_Toc157762107" w:history="1">
            <w:r w:rsidRPr="009505B2">
              <w:rPr>
                <w:rStyle w:val="Hyperlink"/>
                <w:noProof/>
              </w:rPr>
              <w:t>4.2</w:t>
            </w:r>
            <w:r>
              <w:rPr>
                <w:rFonts w:eastAsiaTheme="minorEastAsia" w:cstheme="minorBidi"/>
                <w:iCs w:val="0"/>
                <w:noProof/>
                <w:szCs w:val="22"/>
                <w:lang w:val="en-IE" w:eastAsia="en-IE"/>
              </w:rPr>
              <w:tab/>
            </w:r>
            <w:r w:rsidRPr="009505B2">
              <w:rPr>
                <w:rStyle w:val="Hyperlink"/>
                <w:noProof/>
              </w:rPr>
              <w:t>The role of research and innovation</w:t>
            </w:r>
            <w:r>
              <w:rPr>
                <w:noProof/>
                <w:webHidden/>
              </w:rPr>
              <w:tab/>
            </w:r>
            <w:r>
              <w:rPr>
                <w:noProof/>
                <w:webHidden/>
              </w:rPr>
              <w:fldChar w:fldCharType="begin"/>
            </w:r>
            <w:r>
              <w:rPr>
                <w:noProof/>
                <w:webHidden/>
              </w:rPr>
              <w:instrText xml:space="preserve"> PAGEREF _Toc157762107 \h </w:instrText>
            </w:r>
            <w:r>
              <w:rPr>
                <w:noProof/>
                <w:webHidden/>
              </w:rPr>
            </w:r>
            <w:r>
              <w:rPr>
                <w:noProof/>
                <w:webHidden/>
              </w:rPr>
              <w:fldChar w:fldCharType="separate"/>
            </w:r>
            <w:r>
              <w:rPr>
                <w:noProof/>
                <w:webHidden/>
              </w:rPr>
              <w:t>94</w:t>
            </w:r>
            <w:r>
              <w:rPr>
                <w:noProof/>
                <w:webHidden/>
              </w:rPr>
              <w:fldChar w:fldCharType="end"/>
            </w:r>
          </w:hyperlink>
        </w:p>
        <w:p w14:paraId="5B3C2790" w14:textId="6486C1C5" w:rsidR="006730A7" w:rsidRDefault="006730A7">
          <w:pPr>
            <w:pStyle w:val="TOC2"/>
            <w:rPr>
              <w:rFonts w:eastAsiaTheme="minorEastAsia" w:cstheme="minorBidi"/>
              <w:iCs w:val="0"/>
              <w:noProof/>
              <w:szCs w:val="22"/>
              <w:lang w:val="en-IE" w:eastAsia="en-IE"/>
            </w:rPr>
          </w:pPr>
          <w:hyperlink w:anchor="_Toc157762108" w:history="1">
            <w:r w:rsidRPr="009505B2">
              <w:rPr>
                <w:rStyle w:val="Hyperlink"/>
                <w:noProof/>
              </w:rPr>
              <w:t>4.3</w:t>
            </w:r>
            <w:r>
              <w:rPr>
                <w:rFonts w:eastAsiaTheme="minorEastAsia" w:cstheme="minorBidi"/>
                <w:iCs w:val="0"/>
                <w:noProof/>
                <w:szCs w:val="22"/>
                <w:lang w:val="en-IE" w:eastAsia="en-IE"/>
              </w:rPr>
              <w:tab/>
            </w:r>
            <w:r w:rsidRPr="009505B2">
              <w:rPr>
                <w:rStyle w:val="Hyperlink"/>
                <w:noProof/>
              </w:rPr>
              <w:t>A new integrated monitoring infrastructure</w:t>
            </w:r>
            <w:r>
              <w:rPr>
                <w:noProof/>
                <w:webHidden/>
              </w:rPr>
              <w:tab/>
            </w:r>
            <w:r>
              <w:rPr>
                <w:noProof/>
                <w:webHidden/>
              </w:rPr>
              <w:fldChar w:fldCharType="begin"/>
            </w:r>
            <w:r>
              <w:rPr>
                <w:noProof/>
                <w:webHidden/>
              </w:rPr>
              <w:instrText xml:space="preserve"> PAGEREF _Toc157762108 \h </w:instrText>
            </w:r>
            <w:r>
              <w:rPr>
                <w:noProof/>
                <w:webHidden/>
              </w:rPr>
            </w:r>
            <w:r>
              <w:rPr>
                <w:noProof/>
                <w:webHidden/>
              </w:rPr>
              <w:fldChar w:fldCharType="separate"/>
            </w:r>
            <w:r>
              <w:rPr>
                <w:noProof/>
                <w:webHidden/>
              </w:rPr>
              <w:t>95</w:t>
            </w:r>
            <w:r>
              <w:rPr>
                <w:noProof/>
                <w:webHidden/>
              </w:rPr>
              <w:fldChar w:fldCharType="end"/>
            </w:r>
          </w:hyperlink>
        </w:p>
        <w:p w14:paraId="2DC6B939" w14:textId="2BD7F7F1" w:rsidR="006730A7" w:rsidRDefault="006730A7">
          <w:pPr>
            <w:pStyle w:val="TOC1"/>
            <w:rPr>
              <w:rFonts w:eastAsiaTheme="minorEastAsia" w:cstheme="minorBidi"/>
              <w:iCs w:val="0"/>
              <w:noProof/>
              <w:szCs w:val="22"/>
              <w:lang w:val="en-IE" w:eastAsia="en-IE"/>
            </w:rPr>
          </w:pPr>
          <w:hyperlink w:anchor="_Toc157762109" w:history="1">
            <w:r w:rsidRPr="009505B2">
              <w:rPr>
                <w:rStyle w:val="Hyperlink"/>
                <w:noProof/>
              </w:rPr>
              <w:t>List of abbreviations</w:t>
            </w:r>
            <w:r>
              <w:rPr>
                <w:noProof/>
                <w:webHidden/>
              </w:rPr>
              <w:tab/>
            </w:r>
            <w:r>
              <w:rPr>
                <w:noProof/>
                <w:webHidden/>
              </w:rPr>
              <w:fldChar w:fldCharType="begin"/>
            </w:r>
            <w:r>
              <w:rPr>
                <w:noProof/>
                <w:webHidden/>
              </w:rPr>
              <w:instrText xml:space="preserve"> PAGEREF _Toc157762109 \h </w:instrText>
            </w:r>
            <w:r>
              <w:rPr>
                <w:noProof/>
                <w:webHidden/>
              </w:rPr>
            </w:r>
            <w:r>
              <w:rPr>
                <w:noProof/>
                <w:webHidden/>
              </w:rPr>
              <w:fldChar w:fldCharType="separate"/>
            </w:r>
            <w:r>
              <w:rPr>
                <w:noProof/>
                <w:webHidden/>
              </w:rPr>
              <w:t>97</w:t>
            </w:r>
            <w:r>
              <w:rPr>
                <w:noProof/>
                <w:webHidden/>
              </w:rPr>
              <w:fldChar w:fldCharType="end"/>
            </w:r>
          </w:hyperlink>
        </w:p>
        <w:p w14:paraId="3BBC877D" w14:textId="7D733748" w:rsidR="006730A7" w:rsidRDefault="006730A7">
          <w:pPr>
            <w:pStyle w:val="TOC1"/>
            <w:rPr>
              <w:rFonts w:eastAsiaTheme="minorEastAsia" w:cstheme="minorBidi"/>
              <w:iCs w:val="0"/>
              <w:noProof/>
              <w:szCs w:val="22"/>
              <w:lang w:val="en-IE" w:eastAsia="en-IE"/>
            </w:rPr>
          </w:pPr>
          <w:hyperlink w:anchor="_Toc157762110" w:history="1">
            <w:r w:rsidRPr="009505B2">
              <w:rPr>
                <w:rStyle w:val="Hyperlink"/>
                <w:noProof/>
              </w:rPr>
              <w:t>References</w:t>
            </w:r>
            <w:r>
              <w:rPr>
                <w:noProof/>
                <w:webHidden/>
              </w:rPr>
              <w:tab/>
            </w:r>
            <w:r>
              <w:rPr>
                <w:noProof/>
                <w:webHidden/>
              </w:rPr>
              <w:fldChar w:fldCharType="begin"/>
            </w:r>
            <w:r>
              <w:rPr>
                <w:noProof/>
                <w:webHidden/>
              </w:rPr>
              <w:instrText xml:space="preserve"> PAGEREF _Toc157762110 \h </w:instrText>
            </w:r>
            <w:r>
              <w:rPr>
                <w:noProof/>
                <w:webHidden/>
              </w:rPr>
            </w:r>
            <w:r>
              <w:rPr>
                <w:noProof/>
                <w:webHidden/>
              </w:rPr>
              <w:fldChar w:fldCharType="separate"/>
            </w:r>
            <w:r>
              <w:rPr>
                <w:noProof/>
                <w:webHidden/>
              </w:rPr>
              <w:t>101</w:t>
            </w:r>
            <w:r>
              <w:rPr>
                <w:noProof/>
                <w:webHidden/>
              </w:rPr>
              <w:fldChar w:fldCharType="end"/>
            </w:r>
          </w:hyperlink>
        </w:p>
        <w:p w14:paraId="4AA6A0B3" w14:textId="714E4653" w:rsidR="006730A7" w:rsidRDefault="006730A7">
          <w:pPr>
            <w:pStyle w:val="TOC1"/>
            <w:rPr>
              <w:rFonts w:eastAsiaTheme="minorEastAsia" w:cstheme="minorBidi"/>
              <w:iCs w:val="0"/>
              <w:noProof/>
              <w:szCs w:val="22"/>
              <w:lang w:val="en-IE" w:eastAsia="en-IE"/>
            </w:rPr>
          </w:pPr>
          <w:hyperlink w:anchor="_Toc157762111" w:history="1">
            <w:r w:rsidRPr="009505B2">
              <w:rPr>
                <w:rStyle w:val="Hyperlink"/>
                <w:noProof/>
              </w:rPr>
              <w:t>Annex 1 Regulatory and monitoring frameworks</w:t>
            </w:r>
            <w:r>
              <w:rPr>
                <w:noProof/>
                <w:webHidden/>
              </w:rPr>
              <w:tab/>
            </w:r>
            <w:r>
              <w:rPr>
                <w:noProof/>
                <w:webHidden/>
              </w:rPr>
              <w:fldChar w:fldCharType="begin"/>
            </w:r>
            <w:r>
              <w:rPr>
                <w:noProof/>
                <w:webHidden/>
              </w:rPr>
              <w:instrText xml:space="preserve"> PAGEREF _Toc157762111 \h </w:instrText>
            </w:r>
            <w:r>
              <w:rPr>
                <w:noProof/>
                <w:webHidden/>
              </w:rPr>
            </w:r>
            <w:r>
              <w:rPr>
                <w:noProof/>
                <w:webHidden/>
              </w:rPr>
              <w:fldChar w:fldCharType="separate"/>
            </w:r>
            <w:r>
              <w:rPr>
                <w:noProof/>
                <w:webHidden/>
              </w:rPr>
              <w:t>118</w:t>
            </w:r>
            <w:r>
              <w:rPr>
                <w:noProof/>
                <w:webHidden/>
              </w:rPr>
              <w:fldChar w:fldCharType="end"/>
            </w:r>
          </w:hyperlink>
        </w:p>
        <w:p w14:paraId="378001B1" w14:textId="756FC825" w:rsidR="00E91F9B" w:rsidRPr="00C66C24" w:rsidRDefault="005001CD" w:rsidP="008C6A9C">
          <w:pPr>
            <w:spacing w:line="257" w:lineRule="auto"/>
            <w:jc w:val="left"/>
            <w:rPr>
              <w:rFonts w:cstheme="minorHAnsi"/>
            </w:rPr>
          </w:pPr>
          <w:r w:rsidRPr="00C66C24">
            <w:rPr>
              <w:rFonts w:cstheme="minorHAnsi"/>
            </w:rPr>
            <w:fldChar w:fldCharType="end"/>
          </w:r>
        </w:p>
      </w:sdtContent>
    </w:sdt>
    <w:p w14:paraId="584A276E" w14:textId="77777777" w:rsidR="00A44334" w:rsidRPr="00C66C24" w:rsidRDefault="00A44334" w:rsidP="008C6A9C">
      <w:pPr>
        <w:spacing w:before="0" w:after="200" w:line="257" w:lineRule="auto"/>
        <w:jc w:val="left"/>
        <w:rPr>
          <w:rFonts w:eastAsiaTheme="majorEastAsia" w:cstheme="majorBidi"/>
          <w:b/>
          <w:iCs w:val="0"/>
          <w:color w:val="17365D"/>
          <w:sz w:val="44"/>
          <w:szCs w:val="32"/>
        </w:rPr>
      </w:pPr>
      <w:bookmarkStart w:id="12" w:name="_Toc156316292"/>
      <w:r w:rsidRPr="00C66C24">
        <w:br w:type="page"/>
      </w:r>
    </w:p>
    <w:p w14:paraId="47CAD432" w14:textId="6228F4F4" w:rsidR="00A95788" w:rsidRPr="00C66C24" w:rsidRDefault="007225D8" w:rsidP="008C6A9C">
      <w:pPr>
        <w:pStyle w:val="Heading1"/>
        <w:numPr>
          <w:ilvl w:val="0"/>
          <w:numId w:val="0"/>
        </w:numPr>
        <w:spacing w:line="257" w:lineRule="auto"/>
      </w:pPr>
      <w:bookmarkStart w:id="13" w:name="_Toc157762057"/>
      <w:r w:rsidRPr="00C66C24">
        <w:t>Foreword/Preface</w:t>
      </w:r>
      <w:bookmarkEnd w:id="12"/>
      <w:bookmarkEnd w:id="13"/>
    </w:p>
    <w:p w14:paraId="050499D9" w14:textId="3453C70E" w:rsidR="00FA455A" w:rsidRPr="00C66C24" w:rsidRDefault="00FA455A" w:rsidP="008C6A9C">
      <w:pPr>
        <w:spacing w:line="257" w:lineRule="auto"/>
      </w:pPr>
    </w:p>
    <w:p w14:paraId="436EA384" w14:textId="77777777" w:rsidR="00442738" w:rsidRPr="00C66C24" w:rsidRDefault="00442738" w:rsidP="008C6A9C">
      <w:pPr>
        <w:spacing w:line="257" w:lineRule="auto"/>
        <w:rPr>
          <w:i/>
          <w:iCs w:val="0"/>
        </w:rPr>
      </w:pPr>
      <w:r w:rsidRPr="00C66C24">
        <w:rPr>
          <w:i/>
          <w:iCs w:val="0"/>
        </w:rPr>
        <w:t>Text to be added here</w:t>
      </w:r>
    </w:p>
    <w:p w14:paraId="3DE993AF" w14:textId="77777777" w:rsidR="007225D8" w:rsidRPr="00C66C24" w:rsidRDefault="007225D8" w:rsidP="008C6A9C">
      <w:pPr>
        <w:pStyle w:val="TableTitle"/>
        <w:spacing w:line="257" w:lineRule="auto"/>
        <w:jc w:val="left"/>
        <w:rPr>
          <w:rFonts w:cstheme="minorHAnsi"/>
          <w:sz w:val="28"/>
        </w:rPr>
      </w:pPr>
      <w:r w:rsidRPr="00C66C24">
        <w:rPr>
          <w:rFonts w:cstheme="minorHAnsi"/>
          <w:sz w:val="28"/>
        </w:rPr>
        <w:br/>
      </w:r>
    </w:p>
    <w:p w14:paraId="44D379E4" w14:textId="77777777" w:rsidR="007225D8" w:rsidRPr="00C66C24" w:rsidRDefault="007225D8" w:rsidP="008C6A9C">
      <w:pPr>
        <w:spacing w:before="0" w:after="200" w:line="257" w:lineRule="auto"/>
        <w:jc w:val="left"/>
        <w:rPr>
          <w:rFonts w:cstheme="minorHAnsi"/>
          <w:color w:val="17365D"/>
          <w:sz w:val="28"/>
        </w:rPr>
      </w:pPr>
      <w:r w:rsidRPr="00C66C24">
        <w:rPr>
          <w:rFonts w:cstheme="minorHAnsi"/>
          <w:sz w:val="28"/>
        </w:rPr>
        <w:br w:type="page"/>
      </w:r>
    </w:p>
    <w:p w14:paraId="7FF7E715" w14:textId="77777777" w:rsidR="007225D8" w:rsidRPr="00C66C24" w:rsidRDefault="00E120F4" w:rsidP="008C6A9C">
      <w:pPr>
        <w:pStyle w:val="Heading1"/>
        <w:numPr>
          <w:ilvl w:val="0"/>
          <w:numId w:val="0"/>
        </w:numPr>
        <w:spacing w:line="257" w:lineRule="auto"/>
        <w:jc w:val="left"/>
      </w:pPr>
      <w:bookmarkStart w:id="14" w:name="_Toc156316293"/>
      <w:bookmarkStart w:id="15" w:name="_Toc157762058"/>
      <w:r w:rsidRPr="00C66C24">
        <w:t>Acknowledgement</w:t>
      </w:r>
      <w:r w:rsidR="00FA5F20" w:rsidRPr="00C66C24">
        <w:t>s</w:t>
      </w:r>
      <w:bookmarkEnd w:id="14"/>
      <w:bookmarkEnd w:id="15"/>
      <w:r w:rsidR="00010748" w:rsidRPr="00C66C24">
        <w:t xml:space="preserve"> </w:t>
      </w:r>
    </w:p>
    <w:p w14:paraId="447BE1B0" w14:textId="77777777" w:rsidR="00442738" w:rsidRPr="00C66C24" w:rsidRDefault="00442738" w:rsidP="008C6A9C">
      <w:pPr>
        <w:spacing w:line="257" w:lineRule="auto"/>
        <w:rPr>
          <w:i/>
          <w:iCs w:val="0"/>
        </w:rPr>
      </w:pPr>
      <w:r w:rsidRPr="00C66C24">
        <w:rPr>
          <w:i/>
          <w:iCs w:val="0"/>
        </w:rPr>
        <w:t>Text to be added here</w:t>
      </w:r>
    </w:p>
    <w:p w14:paraId="70299ACA" w14:textId="2122AA06" w:rsidR="003924E6" w:rsidRPr="00C66C24" w:rsidRDefault="003924E6" w:rsidP="008C6A9C">
      <w:pPr>
        <w:spacing w:line="257" w:lineRule="auto"/>
      </w:pPr>
      <w:r w:rsidRPr="00C66C24">
        <w:br w:type="page"/>
      </w:r>
    </w:p>
    <w:p w14:paraId="50A36380" w14:textId="3FF085EB" w:rsidR="000F0E02" w:rsidRPr="00C66C24" w:rsidRDefault="009E2B6C" w:rsidP="008C6A9C">
      <w:pPr>
        <w:pStyle w:val="Heading1"/>
        <w:numPr>
          <w:ilvl w:val="0"/>
          <w:numId w:val="0"/>
        </w:numPr>
        <w:spacing w:line="257" w:lineRule="auto"/>
      </w:pPr>
      <w:bookmarkStart w:id="16" w:name="_Toc156316294"/>
      <w:bookmarkStart w:id="17" w:name="_Toc157762059"/>
      <w:r w:rsidRPr="00C66C24">
        <w:t>Executive Summary and Key Messages</w:t>
      </w:r>
      <w:bookmarkEnd w:id="16"/>
      <w:bookmarkEnd w:id="17"/>
    </w:p>
    <w:p w14:paraId="4A0098FD" w14:textId="77777777" w:rsidR="00442738" w:rsidRPr="00C66C24" w:rsidRDefault="00442738" w:rsidP="008C6A9C">
      <w:pPr>
        <w:spacing w:line="257" w:lineRule="auto"/>
        <w:rPr>
          <w:i/>
          <w:iCs w:val="0"/>
        </w:rPr>
      </w:pPr>
      <w:r w:rsidRPr="00C66C24">
        <w:rPr>
          <w:i/>
          <w:iCs w:val="0"/>
        </w:rPr>
        <w:t>Text to be added here</w:t>
      </w:r>
    </w:p>
    <w:p w14:paraId="5FEA9FAC" w14:textId="77777777" w:rsidR="003924E6" w:rsidRPr="00C66C24" w:rsidRDefault="003924E6" w:rsidP="008C6A9C">
      <w:pPr>
        <w:pStyle w:val="ListParagraph"/>
        <w:numPr>
          <w:ilvl w:val="0"/>
          <w:numId w:val="0"/>
        </w:numPr>
        <w:spacing w:line="257" w:lineRule="auto"/>
        <w:ind w:left="1065"/>
        <w:rPr>
          <w:lang w:val="en-GB"/>
        </w:rPr>
      </w:pPr>
    </w:p>
    <w:p w14:paraId="79B04F67" w14:textId="77777777" w:rsidR="002C5CDA" w:rsidRPr="00C66C24" w:rsidRDefault="002C5CDA" w:rsidP="008C6A9C">
      <w:pPr>
        <w:spacing w:before="0" w:after="200" w:line="257" w:lineRule="auto"/>
        <w:jc w:val="left"/>
        <w:rPr>
          <w:rFonts w:eastAsiaTheme="majorEastAsia" w:cstheme="majorBidi"/>
          <w:b/>
          <w:iCs w:val="0"/>
          <w:color w:val="17365D"/>
          <w:sz w:val="44"/>
          <w:szCs w:val="32"/>
        </w:rPr>
      </w:pPr>
      <w:r w:rsidRPr="00C66C24">
        <w:br w:type="page"/>
      </w:r>
    </w:p>
    <w:p w14:paraId="62D72092" w14:textId="74A37E4A" w:rsidR="00E120F4" w:rsidRPr="00C66C24" w:rsidRDefault="00AC2CE2" w:rsidP="008C6A9C">
      <w:pPr>
        <w:pStyle w:val="Heading1"/>
        <w:spacing w:line="257" w:lineRule="auto"/>
        <w:jc w:val="left"/>
        <w:rPr>
          <w:rFonts w:cstheme="minorHAnsi"/>
        </w:rPr>
      </w:pPr>
      <w:bookmarkStart w:id="18" w:name="_Toc156316297"/>
      <w:bookmarkStart w:id="19" w:name="_Toc156316450"/>
      <w:bookmarkStart w:id="20" w:name="_Toc156316298"/>
      <w:bookmarkStart w:id="21" w:name="_Toc156316451"/>
      <w:bookmarkStart w:id="22" w:name="_Toc156316299"/>
      <w:bookmarkStart w:id="23" w:name="_Toc156316452"/>
      <w:bookmarkStart w:id="24" w:name="_Toc156316300"/>
      <w:bookmarkStart w:id="25" w:name="_Toc156316453"/>
      <w:bookmarkStart w:id="26" w:name="_Toc156316301"/>
      <w:bookmarkStart w:id="27" w:name="_Toc156316454"/>
      <w:bookmarkStart w:id="28" w:name="_Toc156316302"/>
      <w:bookmarkStart w:id="29" w:name="_Toc156316455"/>
      <w:bookmarkStart w:id="30" w:name="_Toc156316303"/>
      <w:bookmarkStart w:id="31" w:name="_Toc156316456"/>
      <w:bookmarkStart w:id="32" w:name="_Toc156316304"/>
      <w:bookmarkStart w:id="33" w:name="_Toc156316457"/>
      <w:bookmarkStart w:id="34" w:name="_Toc156316305"/>
      <w:bookmarkStart w:id="35" w:name="_Toc156316458"/>
      <w:bookmarkStart w:id="36" w:name="_Toc156316306"/>
      <w:bookmarkStart w:id="37" w:name="_Toc156316459"/>
      <w:bookmarkStart w:id="38" w:name="_Toc156316307"/>
      <w:bookmarkStart w:id="39" w:name="_Toc156316460"/>
      <w:bookmarkStart w:id="40" w:name="_Toc156316308"/>
      <w:bookmarkStart w:id="41" w:name="_Toc157762060"/>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C66C24">
        <w:rPr>
          <w:rFonts w:cstheme="minorHAnsi"/>
        </w:rPr>
        <w:t>Introduction</w:t>
      </w:r>
      <w:bookmarkEnd w:id="40"/>
      <w:bookmarkEnd w:id="41"/>
    </w:p>
    <w:p w14:paraId="70E3E260" w14:textId="72877F7E" w:rsidR="00E120F4" w:rsidRPr="00C66C24" w:rsidRDefault="002A59B5" w:rsidP="008C6A9C">
      <w:pPr>
        <w:pStyle w:val="Heading2"/>
        <w:spacing w:line="257" w:lineRule="auto"/>
      </w:pPr>
      <w:bookmarkStart w:id="42" w:name="_Toc156316309"/>
      <w:bookmarkStart w:id="43" w:name="_Toc157762061"/>
      <w:r w:rsidRPr="00C66C24">
        <w:t>Aim and o</w:t>
      </w:r>
      <w:r w:rsidR="005262B9" w:rsidRPr="00C66C24">
        <w:t>bjective</w:t>
      </w:r>
      <w:bookmarkEnd w:id="42"/>
      <w:bookmarkEnd w:id="43"/>
    </w:p>
    <w:p w14:paraId="1DD3888D" w14:textId="7EC2A3A4" w:rsidR="692033EF" w:rsidRPr="00C66C24" w:rsidRDefault="03672AF3" w:rsidP="008C6A9C">
      <w:pPr>
        <w:spacing w:before="0" w:after="120" w:line="257" w:lineRule="auto"/>
      </w:pPr>
      <w:r w:rsidRPr="00C66C24">
        <w:rPr>
          <w:rFonts w:ascii="Calibri" w:eastAsia="Calibri" w:hAnsi="Calibri" w:cs="Calibri"/>
          <w:color w:val="000000" w:themeColor="text1"/>
        </w:rPr>
        <w:t xml:space="preserve">The </w:t>
      </w:r>
      <w:r w:rsidR="07696477" w:rsidRPr="00C66C24">
        <w:rPr>
          <w:rFonts w:ascii="Calibri" w:eastAsia="Calibri" w:hAnsi="Calibri" w:cs="Calibri"/>
          <w:color w:val="000000" w:themeColor="text1"/>
        </w:rPr>
        <w:t xml:space="preserve">European Maritime Transport Environment Report (EMTER) </w:t>
      </w:r>
      <w:r w:rsidR="66BBD70F" w:rsidRPr="00C66C24">
        <w:rPr>
          <w:rFonts w:ascii="Calibri" w:eastAsia="Calibri" w:hAnsi="Calibri" w:cs="Calibri"/>
          <w:color w:val="000000" w:themeColor="text1"/>
        </w:rPr>
        <w:t>assess</w:t>
      </w:r>
      <w:r w:rsidR="00AA7338" w:rsidRPr="00C66C24">
        <w:rPr>
          <w:rFonts w:ascii="Calibri" w:eastAsia="Calibri" w:hAnsi="Calibri" w:cs="Calibri"/>
          <w:color w:val="000000" w:themeColor="text1"/>
        </w:rPr>
        <w:t>es</w:t>
      </w:r>
      <w:r w:rsidR="66BBD70F" w:rsidRPr="00C66C24">
        <w:rPr>
          <w:rFonts w:ascii="Calibri" w:eastAsia="Calibri" w:hAnsi="Calibri" w:cs="Calibri"/>
          <w:color w:val="000000" w:themeColor="text1"/>
        </w:rPr>
        <w:t xml:space="preserve"> the </w:t>
      </w:r>
      <w:r w:rsidR="67400931" w:rsidRPr="00C66C24">
        <w:rPr>
          <w:rFonts w:ascii="Calibri" w:eastAsia="Calibri" w:hAnsi="Calibri" w:cs="Calibri"/>
          <w:color w:val="000000" w:themeColor="text1"/>
        </w:rPr>
        <w:t>environmental footprint of the maritime transport</w:t>
      </w:r>
      <w:r w:rsidR="66BBD70F" w:rsidRPr="00C66C24">
        <w:rPr>
          <w:rFonts w:ascii="Calibri" w:eastAsia="Calibri" w:hAnsi="Calibri" w:cs="Calibri"/>
          <w:color w:val="000000" w:themeColor="text1"/>
        </w:rPr>
        <w:t xml:space="preserve"> sector</w:t>
      </w:r>
      <w:r w:rsidR="6F62D1AA" w:rsidRPr="00C66C24">
        <w:rPr>
          <w:rFonts w:ascii="Calibri" w:eastAsia="Calibri" w:hAnsi="Calibri" w:cs="Calibri"/>
          <w:color w:val="000000" w:themeColor="text1"/>
        </w:rPr>
        <w:t xml:space="preserve"> and support</w:t>
      </w:r>
      <w:r w:rsidR="00FD5078" w:rsidRPr="00C66C24">
        <w:rPr>
          <w:rFonts w:ascii="Calibri" w:eastAsia="Calibri" w:hAnsi="Calibri" w:cs="Calibri"/>
          <w:color w:val="000000" w:themeColor="text1"/>
        </w:rPr>
        <w:t>s</w:t>
      </w:r>
      <w:r w:rsidR="6F62D1AA" w:rsidRPr="00C66C24">
        <w:rPr>
          <w:rFonts w:ascii="Calibri" w:eastAsia="Calibri" w:hAnsi="Calibri" w:cs="Calibri"/>
          <w:color w:val="000000" w:themeColor="text1"/>
        </w:rPr>
        <w:t xml:space="preserve"> </w:t>
      </w:r>
      <w:r w:rsidR="004301EC" w:rsidRPr="00C66C24">
        <w:rPr>
          <w:rFonts w:ascii="Calibri" w:eastAsia="Calibri" w:hAnsi="Calibri" w:cs="Calibri"/>
          <w:color w:val="000000" w:themeColor="text1"/>
        </w:rPr>
        <w:t xml:space="preserve">attainment of </w:t>
      </w:r>
      <w:r w:rsidR="6F62D1AA" w:rsidRPr="00C66C24">
        <w:rPr>
          <w:rFonts w:ascii="Calibri" w:eastAsia="Calibri" w:hAnsi="Calibri" w:cs="Calibri"/>
          <w:color w:val="000000" w:themeColor="text1"/>
        </w:rPr>
        <w:t xml:space="preserve">the </w:t>
      </w:r>
      <w:r w:rsidR="00D90C03" w:rsidRPr="00C66C24">
        <w:rPr>
          <w:rFonts w:ascii="Calibri" w:eastAsia="Calibri" w:hAnsi="Calibri" w:cs="Calibri"/>
          <w:color w:val="000000" w:themeColor="text1"/>
        </w:rPr>
        <w:t>pollution prevention</w:t>
      </w:r>
      <w:r w:rsidR="41261090" w:rsidRPr="00C66C24">
        <w:rPr>
          <w:rFonts w:ascii="Calibri" w:eastAsia="Calibri" w:hAnsi="Calibri" w:cs="Calibri"/>
          <w:color w:val="000000" w:themeColor="text1"/>
        </w:rPr>
        <w:t xml:space="preserve"> </w:t>
      </w:r>
      <w:r w:rsidR="00221363" w:rsidRPr="00C66C24">
        <w:rPr>
          <w:rFonts w:ascii="Calibri" w:eastAsia="Calibri" w:hAnsi="Calibri" w:cs="Calibri"/>
          <w:color w:val="000000" w:themeColor="text1"/>
        </w:rPr>
        <w:t xml:space="preserve">and </w:t>
      </w:r>
      <w:r w:rsidR="41261090" w:rsidRPr="00C66C24">
        <w:rPr>
          <w:rFonts w:ascii="Calibri" w:eastAsia="Calibri" w:hAnsi="Calibri" w:cs="Calibri"/>
          <w:color w:val="000000" w:themeColor="text1"/>
        </w:rPr>
        <w:t>decarboni</w:t>
      </w:r>
      <w:r w:rsidR="00AB4C1E" w:rsidRPr="00C66C24">
        <w:rPr>
          <w:rFonts w:ascii="Calibri" w:eastAsia="Calibri" w:hAnsi="Calibri" w:cs="Calibri"/>
          <w:color w:val="000000" w:themeColor="text1"/>
        </w:rPr>
        <w:t>s</w:t>
      </w:r>
      <w:r w:rsidR="41261090" w:rsidRPr="00C66C24">
        <w:rPr>
          <w:rFonts w:ascii="Calibri" w:eastAsia="Calibri" w:hAnsi="Calibri" w:cs="Calibri"/>
          <w:color w:val="000000" w:themeColor="text1"/>
        </w:rPr>
        <w:t>ation</w:t>
      </w:r>
      <w:r w:rsidR="00DD6493" w:rsidRPr="00C66C24">
        <w:rPr>
          <w:rFonts w:ascii="Calibri" w:eastAsia="Calibri" w:hAnsi="Calibri" w:cs="Calibri"/>
          <w:color w:val="000000" w:themeColor="text1"/>
        </w:rPr>
        <w:t xml:space="preserve"> </w:t>
      </w:r>
      <w:r w:rsidR="004301EC" w:rsidRPr="00C66C24">
        <w:rPr>
          <w:rFonts w:ascii="Calibri" w:eastAsia="Calibri" w:hAnsi="Calibri" w:cs="Calibri"/>
          <w:color w:val="000000" w:themeColor="text1"/>
        </w:rPr>
        <w:t xml:space="preserve">objectives </w:t>
      </w:r>
      <w:r w:rsidR="00D90C03" w:rsidRPr="00C66C24">
        <w:rPr>
          <w:rFonts w:ascii="Calibri" w:eastAsia="Calibri" w:hAnsi="Calibri" w:cs="Calibri"/>
          <w:color w:val="000000" w:themeColor="text1"/>
        </w:rPr>
        <w:t>of the sector</w:t>
      </w:r>
      <w:r w:rsidR="00C17931" w:rsidRPr="00C66C24">
        <w:rPr>
          <w:rFonts w:ascii="Calibri" w:eastAsia="Calibri" w:hAnsi="Calibri" w:cs="Calibri"/>
          <w:color w:val="000000" w:themeColor="text1"/>
        </w:rPr>
        <w:t xml:space="preserve"> </w:t>
      </w:r>
      <w:r w:rsidR="6F62D1AA" w:rsidRPr="00C66C24">
        <w:rPr>
          <w:rFonts w:ascii="Calibri" w:eastAsia="Calibri" w:hAnsi="Calibri" w:cs="Calibri"/>
          <w:color w:val="000000" w:themeColor="text1"/>
        </w:rPr>
        <w:t xml:space="preserve">as </w:t>
      </w:r>
      <w:r w:rsidR="008074A6" w:rsidRPr="00C66C24">
        <w:rPr>
          <w:rFonts w:ascii="Calibri" w:eastAsia="Calibri" w:hAnsi="Calibri" w:cs="Calibri"/>
          <w:color w:val="000000" w:themeColor="text1"/>
        </w:rPr>
        <w:t>indicated</w:t>
      </w:r>
      <w:r w:rsidR="005836BB" w:rsidRPr="00C66C24">
        <w:rPr>
          <w:rFonts w:ascii="Calibri" w:eastAsia="Calibri" w:hAnsi="Calibri" w:cs="Calibri"/>
          <w:color w:val="000000" w:themeColor="text1"/>
        </w:rPr>
        <w:t xml:space="preserve"> by </w:t>
      </w:r>
      <w:r w:rsidR="6F62D1AA" w:rsidRPr="00C66C24">
        <w:rPr>
          <w:rFonts w:ascii="Calibri" w:eastAsia="Calibri" w:hAnsi="Calibri" w:cs="Calibri"/>
          <w:color w:val="000000" w:themeColor="text1"/>
        </w:rPr>
        <w:t>the European Green Deal (EGD)</w:t>
      </w:r>
      <w:r w:rsidR="007C5F8C" w:rsidRPr="00C66C24">
        <w:rPr>
          <w:rFonts w:ascii="Calibri" w:eastAsia="Calibri" w:hAnsi="Calibri" w:cs="Calibri"/>
          <w:color w:val="000000" w:themeColor="text1"/>
        </w:rPr>
        <w:t xml:space="preserve"> and</w:t>
      </w:r>
      <w:r w:rsidR="00E27D93" w:rsidRPr="00C66C24">
        <w:rPr>
          <w:rFonts w:ascii="Calibri" w:eastAsia="Calibri" w:hAnsi="Calibri" w:cs="Calibri"/>
          <w:color w:val="000000" w:themeColor="text1"/>
        </w:rPr>
        <w:t xml:space="preserve"> </w:t>
      </w:r>
      <w:r w:rsidR="6F62D1AA" w:rsidRPr="00C66C24">
        <w:rPr>
          <w:rFonts w:ascii="Calibri" w:eastAsia="Calibri" w:hAnsi="Calibri" w:cs="Calibri"/>
          <w:color w:val="000000" w:themeColor="text1"/>
        </w:rPr>
        <w:t xml:space="preserve">the </w:t>
      </w:r>
      <w:r w:rsidR="001120C5" w:rsidRPr="00C66C24">
        <w:rPr>
          <w:rFonts w:ascii="Calibri" w:eastAsia="Calibri" w:hAnsi="Calibri" w:cs="Calibri"/>
          <w:color w:val="000000" w:themeColor="text1"/>
        </w:rPr>
        <w:t>"</w:t>
      </w:r>
      <w:r w:rsidR="6F62D1AA" w:rsidRPr="00C66C24">
        <w:rPr>
          <w:rFonts w:ascii="Calibri" w:eastAsia="Calibri" w:hAnsi="Calibri" w:cs="Calibri"/>
          <w:color w:val="000000" w:themeColor="text1"/>
        </w:rPr>
        <w:t>Fit for 55</w:t>
      </w:r>
      <w:r w:rsidR="001120C5" w:rsidRPr="00C66C24">
        <w:rPr>
          <w:rFonts w:ascii="Calibri" w:eastAsia="Calibri" w:hAnsi="Calibri" w:cs="Calibri"/>
          <w:color w:val="000000" w:themeColor="text1"/>
        </w:rPr>
        <w:t>"</w:t>
      </w:r>
      <w:r w:rsidR="6F62D1AA" w:rsidRPr="00C66C24">
        <w:rPr>
          <w:rFonts w:ascii="Calibri" w:eastAsia="Calibri" w:hAnsi="Calibri" w:cs="Calibri"/>
          <w:color w:val="000000" w:themeColor="text1"/>
        </w:rPr>
        <w:t xml:space="preserve"> package</w:t>
      </w:r>
      <w:r w:rsidR="004301EC" w:rsidRPr="00C66C24">
        <w:rPr>
          <w:rFonts w:ascii="Calibri" w:eastAsia="Calibri" w:hAnsi="Calibri" w:cs="Calibri"/>
          <w:color w:val="000000" w:themeColor="text1"/>
        </w:rPr>
        <w:t>,</w:t>
      </w:r>
      <w:r w:rsidR="005836BB" w:rsidRPr="00C66C24">
        <w:rPr>
          <w:rFonts w:ascii="Calibri" w:eastAsia="Calibri" w:hAnsi="Calibri" w:cs="Calibri"/>
          <w:color w:val="000000" w:themeColor="text1"/>
        </w:rPr>
        <w:t xml:space="preserve"> and </w:t>
      </w:r>
      <w:r w:rsidR="00964CA5" w:rsidRPr="00C66C24">
        <w:rPr>
          <w:rFonts w:ascii="Calibri" w:eastAsia="Calibri" w:hAnsi="Calibri" w:cs="Calibri"/>
          <w:color w:val="000000" w:themeColor="text1"/>
        </w:rPr>
        <w:t>reflected in</w:t>
      </w:r>
      <w:r w:rsidR="005836BB" w:rsidRPr="00C66C24">
        <w:rPr>
          <w:rFonts w:ascii="Calibri" w:eastAsia="Calibri" w:hAnsi="Calibri" w:cs="Calibri"/>
          <w:color w:val="000000" w:themeColor="text1"/>
        </w:rPr>
        <w:t xml:space="preserve"> key initiatives</w:t>
      </w:r>
      <w:r w:rsidR="00964CA5" w:rsidRPr="00C66C24">
        <w:rPr>
          <w:rFonts w:ascii="Calibri" w:eastAsia="Calibri" w:hAnsi="Calibri" w:cs="Calibri"/>
          <w:color w:val="000000" w:themeColor="text1"/>
        </w:rPr>
        <w:t xml:space="preserve"> such as</w:t>
      </w:r>
      <w:r w:rsidR="003243F4" w:rsidRPr="00C66C24">
        <w:rPr>
          <w:rFonts w:ascii="Calibri" w:eastAsia="Calibri" w:hAnsi="Calibri" w:cs="Calibri"/>
          <w:color w:val="000000" w:themeColor="text1"/>
        </w:rPr>
        <w:t xml:space="preserve"> the Sustainable and Smart Mobility Strategy </w:t>
      </w:r>
      <w:r w:rsidR="00AE3A44" w:rsidRPr="00C66C24">
        <w:rPr>
          <w:rFonts w:ascii="Calibri" w:eastAsia="Calibri" w:hAnsi="Calibri" w:cs="Calibri"/>
          <w:color w:val="000000" w:themeColor="text1"/>
        </w:rPr>
        <w:t xml:space="preserve">(SSMS) </w:t>
      </w:r>
      <w:r w:rsidR="003243F4" w:rsidRPr="00C66C24">
        <w:rPr>
          <w:rFonts w:ascii="Calibri" w:eastAsia="Calibri" w:hAnsi="Calibri" w:cs="Calibri"/>
          <w:color w:val="000000" w:themeColor="text1"/>
        </w:rPr>
        <w:t>and the Zero Pollution Action Plan</w:t>
      </w:r>
      <w:r w:rsidR="00AE3A44" w:rsidRPr="00C66C24">
        <w:rPr>
          <w:rFonts w:ascii="Calibri" w:eastAsia="Calibri" w:hAnsi="Calibri" w:cs="Calibri"/>
          <w:color w:val="000000" w:themeColor="text1"/>
        </w:rPr>
        <w:t xml:space="preserve"> (ZPAP)</w:t>
      </w:r>
      <w:r w:rsidR="00790CAA" w:rsidRPr="00C66C24">
        <w:rPr>
          <w:rFonts w:ascii="Calibri" w:eastAsia="Calibri" w:hAnsi="Calibri" w:cs="Calibri"/>
          <w:color w:val="000000" w:themeColor="text1"/>
        </w:rPr>
        <w:t xml:space="preserve"> </w:t>
      </w:r>
      <w:r w:rsidR="004503B3"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{"citationID":"a1t529e6kn4","properties":{"formattedCitation":"(EC, 2021e)","plainCitation":"(EC, 2021e)","noteIndex":0},"citationItems":[{"id":33350,"uris":["http://zotero.org/groups/122386/items/3S2BP9T4"],"itemData":{"id":33350,"type":"report","event-place":"Brussels, Belgium","publisher":"European Commission","publisher-place":"Brussels, Belgium","title":"Zero pollution action plan","URL":"https://ec.europa.eu/environment/strategy/zero-pollution-action-plan_en","author":[{"family":"EC","given":""}],"issued":{"date-parts":[["2021"]]}}}],"schema":"https://github.com/citation-style-language/schema/raw/master/csl-citation.json"} </w:instrText>
      </w:r>
      <w:r w:rsidR="004503B3" w:rsidRPr="00C66C24">
        <w:rPr>
          <w:rFonts w:ascii="Calibri" w:eastAsia="Calibri" w:hAnsi="Calibri" w:cs="Calibri"/>
          <w:color w:val="000000" w:themeColor="text1"/>
        </w:rPr>
        <w:fldChar w:fldCharType="separate"/>
      </w:r>
      <w:r w:rsidR="001855E3" w:rsidRPr="00C66C24">
        <w:rPr>
          <w:rFonts w:ascii="Calibri" w:hAnsi="Calibri" w:cs="Calibri"/>
        </w:rPr>
        <w:t>(EC, 2021</w:t>
      </w:r>
      <w:r w:rsidR="005D608C">
        <w:rPr>
          <w:rFonts w:ascii="Calibri" w:hAnsi="Calibri" w:cs="Calibri"/>
        </w:rPr>
        <w:t>f</w:t>
      </w:r>
      <w:r w:rsidR="001855E3" w:rsidRPr="00C66C24">
        <w:rPr>
          <w:rFonts w:ascii="Calibri" w:hAnsi="Calibri" w:cs="Calibri"/>
        </w:rPr>
        <w:t>)</w:t>
      </w:r>
      <w:r w:rsidR="004503B3" w:rsidRPr="00C66C24">
        <w:rPr>
          <w:rFonts w:ascii="Calibri" w:eastAsia="Calibri" w:hAnsi="Calibri" w:cs="Calibri"/>
          <w:color w:val="000000" w:themeColor="text1"/>
        </w:rPr>
        <w:fldChar w:fldCharType="end"/>
      </w:r>
      <w:r w:rsidR="66BBD70F" w:rsidRPr="00C66C24">
        <w:rPr>
          <w:rFonts w:ascii="Calibri" w:eastAsia="Calibri" w:hAnsi="Calibri" w:cs="Calibri"/>
          <w:color w:val="000000" w:themeColor="text1"/>
        </w:rPr>
        <w:t>.</w:t>
      </w:r>
      <w:r w:rsidR="07696477" w:rsidRPr="00C66C24">
        <w:rPr>
          <w:rFonts w:ascii="Calibri" w:eastAsia="Calibri" w:hAnsi="Calibri" w:cs="Calibri"/>
          <w:color w:val="000000" w:themeColor="text1"/>
        </w:rPr>
        <w:t xml:space="preserve"> </w:t>
      </w:r>
      <w:r w:rsidR="46927BCA" w:rsidRPr="00C66C24">
        <w:rPr>
          <w:rFonts w:ascii="Calibri" w:eastAsia="Calibri" w:hAnsi="Calibri" w:cs="Calibri"/>
          <w:color w:val="000000" w:themeColor="text1"/>
        </w:rPr>
        <w:t xml:space="preserve">The </w:t>
      </w:r>
      <w:r w:rsidRPr="00C66C24">
        <w:rPr>
          <w:rFonts w:ascii="Calibri" w:eastAsia="Calibri" w:hAnsi="Calibri" w:cs="Calibri"/>
          <w:color w:val="000000" w:themeColor="text1"/>
        </w:rPr>
        <w:t xml:space="preserve">objective of this </w:t>
      </w:r>
      <w:r w:rsidR="5E14A39A" w:rsidRPr="00C66C24">
        <w:rPr>
          <w:rFonts w:ascii="Calibri" w:eastAsia="Calibri" w:hAnsi="Calibri" w:cs="Calibri"/>
          <w:color w:val="000000" w:themeColor="text1"/>
        </w:rPr>
        <w:t xml:space="preserve">second </w:t>
      </w:r>
      <w:r w:rsidR="00C47B32" w:rsidRPr="00C66C24">
        <w:rPr>
          <w:rFonts w:ascii="Calibri" w:eastAsia="Calibri" w:hAnsi="Calibri" w:cs="Calibri"/>
          <w:color w:val="000000" w:themeColor="text1"/>
        </w:rPr>
        <w:t xml:space="preserve">EMTER </w:t>
      </w:r>
      <w:r w:rsidR="5E14A39A" w:rsidRPr="00C66C24">
        <w:rPr>
          <w:rFonts w:ascii="Calibri" w:eastAsia="Calibri" w:hAnsi="Calibri" w:cs="Calibri"/>
          <w:color w:val="000000" w:themeColor="text1"/>
        </w:rPr>
        <w:t>report</w:t>
      </w:r>
      <w:r w:rsidR="322DE909"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is to </w:t>
      </w:r>
      <w:r w:rsidR="762D1C42" w:rsidRPr="00C66C24">
        <w:rPr>
          <w:rFonts w:ascii="Calibri" w:eastAsia="Calibri" w:hAnsi="Calibri" w:cs="Calibri"/>
          <w:color w:val="000000" w:themeColor="text1"/>
        </w:rPr>
        <w:t>update the indicators developed for the first report (</w:t>
      </w:r>
      <w:r w:rsidR="00CC7F6B" w:rsidRPr="00C66C24">
        <w:rPr>
          <w:rFonts w:ascii="Calibri" w:eastAsia="Calibri" w:hAnsi="Calibri" w:cs="Calibri"/>
          <w:color w:val="000000" w:themeColor="text1"/>
        </w:rPr>
        <w:t>EMTER 2021</w:t>
      </w:r>
      <w:r w:rsidR="762D1C42" w:rsidRPr="00C66C24">
        <w:rPr>
          <w:rFonts w:ascii="Calibri" w:eastAsia="Calibri" w:hAnsi="Calibri" w:cs="Calibri"/>
          <w:color w:val="000000" w:themeColor="text1"/>
        </w:rPr>
        <w:t>)</w:t>
      </w:r>
      <w:r w:rsidR="5E233D30" w:rsidRPr="00C66C24">
        <w:rPr>
          <w:rFonts w:ascii="Calibri" w:eastAsia="Calibri" w:hAnsi="Calibri" w:cs="Calibri"/>
          <w:color w:val="000000" w:themeColor="text1"/>
        </w:rPr>
        <w:t xml:space="preserve">, </w:t>
      </w:r>
      <w:r w:rsidR="4023645A" w:rsidRPr="00C66C24">
        <w:rPr>
          <w:rFonts w:ascii="Calibri" w:eastAsia="Calibri" w:hAnsi="Calibri" w:cs="Calibri"/>
          <w:color w:val="000000" w:themeColor="text1"/>
        </w:rPr>
        <w:t>analyse</w:t>
      </w:r>
      <w:r w:rsidR="0ECA2605" w:rsidRPr="00C66C24">
        <w:rPr>
          <w:rFonts w:ascii="Calibri" w:eastAsia="Calibri" w:hAnsi="Calibri" w:cs="Calibri"/>
          <w:color w:val="000000" w:themeColor="text1"/>
        </w:rPr>
        <w:t xml:space="preserve"> </w:t>
      </w:r>
      <w:r w:rsidR="5E233D30" w:rsidRPr="00C66C24">
        <w:rPr>
          <w:rFonts w:ascii="Calibri" w:eastAsia="Calibri" w:hAnsi="Calibri" w:cs="Calibri"/>
          <w:color w:val="000000" w:themeColor="text1"/>
        </w:rPr>
        <w:t xml:space="preserve">new </w:t>
      </w:r>
      <w:r w:rsidR="42BB811E" w:rsidRPr="00C66C24">
        <w:rPr>
          <w:rFonts w:ascii="Calibri" w:eastAsia="Calibri" w:hAnsi="Calibri" w:cs="Calibri"/>
          <w:color w:val="000000" w:themeColor="text1"/>
        </w:rPr>
        <w:t xml:space="preserve">datasets and fill existing gaps </w:t>
      </w:r>
      <w:r w:rsidR="0125B07C" w:rsidRPr="00C66C24">
        <w:rPr>
          <w:rFonts w:ascii="Calibri" w:eastAsia="Calibri" w:hAnsi="Calibri" w:cs="Calibri"/>
          <w:color w:val="000000" w:themeColor="text1"/>
        </w:rPr>
        <w:t>(for example, fishing vessels and new energy carriers)</w:t>
      </w:r>
      <w:r w:rsidR="00FE4890" w:rsidRPr="00C66C24">
        <w:rPr>
          <w:rFonts w:ascii="Calibri" w:eastAsia="Calibri" w:hAnsi="Calibri" w:cs="Calibri"/>
          <w:color w:val="000000" w:themeColor="text1"/>
        </w:rPr>
        <w:t>,</w:t>
      </w:r>
      <w:r w:rsidR="0125B07C" w:rsidRPr="00C66C24">
        <w:rPr>
          <w:rFonts w:ascii="Calibri" w:eastAsia="Calibri" w:hAnsi="Calibri" w:cs="Calibri"/>
          <w:color w:val="000000" w:themeColor="text1"/>
        </w:rPr>
        <w:t xml:space="preserve"> </w:t>
      </w:r>
      <w:r w:rsidR="007252D6" w:rsidRPr="00C66C24">
        <w:rPr>
          <w:rFonts w:ascii="Calibri" w:eastAsia="Calibri" w:hAnsi="Calibri" w:cs="Calibri"/>
          <w:color w:val="000000" w:themeColor="text1"/>
        </w:rPr>
        <w:t>in view of</w:t>
      </w:r>
      <w:r w:rsidR="0125B07C" w:rsidRPr="00C66C24">
        <w:rPr>
          <w:rFonts w:ascii="Calibri" w:eastAsia="Calibri" w:hAnsi="Calibri" w:cs="Calibri"/>
          <w:color w:val="000000" w:themeColor="text1"/>
        </w:rPr>
        <w:t xml:space="preserve"> </w:t>
      </w:r>
      <w:r w:rsidR="00407991" w:rsidRPr="00C66C24">
        <w:rPr>
          <w:rFonts w:ascii="Calibri" w:eastAsia="Calibri" w:hAnsi="Calibri" w:cs="Calibri"/>
          <w:color w:val="000000" w:themeColor="text1"/>
        </w:rPr>
        <w:t>providing</w:t>
      </w:r>
      <w:r w:rsidRPr="00C66C24">
        <w:rPr>
          <w:rFonts w:ascii="Calibri" w:eastAsia="Calibri" w:hAnsi="Calibri" w:cs="Calibri"/>
          <w:color w:val="000000" w:themeColor="text1"/>
        </w:rPr>
        <w:t xml:space="preserve"> a data and knowledge-based assessment of the maritime transport sector</w:t>
      </w:r>
      <w:r w:rsidR="00962142" w:rsidRPr="00C66C24">
        <w:rPr>
          <w:rFonts w:ascii="Calibri" w:eastAsia="Calibri" w:hAnsi="Calibri" w:cs="Calibri"/>
          <w:color w:val="000000" w:themeColor="text1"/>
        </w:rPr>
        <w:t>’</w:t>
      </w:r>
      <w:r w:rsidRPr="00C66C24">
        <w:rPr>
          <w:rFonts w:ascii="Calibri" w:eastAsia="Calibri" w:hAnsi="Calibri" w:cs="Calibri"/>
          <w:color w:val="000000" w:themeColor="text1"/>
        </w:rPr>
        <w:t>s transition to sustainability.</w:t>
      </w:r>
      <w:r w:rsidR="0083697E" w:rsidRPr="00C66C24">
        <w:rPr>
          <w:rFonts w:ascii="Calibri" w:eastAsia="Calibri" w:hAnsi="Calibri" w:cs="Calibri"/>
          <w:color w:val="000000" w:themeColor="text1"/>
        </w:rPr>
        <w:t xml:space="preserve"> </w:t>
      </w:r>
      <w:r w:rsidR="692033EF" w:rsidRPr="00C66C24">
        <w:t xml:space="preserve">As with the first version of the report, </w:t>
      </w:r>
      <w:r w:rsidR="00CC7F6B" w:rsidRPr="00C66C24">
        <w:t>EMTER 2024</w:t>
      </w:r>
      <w:r w:rsidR="692033EF" w:rsidRPr="00C66C24">
        <w:t xml:space="preserve"> </w:t>
      </w:r>
      <w:r w:rsidR="00554094" w:rsidRPr="00C66C24">
        <w:t xml:space="preserve">is targeted </w:t>
      </w:r>
      <w:r w:rsidR="00DD42BA" w:rsidRPr="00C66C24">
        <w:t xml:space="preserve">to </w:t>
      </w:r>
      <w:r w:rsidR="0001446C" w:rsidRPr="00C66C24">
        <w:t xml:space="preserve">a wide range of stakeholders, including </w:t>
      </w:r>
      <w:r w:rsidR="692033EF" w:rsidRPr="00C66C24">
        <w:t>E</w:t>
      </w:r>
      <w:r w:rsidR="00234C36" w:rsidRPr="00C66C24">
        <w:t xml:space="preserve">uropean </w:t>
      </w:r>
      <w:r w:rsidR="692033EF" w:rsidRPr="00C66C24">
        <w:t>U</w:t>
      </w:r>
      <w:r w:rsidR="00234C36" w:rsidRPr="00C66C24">
        <w:t>nion (EU)</w:t>
      </w:r>
      <w:r w:rsidR="692033EF" w:rsidRPr="00C66C24">
        <w:t xml:space="preserve"> policy decision makers</w:t>
      </w:r>
      <w:r w:rsidR="00512CC1" w:rsidRPr="00C66C24">
        <w:t>,</w:t>
      </w:r>
      <w:r w:rsidR="692033EF" w:rsidRPr="00C66C24">
        <w:t xml:space="preserve"> EU member states</w:t>
      </w:r>
      <w:r w:rsidR="009B71DF" w:rsidRPr="00C66C24">
        <w:t>’</w:t>
      </w:r>
      <w:r w:rsidR="692033EF" w:rsidRPr="00C66C24">
        <w:t xml:space="preserve"> maritime and environmental </w:t>
      </w:r>
      <w:r w:rsidR="00CD3F61" w:rsidRPr="00C66C24">
        <w:t xml:space="preserve">national </w:t>
      </w:r>
      <w:r w:rsidR="692033EF" w:rsidRPr="00C66C24">
        <w:t>administrations</w:t>
      </w:r>
      <w:r w:rsidR="00512CC1" w:rsidRPr="00C66C24">
        <w:t>,</w:t>
      </w:r>
      <w:r w:rsidR="692033EF" w:rsidRPr="00C66C24">
        <w:t xml:space="preserve"> industry </w:t>
      </w:r>
      <w:r w:rsidR="00252428" w:rsidRPr="00C66C24">
        <w:t xml:space="preserve">and </w:t>
      </w:r>
      <w:r w:rsidR="692033EF" w:rsidRPr="00C66C24">
        <w:t>science organi</w:t>
      </w:r>
      <w:r w:rsidR="006D2DB8" w:rsidRPr="00C66C24">
        <w:t>s</w:t>
      </w:r>
      <w:r w:rsidR="692033EF" w:rsidRPr="00C66C24">
        <w:t>ations</w:t>
      </w:r>
      <w:r w:rsidR="501707B9" w:rsidRPr="00C66C24">
        <w:t>,</w:t>
      </w:r>
      <w:r w:rsidR="692033EF" w:rsidRPr="00C66C24">
        <w:t xml:space="preserve"> </w:t>
      </w:r>
      <w:r w:rsidR="00512CC1" w:rsidRPr="00C66C24">
        <w:t xml:space="preserve">business </w:t>
      </w:r>
      <w:r w:rsidR="692033EF" w:rsidRPr="00C66C24">
        <w:t xml:space="preserve">and </w:t>
      </w:r>
      <w:r w:rsidR="00512CC1" w:rsidRPr="00C66C24">
        <w:t>environmental NGOs</w:t>
      </w:r>
      <w:r w:rsidR="00810FD9" w:rsidRPr="00C66C24">
        <w:t>,</w:t>
      </w:r>
      <w:r w:rsidR="692033EF" w:rsidRPr="00C66C24">
        <w:t xml:space="preserve"> and</w:t>
      </w:r>
      <w:r w:rsidR="00536B13" w:rsidRPr="00C66C24">
        <w:t xml:space="preserve"> </w:t>
      </w:r>
      <w:r w:rsidR="00394BD0" w:rsidRPr="00C66C24">
        <w:t xml:space="preserve">the </w:t>
      </w:r>
      <w:r w:rsidR="692033EF" w:rsidRPr="00C66C24">
        <w:t>civil society.</w:t>
      </w:r>
    </w:p>
    <w:p w14:paraId="2122D209" w14:textId="4BB4915F" w:rsidR="003652F4" w:rsidRPr="00C66C24" w:rsidRDefault="00D75887" w:rsidP="008C6A9C">
      <w:pPr>
        <w:pStyle w:val="Heading2"/>
        <w:spacing w:line="257" w:lineRule="auto"/>
      </w:pPr>
      <w:bookmarkStart w:id="44" w:name="_Toc156316310"/>
      <w:bookmarkStart w:id="45" w:name="_Toc157762062"/>
      <w:r w:rsidRPr="00C66C24">
        <w:rPr>
          <w:rFonts w:cstheme="minorBidi"/>
        </w:rPr>
        <w:t>From EMTER</w:t>
      </w:r>
      <w:r w:rsidR="00021D58" w:rsidRPr="00C66C24">
        <w:rPr>
          <w:rFonts w:cstheme="minorBidi"/>
        </w:rPr>
        <w:t>-</w:t>
      </w:r>
      <w:r w:rsidRPr="00C66C24">
        <w:rPr>
          <w:rFonts w:cstheme="minorBidi"/>
        </w:rPr>
        <w:t>2021 to EMTER</w:t>
      </w:r>
      <w:r w:rsidR="00021D58" w:rsidRPr="00C66C24">
        <w:rPr>
          <w:rFonts w:cstheme="minorBidi"/>
        </w:rPr>
        <w:t>-</w:t>
      </w:r>
      <w:r w:rsidRPr="00C66C24">
        <w:rPr>
          <w:rFonts w:cstheme="minorBidi"/>
        </w:rPr>
        <w:t>2024</w:t>
      </w:r>
      <w:bookmarkEnd w:id="44"/>
      <w:bookmarkEnd w:id="45"/>
    </w:p>
    <w:p w14:paraId="5CBEBCCA" w14:textId="6B188046" w:rsidR="00817702" w:rsidRPr="00C66C24" w:rsidRDefault="004F1A67" w:rsidP="00F82ADA">
      <w:pPr>
        <w:spacing w:before="0" w:after="0" w:line="257" w:lineRule="auto"/>
      </w:pPr>
      <w:r w:rsidRPr="00C66C24">
        <w:t xml:space="preserve">The first edition of the </w:t>
      </w:r>
      <w:r w:rsidR="000A051F" w:rsidRPr="00C66C24">
        <w:t xml:space="preserve">EMTER was published in 2021 and </w:t>
      </w:r>
      <w:r w:rsidR="000B111A" w:rsidRPr="00C66C24">
        <w:t>provided</w:t>
      </w:r>
      <w:r w:rsidR="006F7A06" w:rsidRPr="00C66C24">
        <w:t xml:space="preserve"> the first </w:t>
      </w:r>
      <w:r w:rsidR="0080228B" w:rsidRPr="00C66C24">
        <w:t xml:space="preserve">factual analysis of </w:t>
      </w:r>
      <w:r w:rsidR="009370EF" w:rsidRPr="00C66C24">
        <w:t xml:space="preserve">environmental </w:t>
      </w:r>
      <w:r w:rsidR="00912CFA" w:rsidRPr="00C66C24">
        <w:t xml:space="preserve">footprint </w:t>
      </w:r>
      <w:r w:rsidR="006A4B1C" w:rsidRPr="00C66C24">
        <w:t>of</w:t>
      </w:r>
      <w:r w:rsidR="009370EF" w:rsidRPr="00C66C24">
        <w:t xml:space="preserve"> the </w:t>
      </w:r>
      <w:r w:rsidR="002A5AF9" w:rsidRPr="00C66C24">
        <w:t xml:space="preserve">maritime </w:t>
      </w:r>
      <w:r w:rsidR="00806E9E" w:rsidRPr="00C66C24">
        <w:t xml:space="preserve">transport sector. </w:t>
      </w:r>
      <w:r w:rsidR="003315FE" w:rsidRPr="00C66C24">
        <w:t xml:space="preserve">It </w:t>
      </w:r>
      <w:r w:rsidR="00685002" w:rsidRPr="00C66C24">
        <w:t xml:space="preserve">presented </w:t>
      </w:r>
      <w:r w:rsidR="005D6D6F" w:rsidRPr="00C66C24">
        <w:t xml:space="preserve">information </w:t>
      </w:r>
      <w:r w:rsidR="00A06F17" w:rsidRPr="00C66C24">
        <w:t xml:space="preserve">on the relevant </w:t>
      </w:r>
      <w:r w:rsidR="000B611A" w:rsidRPr="00C66C24">
        <w:t>environmental standards</w:t>
      </w:r>
      <w:r w:rsidR="000034AF" w:rsidRPr="00C66C24">
        <w:t xml:space="preserve"> and described </w:t>
      </w:r>
      <w:r w:rsidR="00A22BEE" w:rsidRPr="00C66C24">
        <w:t xml:space="preserve">actions </w:t>
      </w:r>
      <w:r w:rsidR="007F1D66" w:rsidRPr="00C66C24">
        <w:t xml:space="preserve">to reduce </w:t>
      </w:r>
      <w:r w:rsidR="0033068F" w:rsidRPr="00C66C24">
        <w:t xml:space="preserve">the sector’s impact </w:t>
      </w:r>
      <w:r w:rsidR="00722280" w:rsidRPr="00C66C24">
        <w:t xml:space="preserve">on our environment, </w:t>
      </w:r>
      <w:r w:rsidR="00E14DBA" w:rsidRPr="00C66C24">
        <w:t xml:space="preserve">highlighting the </w:t>
      </w:r>
      <w:r w:rsidR="00C315D5" w:rsidRPr="00C66C24">
        <w:t xml:space="preserve">challenges and </w:t>
      </w:r>
      <w:r w:rsidR="002A2D65" w:rsidRPr="00C66C24">
        <w:t xml:space="preserve">opportunities </w:t>
      </w:r>
      <w:r w:rsidR="007B3085" w:rsidRPr="00C66C24">
        <w:t xml:space="preserve">to foster the necessary </w:t>
      </w:r>
      <w:r w:rsidR="005366F4" w:rsidRPr="00C66C24">
        <w:t xml:space="preserve">implementation and </w:t>
      </w:r>
      <w:r w:rsidR="007B3085" w:rsidRPr="00C66C24">
        <w:t>cooperation at European level.</w:t>
      </w:r>
    </w:p>
    <w:p w14:paraId="4430E363" w14:textId="76F591C0" w:rsidR="30A38A90" w:rsidRPr="00C66C24" w:rsidRDefault="00817702" w:rsidP="00F82ADA">
      <w:pPr>
        <w:spacing w:before="0" w:after="0" w:line="257" w:lineRule="auto"/>
      </w:pPr>
      <w:r w:rsidRPr="00C66C24">
        <w:t xml:space="preserve">Within this context, EMSA and the EEA have </w:t>
      </w:r>
      <w:r w:rsidR="00BE40A7" w:rsidRPr="00C66C24">
        <w:t xml:space="preserve">been working to </w:t>
      </w:r>
      <w:r w:rsidR="00752C08" w:rsidRPr="00C66C24">
        <w:t xml:space="preserve">update the </w:t>
      </w:r>
      <w:r w:rsidR="00E62F8D">
        <w:t xml:space="preserve">first </w:t>
      </w:r>
      <w:r w:rsidR="00752C08" w:rsidRPr="00C66C24">
        <w:t>edition of the report</w:t>
      </w:r>
      <w:r w:rsidR="00AA6889" w:rsidRPr="00C66C24">
        <w:t>, to</w:t>
      </w:r>
      <w:r w:rsidR="00BE40A7" w:rsidRPr="00C66C24">
        <w:t xml:space="preserve"> </w:t>
      </w:r>
      <w:r w:rsidR="008E4A08" w:rsidRPr="00C66C24">
        <w:t xml:space="preserve">fill </w:t>
      </w:r>
      <w:r w:rsidR="00AA6889" w:rsidRPr="00C66C24">
        <w:t xml:space="preserve">in </w:t>
      </w:r>
      <w:r w:rsidR="00D420FD" w:rsidRPr="00C66C24">
        <w:t xml:space="preserve">these </w:t>
      </w:r>
      <w:r w:rsidR="008E4A08" w:rsidRPr="00C66C24">
        <w:t xml:space="preserve">gaps and </w:t>
      </w:r>
      <w:r w:rsidR="00AA6889" w:rsidRPr="00C66C24">
        <w:t xml:space="preserve">to </w:t>
      </w:r>
      <w:r w:rsidR="00E25E16" w:rsidRPr="00C66C24">
        <w:t xml:space="preserve">provide </w:t>
      </w:r>
      <w:r w:rsidR="004E3DF0" w:rsidRPr="00C66C24">
        <w:t xml:space="preserve">a </w:t>
      </w:r>
      <w:r w:rsidR="006E2BED" w:rsidRPr="00C66C24">
        <w:t xml:space="preserve">set of </w:t>
      </w:r>
      <w:r w:rsidR="00EE4903" w:rsidRPr="00C66C24">
        <w:t xml:space="preserve">new </w:t>
      </w:r>
      <w:r w:rsidR="00E825C8" w:rsidRPr="00C66C24">
        <w:t>elements</w:t>
      </w:r>
      <w:r w:rsidR="00850502" w:rsidRPr="00C66C24">
        <w:t>. These include</w:t>
      </w:r>
      <w:r w:rsidR="009842FB" w:rsidRPr="00C66C24">
        <w:t xml:space="preserve"> </w:t>
      </w:r>
      <w:r w:rsidR="00FF23D2" w:rsidRPr="00C66C24">
        <w:t>biodiversity</w:t>
      </w:r>
      <w:r w:rsidR="007E6863" w:rsidRPr="00C66C24">
        <w:t>-</w:t>
      </w:r>
      <w:r w:rsidR="00FF23D2" w:rsidRPr="00C66C24">
        <w:t xml:space="preserve">related indicators, </w:t>
      </w:r>
      <w:r w:rsidR="002E733F" w:rsidRPr="00C66C24">
        <w:t xml:space="preserve">the </w:t>
      </w:r>
      <w:r w:rsidR="00423528" w:rsidRPr="00C66C24">
        <w:t xml:space="preserve">analysis of </w:t>
      </w:r>
      <w:r w:rsidR="00216462" w:rsidRPr="00C66C24">
        <w:t>observational air emission measurements</w:t>
      </w:r>
      <w:r w:rsidR="00366615" w:rsidRPr="00C66C24">
        <w:t xml:space="preserve"> from </w:t>
      </w:r>
      <w:r w:rsidR="00E8647E" w:rsidRPr="00C66C24">
        <w:t>r</w:t>
      </w:r>
      <w:r w:rsidR="00366615" w:rsidRPr="00C66C24">
        <w:t>emote</w:t>
      </w:r>
      <w:r w:rsidR="008A07D8" w:rsidRPr="00C66C24">
        <w:t>ly</w:t>
      </w:r>
      <w:r w:rsidR="00E8647E" w:rsidRPr="00C66C24">
        <w:t xml:space="preserve"> piloted aircraft system</w:t>
      </w:r>
      <w:r w:rsidR="00423528" w:rsidRPr="00C66C24">
        <w:t>s</w:t>
      </w:r>
      <w:r w:rsidR="008A07D8" w:rsidRPr="00C66C24">
        <w:t xml:space="preserve">, </w:t>
      </w:r>
      <w:r w:rsidR="001341F1" w:rsidRPr="00C66C24">
        <w:t>ins</w:t>
      </w:r>
      <w:r w:rsidR="00423528" w:rsidRPr="00C66C24">
        <w:t xml:space="preserve">ight on </w:t>
      </w:r>
      <w:r w:rsidR="001341F1" w:rsidRPr="00C66C24">
        <w:t>water discharges</w:t>
      </w:r>
      <w:r w:rsidR="001A6D3B" w:rsidRPr="00C66C24">
        <w:t xml:space="preserve">, </w:t>
      </w:r>
      <w:r w:rsidR="00F82A54" w:rsidRPr="00C66C24">
        <w:t xml:space="preserve">underwater radiated noise </w:t>
      </w:r>
      <w:r w:rsidR="007A17D0" w:rsidRPr="00C66C24">
        <w:t>forecast</w:t>
      </w:r>
      <w:r w:rsidR="00D85B56" w:rsidRPr="00C66C24">
        <w:t xml:space="preserve"> </w:t>
      </w:r>
      <w:r w:rsidR="002B6758" w:rsidRPr="00C66C24">
        <w:t>s</w:t>
      </w:r>
      <w:r w:rsidR="00D85B56" w:rsidRPr="00C66C24">
        <w:t>cenarios</w:t>
      </w:r>
      <w:r w:rsidR="002B6758" w:rsidRPr="00C66C24">
        <w:t>,</w:t>
      </w:r>
      <w:r w:rsidR="007A17D0" w:rsidRPr="00C66C24">
        <w:t xml:space="preserve"> </w:t>
      </w:r>
      <w:r w:rsidR="00A51866" w:rsidRPr="00C66C24">
        <w:t>marine litter, fishing vessels,</w:t>
      </w:r>
      <w:r w:rsidR="007A17D0" w:rsidRPr="00C66C24">
        <w:t xml:space="preserve"> </w:t>
      </w:r>
      <w:r w:rsidR="00F651AA" w:rsidRPr="00C66C24">
        <w:t xml:space="preserve">EU </w:t>
      </w:r>
      <w:r w:rsidR="009E6D59" w:rsidRPr="00C66C24">
        <w:t>2030 targets for decarbo</w:t>
      </w:r>
      <w:r w:rsidR="00584A53" w:rsidRPr="00C66C24">
        <w:t xml:space="preserve">nisation, </w:t>
      </w:r>
      <w:r w:rsidR="001009AE" w:rsidRPr="00C66C24">
        <w:t>alternative</w:t>
      </w:r>
      <w:r w:rsidR="00123B11" w:rsidRPr="00C66C24">
        <w:t xml:space="preserve"> carbon-free</w:t>
      </w:r>
      <w:r w:rsidR="001009AE" w:rsidRPr="00C66C24">
        <w:t xml:space="preserve"> </w:t>
      </w:r>
      <w:r w:rsidR="000A24D6" w:rsidRPr="00C66C24">
        <w:t>energy sources</w:t>
      </w:r>
      <w:r w:rsidR="00E445EB" w:rsidRPr="00C66C24">
        <w:t>,</w:t>
      </w:r>
      <w:r w:rsidR="00CA7111" w:rsidRPr="00C66C24">
        <w:t xml:space="preserve"> </w:t>
      </w:r>
      <w:r w:rsidR="00EB09B1" w:rsidRPr="00C66C24">
        <w:t xml:space="preserve">as well as </w:t>
      </w:r>
      <w:r w:rsidR="00F01EAE" w:rsidRPr="00C66C24">
        <w:t>a</w:t>
      </w:r>
      <w:r w:rsidR="00986991" w:rsidRPr="00C66C24">
        <w:t>n</w:t>
      </w:r>
      <w:r w:rsidR="00CC2C3A" w:rsidRPr="00C66C24">
        <w:t xml:space="preserve"> </w:t>
      </w:r>
      <w:r w:rsidR="001153AC" w:rsidRPr="00C66C24">
        <w:t>up-to-date</w:t>
      </w:r>
      <w:r w:rsidR="00F705AD" w:rsidRPr="00C66C24">
        <w:t xml:space="preserve"> CO</w:t>
      </w:r>
      <w:r w:rsidR="00F705AD" w:rsidRPr="00C66C24">
        <w:rPr>
          <w:vertAlign w:val="subscript"/>
        </w:rPr>
        <w:t>2</w:t>
      </w:r>
      <w:r w:rsidR="00F705AD" w:rsidRPr="00C66C24">
        <w:t xml:space="preserve"> emission</w:t>
      </w:r>
      <w:r w:rsidR="006A39A9" w:rsidRPr="00C66C24">
        <w:t xml:space="preserve"> outlook</w:t>
      </w:r>
      <w:r w:rsidR="00F705AD" w:rsidRPr="00C66C24">
        <w:t xml:space="preserve"> and</w:t>
      </w:r>
      <w:r w:rsidR="004E4320" w:rsidRPr="00C66C24">
        <w:t xml:space="preserve"> </w:t>
      </w:r>
      <w:r w:rsidR="003271C9" w:rsidRPr="00C66C24">
        <w:t>energy transition</w:t>
      </w:r>
      <w:r w:rsidR="00A5478A" w:rsidRPr="00C66C24">
        <w:t xml:space="preserve"> foresight</w:t>
      </w:r>
      <w:r w:rsidR="00927963" w:rsidRPr="00C66C24">
        <w:t>.</w:t>
      </w:r>
      <w:r w:rsidR="00F62992" w:rsidRPr="00C66C24">
        <w:t xml:space="preserve"> The report also provides new elements on how the maritime transport sector contributes to cleaning the seas from marine litter</w:t>
      </w:r>
      <w:r w:rsidR="00C907EB">
        <w:t>,</w:t>
      </w:r>
      <w:r w:rsidR="00F62992" w:rsidRPr="00C66C24">
        <w:t xml:space="preserve"> with new data on waste collected during fishing activities (passively fished waste).</w:t>
      </w:r>
    </w:p>
    <w:p w14:paraId="54264E45" w14:textId="448E6DE8" w:rsidR="005C2F12" w:rsidRPr="00C66C24" w:rsidRDefault="006546B6" w:rsidP="00160B37">
      <w:pPr>
        <w:spacing w:before="0" w:after="0" w:line="257" w:lineRule="auto"/>
      </w:pPr>
      <w:r w:rsidRPr="00C66C24">
        <w:t>Nevertheless, it is important to note that s</w:t>
      </w:r>
      <w:r w:rsidR="00912CFA" w:rsidRPr="00C66C24">
        <w:t xml:space="preserve">ome </w:t>
      </w:r>
      <w:r w:rsidRPr="00C66C24">
        <w:t xml:space="preserve">of the </w:t>
      </w:r>
      <w:r w:rsidR="003C4F53" w:rsidRPr="00C66C24">
        <w:t xml:space="preserve">gaps </w:t>
      </w:r>
      <w:r w:rsidRPr="00C66C24">
        <w:t xml:space="preserve">identified in EMTER 2021 </w:t>
      </w:r>
      <w:r w:rsidR="003C4F53" w:rsidRPr="00C66C24">
        <w:t xml:space="preserve">have not been </w:t>
      </w:r>
      <w:r w:rsidR="00912CFA" w:rsidRPr="00C66C24">
        <w:t xml:space="preserve">completely addressed </w:t>
      </w:r>
      <w:r w:rsidR="009A6874" w:rsidRPr="00C66C24">
        <w:t>in this edition</w:t>
      </w:r>
      <w:r w:rsidR="00A872A0" w:rsidRPr="00C66C24">
        <w:t xml:space="preserve">, </w:t>
      </w:r>
      <w:r w:rsidR="00A67688" w:rsidRPr="00C66C24">
        <w:t xml:space="preserve">for example </w:t>
      </w:r>
      <w:r w:rsidR="00912CFA" w:rsidRPr="00C66C24">
        <w:t>regarding</w:t>
      </w:r>
      <w:r w:rsidR="002925EF" w:rsidRPr="00C66C24">
        <w:t xml:space="preserve"> </w:t>
      </w:r>
      <w:r w:rsidR="0029252E" w:rsidRPr="00C66C24">
        <w:t xml:space="preserve">air quality in </w:t>
      </w:r>
      <w:r w:rsidR="00E002E9" w:rsidRPr="00C66C24">
        <w:t>ports</w:t>
      </w:r>
      <w:r w:rsidR="00BC566E" w:rsidRPr="00C66C24">
        <w:t>,</w:t>
      </w:r>
      <w:r w:rsidR="00E002E9" w:rsidRPr="00C66C24">
        <w:t xml:space="preserve"> where</w:t>
      </w:r>
      <w:r w:rsidR="0029252E" w:rsidRPr="00C66C24">
        <w:t xml:space="preserve"> data</w:t>
      </w:r>
      <w:r w:rsidR="00AC0068" w:rsidRPr="00C66C24">
        <w:t xml:space="preserve"> enabling the </w:t>
      </w:r>
      <w:r w:rsidR="00DC7365" w:rsidRPr="00C66C24">
        <w:t xml:space="preserve">analysis of the </w:t>
      </w:r>
      <w:r w:rsidR="009E5692" w:rsidRPr="00C66C24">
        <w:t>shipping contribution</w:t>
      </w:r>
      <w:r w:rsidR="00991EA7" w:rsidRPr="00C66C24">
        <w:t xml:space="preserve"> </w:t>
      </w:r>
      <w:r w:rsidR="0024003F" w:rsidRPr="00C66C24">
        <w:t xml:space="preserve">is still </w:t>
      </w:r>
      <w:r w:rsidR="002E733F" w:rsidRPr="00C66C24">
        <w:t>missing</w:t>
      </w:r>
      <w:r w:rsidR="0024003F" w:rsidRPr="00C66C24">
        <w:t>.</w:t>
      </w:r>
      <w:r w:rsidR="0075170A" w:rsidRPr="00C66C24">
        <w:t xml:space="preserve"> </w:t>
      </w:r>
    </w:p>
    <w:p w14:paraId="22640580" w14:textId="3A8E9413" w:rsidR="00F716F0" w:rsidRPr="00C66C24" w:rsidRDefault="00021D58" w:rsidP="00562E5C">
      <w:pPr>
        <w:spacing w:before="0" w:after="120" w:line="257" w:lineRule="auto"/>
        <w:rPr>
          <w:rFonts w:ascii="Calibri" w:eastAsia="Calibri" w:hAnsi="Calibri" w:cs="Calibri"/>
          <w:color w:val="000000" w:themeColor="text1"/>
        </w:rPr>
      </w:pPr>
      <w:r w:rsidRPr="00C66C24">
        <w:rPr>
          <w:rFonts w:ascii="Calibri" w:eastAsia="Calibri" w:hAnsi="Calibri" w:cs="Calibri"/>
          <w:color w:val="000000" w:themeColor="text1"/>
        </w:rPr>
        <w:t xml:space="preserve">The report is structured in </w:t>
      </w:r>
      <w:r w:rsidR="008A2980" w:rsidRPr="00C66C24">
        <w:rPr>
          <w:rFonts w:ascii="Calibri" w:eastAsia="Calibri" w:hAnsi="Calibri" w:cs="Calibri"/>
          <w:color w:val="000000" w:themeColor="text1"/>
        </w:rPr>
        <w:t>three</w:t>
      </w:r>
      <w:r w:rsidRPr="00C66C24">
        <w:rPr>
          <w:rFonts w:ascii="Calibri" w:eastAsia="Calibri" w:hAnsi="Calibri" w:cs="Calibri"/>
          <w:color w:val="000000" w:themeColor="text1"/>
        </w:rPr>
        <w:t xml:space="preserve"> main chapters</w:t>
      </w:r>
      <w:r w:rsidR="007D1E57" w:rsidRPr="00C66C24">
        <w:rPr>
          <w:rFonts w:ascii="Calibri" w:eastAsia="Calibri" w:hAnsi="Calibri" w:cs="Calibri"/>
          <w:color w:val="000000" w:themeColor="text1"/>
        </w:rPr>
        <w:t xml:space="preserve"> </w:t>
      </w:r>
      <w:r w:rsidR="004342C6" w:rsidRPr="00C66C24">
        <w:rPr>
          <w:rFonts w:ascii="Calibri" w:eastAsia="Calibri" w:hAnsi="Calibri" w:cs="Calibri"/>
          <w:color w:val="000000" w:themeColor="text1"/>
        </w:rPr>
        <w:t>plus</w:t>
      </w:r>
      <w:r w:rsidR="007D1E57" w:rsidRPr="00C66C24">
        <w:rPr>
          <w:rFonts w:ascii="Calibri" w:eastAsia="Calibri" w:hAnsi="Calibri" w:cs="Calibri"/>
          <w:color w:val="000000" w:themeColor="text1"/>
        </w:rPr>
        <w:t xml:space="preserve"> a</w:t>
      </w:r>
      <w:r w:rsidR="0090735B" w:rsidRPr="00C66C24">
        <w:rPr>
          <w:rFonts w:ascii="Calibri" w:eastAsia="Calibri" w:hAnsi="Calibri" w:cs="Calibri"/>
          <w:color w:val="000000" w:themeColor="text1"/>
        </w:rPr>
        <w:t>n Annex</w:t>
      </w:r>
      <w:r w:rsidRPr="00C66C24">
        <w:rPr>
          <w:rFonts w:ascii="Calibri" w:eastAsia="Calibri" w:hAnsi="Calibri" w:cs="Calibri"/>
          <w:color w:val="000000" w:themeColor="text1"/>
        </w:rPr>
        <w:t xml:space="preserve">, providing information on the </w:t>
      </w:r>
      <w:r w:rsidR="0096660F" w:rsidRPr="00C66C24">
        <w:rPr>
          <w:rFonts w:ascii="Calibri" w:eastAsia="Calibri" w:hAnsi="Calibri" w:cs="Calibri"/>
          <w:color w:val="000000" w:themeColor="text1"/>
        </w:rPr>
        <w:t xml:space="preserve">relevance </w:t>
      </w:r>
      <w:r w:rsidR="001433D1" w:rsidRPr="00C66C24">
        <w:rPr>
          <w:rFonts w:ascii="Calibri" w:eastAsia="Calibri" w:hAnsi="Calibri" w:cs="Calibri"/>
          <w:color w:val="000000" w:themeColor="text1"/>
        </w:rPr>
        <w:t xml:space="preserve">of the </w:t>
      </w:r>
      <w:r w:rsidRPr="00C66C24">
        <w:rPr>
          <w:rFonts w:ascii="Calibri" w:eastAsia="Calibri" w:hAnsi="Calibri" w:cs="Calibri"/>
          <w:color w:val="000000" w:themeColor="text1"/>
        </w:rPr>
        <w:t xml:space="preserve">maritime </w:t>
      </w:r>
      <w:r w:rsidR="001433D1" w:rsidRPr="00C66C24">
        <w:rPr>
          <w:rFonts w:ascii="Calibri" w:eastAsia="Calibri" w:hAnsi="Calibri" w:cs="Calibri"/>
          <w:color w:val="000000" w:themeColor="text1"/>
        </w:rPr>
        <w:t xml:space="preserve">transport </w:t>
      </w:r>
      <w:r w:rsidR="00B802B4" w:rsidRPr="00C66C24">
        <w:rPr>
          <w:rFonts w:ascii="Calibri" w:eastAsia="Calibri" w:hAnsi="Calibri" w:cs="Calibri"/>
          <w:color w:val="000000" w:themeColor="text1"/>
        </w:rPr>
        <w:t>sector</w:t>
      </w:r>
      <w:r w:rsidRPr="00C66C24">
        <w:rPr>
          <w:rFonts w:ascii="Calibri" w:eastAsia="Calibri" w:hAnsi="Calibri" w:cs="Calibri"/>
          <w:color w:val="000000" w:themeColor="text1"/>
        </w:rPr>
        <w:t xml:space="preserve">, the </w:t>
      </w:r>
      <w:r w:rsidR="00C041A7" w:rsidRPr="00C66C24">
        <w:rPr>
          <w:rFonts w:ascii="Calibri" w:eastAsia="Calibri" w:hAnsi="Calibri" w:cs="Calibri"/>
          <w:color w:val="000000" w:themeColor="text1"/>
        </w:rPr>
        <w:t>policies</w:t>
      </w:r>
      <w:r w:rsidRPr="00C66C24">
        <w:rPr>
          <w:rFonts w:ascii="Calibri" w:eastAsia="Calibri" w:hAnsi="Calibri" w:cs="Calibri"/>
          <w:color w:val="000000" w:themeColor="text1"/>
        </w:rPr>
        <w:t xml:space="preserve">, the data trends, </w:t>
      </w:r>
      <w:r w:rsidR="00030F7D" w:rsidRPr="00C66C24">
        <w:rPr>
          <w:rFonts w:ascii="Calibri" w:eastAsia="Calibri" w:hAnsi="Calibri" w:cs="Calibri"/>
          <w:color w:val="000000" w:themeColor="text1"/>
        </w:rPr>
        <w:t xml:space="preserve">status and </w:t>
      </w:r>
      <w:r w:rsidRPr="00C66C24">
        <w:rPr>
          <w:rFonts w:ascii="Calibri" w:eastAsia="Calibri" w:hAnsi="Calibri" w:cs="Calibri"/>
          <w:color w:val="000000" w:themeColor="text1"/>
        </w:rPr>
        <w:t>outlook</w:t>
      </w:r>
      <w:r w:rsidR="005E5DE4" w:rsidRPr="00C66C24">
        <w:rPr>
          <w:rFonts w:ascii="Calibri" w:eastAsia="Calibri" w:hAnsi="Calibri" w:cs="Calibri"/>
          <w:color w:val="000000" w:themeColor="text1"/>
        </w:rPr>
        <w:t>s</w:t>
      </w:r>
      <w:r w:rsidR="00466B1E"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and </w:t>
      </w:r>
      <w:r w:rsidR="004A0601" w:rsidRPr="00C66C24">
        <w:rPr>
          <w:rFonts w:ascii="Calibri" w:eastAsia="Calibri" w:hAnsi="Calibri" w:cs="Calibri"/>
          <w:color w:val="000000" w:themeColor="text1"/>
        </w:rPr>
        <w:t xml:space="preserve">information </w:t>
      </w:r>
      <w:r w:rsidR="001433D1" w:rsidRPr="00C66C24">
        <w:rPr>
          <w:rFonts w:ascii="Calibri" w:eastAsia="Calibri" w:hAnsi="Calibri" w:cs="Calibri"/>
          <w:color w:val="000000" w:themeColor="text1"/>
        </w:rPr>
        <w:t>f</w:t>
      </w:r>
      <w:r w:rsidR="004A0601" w:rsidRPr="00C66C24">
        <w:rPr>
          <w:rFonts w:ascii="Calibri" w:eastAsia="Calibri" w:hAnsi="Calibri" w:cs="Calibri"/>
          <w:color w:val="000000" w:themeColor="text1"/>
        </w:rPr>
        <w:t>o</w:t>
      </w:r>
      <w:r w:rsidR="001433D1" w:rsidRPr="00C66C24">
        <w:rPr>
          <w:rFonts w:ascii="Calibri" w:eastAsia="Calibri" w:hAnsi="Calibri" w:cs="Calibri"/>
          <w:color w:val="000000" w:themeColor="text1"/>
        </w:rPr>
        <w:t>r</w:t>
      </w:r>
      <w:r w:rsidR="004A0601" w:rsidRPr="00C66C24">
        <w:rPr>
          <w:rFonts w:ascii="Calibri" w:eastAsia="Calibri" w:hAnsi="Calibri" w:cs="Calibri"/>
          <w:color w:val="000000" w:themeColor="text1"/>
        </w:rPr>
        <w:t xml:space="preserve"> </w:t>
      </w:r>
      <w:r w:rsidR="00C4031B" w:rsidRPr="00C66C24">
        <w:rPr>
          <w:rFonts w:ascii="Calibri" w:eastAsia="Calibri" w:hAnsi="Calibri" w:cs="Calibri"/>
          <w:color w:val="000000" w:themeColor="text1"/>
        </w:rPr>
        <w:t xml:space="preserve">the </w:t>
      </w:r>
      <w:r w:rsidR="00EE0CA5" w:rsidRPr="00C66C24">
        <w:rPr>
          <w:rFonts w:ascii="Calibri" w:eastAsia="Calibri" w:hAnsi="Calibri" w:cs="Calibri"/>
          <w:color w:val="000000" w:themeColor="text1"/>
        </w:rPr>
        <w:t xml:space="preserve">energy transition required to </w:t>
      </w:r>
      <w:r w:rsidR="006B4A5A" w:rsidRPr="00C66C24">
        <w:rPr>
          <w:rFonts w:ascii="Calibri" w:eastAsia="Calibri" w:hAnsi="Calibri" w:cs="Calibri"/>
          <w:color w:val="000000" w:themeColor="text1"/>
        </w:rPr>
        <w:t xml:space="preserve">reach the </w:t>
      </w:r>
      <w:r w:rsidR="00C4031B" w:rsidRPr="00C66C24">
        <w:rPr>
          <w:rFonts w:ascii="Calibri" w:eastAsia="Calibri" w:hAnsi="Calibri" w:cs="Calibri"/>
          <w:color w:val="000000" w:themeColor="text1"/>
        </w:rPr>
        <w:t>sector</w:t>
      </w:r>
      <w:r w:rsidR="006B4A5A" w:rsidRPr="00C66C24">
        <w:rPr>
          <w:rFonts w:ascii="Calibri" w:eastAsia="Calibri" w:hAnsi="Calibri" w:cs="Calibri"/>
          <w:color w:val="000000" w:themeColor="text1"/>
        </w:rPr>
        <w:t>’s decarbonisation targets</w:t>
      </w:r>
      <w:r w:rsidRPr="00C66C24">
        <w:rPr>
          <w:rFonts w:ascii="Calibri" w:eastAsia="Calibri" w:hAnsi="Calibri" w:cs="Calibri"/>
          <w:color w:val="000000" w:themeColor="text1"/>
        </w:rPr>
        <w:t>.</w:t>
      </w:r>
      <w:r w:rsidRPr="00C66C24">
        <w:rPr>
          <w:rFonts w:ascii="Calibri" w:eastAsia="Calibri" w:hAnsi="Calibri" w:cs="Calibri"/>
        </w:rPr>
        <w:t xml:space="preserve"> Chapter 1 provide</w:t>
      </w:r>
      <w:r w:rsidR="008A2980" w:rsidRPr="00C66C24">
        <w:rPr>
          <w:rFonts w:ascii="Calibri" w:eastAsia="Calibri" w:hAnsi="Calibri" w:cs="Calibri"/>
        </w:rPr>
        <w:t>s</w:t>
      </w:r>
      <w:r w:rsidRPr="00C66C24">
        <w:rPr>
          <w:rFonts w:ascii="Calibri" w:eastAsia="Calibri" w:hAnsi="Calibri" w:cs="Calibri"/>
        </w:rPr>
        <w:t xml:space="preserve"> an overview of the status of the maritime transport sector from an economic and social perspective</w:t>
      </w:r>
      <w:r w:rsidR="008A2980"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Chapter </w:t>
      </w:r>
      <w:r w:rsidR="008C7C9E" w:rsidRPr="00C66C24">
        <w:rPr>
          <w:rFonts w:ascii="Calibri" w:eastAsia="Calibri" w:hAnsi="Calibri" w:cs="Calibri"/>
          <w:color w:val="000000" w:themeColor="text1"/>
        </w:rPr>
        <w:t>2</w:t>
      </w:r>
      <w:r w:rsidRPr="00C66C24">
        <w:rPr>
          <w:rFonts w:ascii="Calibri" w:eastAsia="Calibri" w:hAnsi="Calibri" w:cs="Calibri"/>
          <w:color w:val="000000" w:themeColor="text1"/>
        </w:rPr>
        <w:t xml:space="preserve"> offers an update of the key elements of EMTER 2021, evaluating the trends and progress made to reach the maritime environmental targets, and where possible, provide</w:t>
      </w:r>
      <w:r w:rsidR="00680265" w:rsidRPr="00C66C24">
        <w:rPr>
          <w:rFonts w:ascii="Calibri" w:eastAsia="Calibri" w:hAnsi="Calibri" w:cs="Calibri"/>
          <w:color w:val="000000" w:themeColor="text1"/>
        </w:rPr>
        <w:t>s</w:t>
      </w:r>
      <w:r w:rsidRPr="00C66C24">
        <w:rPr>
          <w:rFonts w:ascii="Calibri" w:eastAsia="Calibri" w:hAnsi="Calibri" w:cs="Calibri"/>
          <w:color w:val="000000" w:themeColor="text1"/>
        </w:rPr>
        <w:t xml:space="preserve"> new elements to </w:t>
      </w:r>
      <w:r w:rsidR="004E23B3" w:rsidRPr="00C66C24">
        <w:rPr>
          <w:rFonts w:ascii="Calibri" w:eastAsia="Calibri" w:hAnsi="Calibri" w:cs="Calibri"/>
          <w:color w:val="000000" w:themeColor="text1"/>
        </w:rPr>
        <w:t>fill-in</w:t>
      </w:r>
      <w:r w:rsidRPr="00C66C24">
        <w:rPr>
          <w:rFonts w:ascii="Calibri" w:eastAsia="Calibri" w:hAnsi="Calibri" w:cs="Calibri"/>
          <w:color w:val="000000" w:themeColor="text1"/>
        </w:rPr>
        <w:t xml:space="preserve"> the knowledge gaps identified in the first edition. </w:t>
      </w:r>
      <w:r w:rsidR="00FB0737" w:rsidRPr="00C66C24">
        <w:rPr>
          <w:rFonts w:ascii="Calibri" w:eastAsia="Calibri" w:hAnsi="Calibri" w:cs="Calibri"/>
          <w:color w:val="000000" w:themeColor="text1"/>
        </w:rPr>
        <w:t xml:space="preserve">In </w:t>
      </w:r>
      <w:r w:rsidRPr="00C66C24">
        <w:rPr>
          <w:rFonts w:ascii="Calibri" w:eastAsia="Calibri" w:hAnsi="Calibri" w:cs="Calibri"/>
          <w:color w:val="000000" w:themeColor="text1"/>
        </w:rPr>
        <w:t>Chapter</w:t>
      </w:r>
      <w:r w:rsidR="00C353E4" w:rsidRPr="00C66C24">
        <w:rPr>
          <w:rFonts w:ascii="Calibri" w:eastAsia="Calibri" w:hAnsi="Calibri" w:cs="Calibri"/>
          <w:color w:val="000000" w:themeColor="text1"/>
        </w:rPr>
        <w:t xml:space="preserve"> </w:t>
      </w:r>
      <w:r w:rsidR="007C040A" w:rsidRPr="00C66C24">
        <w:rPr>
          <w:rFonts w:ascii="Calibri" w:eastAsia="Calibri" w:hAnsi="Calibri" w:cs="Calibri"/>
          <w:color w:val="000000" w:themeColor="text1"/>
        </w:rPr>
        <w:fldChar w:fldCharType="begin"/>
      </w:r>
      <w:r w:rsidR="007C040A" w:rsidRPr="00C66C24">
        <w:rPr>
          <w:rFonts w:ascii="Calibri" w:eastAsia="Calibri" w:hAnsi="Calibri" w:cs="Calibri"/>
          <w:color w:val="000000" w:themeColor="text1"/>
        </w:rPr>
        <w:instrText xml:space="preserve"> REF _Ref157421566 \r \h </w:instrText>
      </w:r>
      <w:r w:rsidR="007C040A" w:rsidRPr="00C66C24">
        <w:rPr>
          <w:rFonts w:ascii="Calibri" w:eastAsia="Calibri" w:hAnsi="Calibri" w:cs="Calibri"/>
          <w:color w:val="000000" w:themeColor="text1"/>
        </w:rPr>
      </w:r>
      <w:r w:rsidR="007C040A" w:rsidRPr="00C66C24">
        <w:rPr>
          <w:rFonts w:ascii="Calibri" w:eastAsia="Calibri" w:hAnsi="Calibri" w:cs="Calibri"/>
          <w:color w:val="000000" w:themeColor="text1"/>
        </w:rPr>
        <w:fldChar w:fldCharType="separate"/>
      </w:r>
      <w:r w:rsidR="007C040A" w:rsidRPr="00C66C24">
        <w:rPr>
          <w:rFonts w:ascii="Calibri" w:eastAsia="Calibri" w:hAnsi="Calibri" w:cs="Calibri"/>
          <w:color w:val="000000" w:themeColor="text1"/>
        </w:rPr>
        <w:t>3</w:t>
      </w:r>
      <w:r w:rsidR="007C040A"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spurred by the ambition of the </w:t>
      </w:r>
      <w:r w:rsidR="009452F4" w:rsidRPr="00C66C24">
        <w:rPr>
          <w:rFonts w:ascii="Calibri" w:eastAsia="Calibri" w:hAnsi="Calibri" w:cs="Calibri"/>
          <w:color w:val="000000" w:themeColor="text1"/>
        </w:rPr>
        <w:t xml:space="preserve">EU </w:t>
      </w:r>
      <w:r w:rsidRPr="00C66C24">
        <w:rPr>
          <w:rFonts w:ascii="Calibri" w:eastAsia="Calibri" w:hAnsi="Calibri" w:cs="Calibri"/>
          <w:color w:val="000000" w:themeColor="text1"/>
        </w:rPr>
        <w:t xml:space="preserve">Green Deal and the proposals related to the maritime transport sector, </w:t>
      </w:r>
      <w:r w:rsidR="001350E6" w:rsidRPr="00C66C24">
        <w:rPr>
          <w:rFonts w:ascii="Calibri" w:eastAsia="Calibri" w:hAnsi="Calibri" w:cs="Calibri"/>
          <w:color w:val="000000" w:themeColor="text1"/>
        </w:rPr>
        <w:t>the report</w:t>
      </w:r>
      <w:r w:rsidR="00D509C6" w:rsidRPr="00C66C24">
        <w:rPr>
          <w:rFonts w:ascii="Calibri" w:eastAsia="Calibri" w:hAnsi="Calibri" w:cs="Calibri"/>
          <w:color w:val="000000" w:themeColor="text1"/>
        </w:rPr>
        <w:t xml:space="preserve"> </w:t>
      </w:r>
      <w:r w:rsidR="00277632" w:rsidRPr="00C66C24">
        <w:rPr>
          <w:rFonts w:ascii="Calibri" w:eastAsia="Calibri" w:hAnsi="Calibri" w:cs="Calibri"/>
          <w:color w:val="000000" w:themeColor="text1"/>
        </w:rPr>
        <w:t xml:space="preserve">examines the </w:t>
      </w:r>
      <w:r w:rsidR="009A5153" w:rsidRPr="00C66C24">
        <w:rPr>
          <w:rFonts w:ascii="Calibri" w:eastAsia="Calibri" w:hAnsi="Calibri" w:cs="Calibri"/>
          <w:color w:val="000000" w:themeColor="text1"/>
        </w:rPr>
        <w:t>opportunities</w:t>
      </w:r>
      <w:r w:rsidR="0024465C" w:rsidRPr="00C66C24">
        <w:rPr>
          <w:rFonts w:ascii="Calibri" w:eastAsia="Calibri" w:hAnsi="Calibri" w:cs="Calibri"/>
          <w:color w:val="000000" w:themeColor="text1"/>
        </w:rPr>
        <w:t xml:space="preserve"> and </w:t>
      </w:r>
      <w:r w:rsidRPr="00C66C24">
        <w:rPr>
          <w:rFonts w:ascii="Calibri" w:eastAsia="Calibri" w:hAnsi="Calibri" w:cs="Calibri"/>
          <w:color w:val="000000" w:themeColor="text1"/>
        </w:rPr>
        <w:t xml:space="preserve">challenges </w:t>
      </w:r>
      <w:r w:rsidR="00186B20" w:rsidRPr="00C66C24">
        <w:rPr>
          <w:rFonts w:ascii="Calibri" w:eastAsia="Calibri" w:hAnsi="Calibri" w:cs="Calibri"/>
          <w:color w:val="000000" w:themeColor="text1"/>
        </w:rPr>
        <w:t>of</w:t>
      </w:r>
      <w:r w:rsidRPr="00C66C24">
        <w:rPr>
          <w:rFonts w:ascii="Calibri" w:eastAsia="Calibri" w:hAnsi="Calibri" w:cs="Calibri"/>
          <w:color w:val="000000" w:themeColor="text1"/>
        </w:rPr>
        <w:t xml:space="preserve"> the sector </w:t>
      </w:r>
      <w:r w:rsidR="005C7974" w:rsidRPr="00C66C24">
        <w:rPr>
          <w:rFonts w:ascii="Calibri" w:eastAsia="Calibri" w:hAnsi="Calibri" w:cs="Calibri"/>
          <w:color w:val="000000" w:themeColor="text1"/>
        </w:rPr>
        <w:t xml:space="preserve">regarding </w:t>
      </w:r>
      <w:r w:rsidRPr="00C66C24">
        <w:rPr>
          <w:rFonts w:ascii="Calibri" w:eastAsia="Calibri" w:hAnsi="Calibri" w:cs="Calibri"/>
          <w:color w:val="000000" w:themeColor="text1"/>
        </w:rPr>
        <w:t xml:space="preserve">the implementation of the new legislative framework on decarbonisation. </w:t>
      </w:r>
      <w:r w:rsidR="007F295F" w:rsidRPr="00C66C24">
        <w:rPr>
          <w:rFonts w:ascii="Calibri" w:eastAsia="Calibri" w:hAnsi="Calibri" w:cs="Calibri"/>
          <w:color w:val="000000" w:themeColor="text1"/>
        </w:rPr>
        <w:t>T</w:t>
      </w:r>
      <w:r w:rsidRPr="00C66C24">
        <w:rPr>
          <w:rFonts w:ascii="Calibri" w:eastAsia="Calibri" w:hAnsi="Calibri" w:cs="Calibri"/>
          <w:color w:val="000000" w:themeColor="text1"/>
        </w:rPr>
        <w:t>he report</w:t>
      </w:r>
      <w:r w:rsidR="007F295F" w:rsidRPr="00C66C24">
        <w:rPr>
          <w:rFonts w:ascii="Calibri" w:eastAsia="Calibri" w:hAnsi="Calibri" w:cs="Calibri"/>
          <w:color w:val="000000" w:themeColor="text1"/>
        </w:rPr>
        <w:t xml:space="preserve"> concludes</w:t>
      </w:r>
      <w:r w:rsidRPr="00C66C24">
        <w:rPr>
          <w:rFonts w:ascii="Calibri" w:eastAsia="Calibri" w:hAnsi="Calibri" w:cs="Calibri"/>
          <w:color w:val="000000" w:themeColor="text1"/>
        </w:rPr>
        <w:t xml:space="preserve"> with a summary of the </w:t>
      </w:r>
      <w:r w:rsidR="008C5207" w:rsidRPr="00C66C24">
        <w:rPr>
          <w:rFonts w:ascii="Calibri" w:eastAsia="Calibri" w:hAnsi="Calibri" w:cs="Calibri"/>
          <w:color w:val="000000" w:themeColor="text1"/>
        </w:rPr>
        <w:t>main remaining gaps</w:t>
      </w:r>
      <w:r w:rsidR="00C7259D" w:rsidRPr="00C66C24">
        <w:rPr>
          <w:rFonts w:ascii="Calibri" w:eastAsia="Calibri" w:hAnsi="Calibri" w:cs="Calibri"/>
          <w:color w:val="000000" w:themeColor="text1"/>
        </w:rPr>
        <w:t xml:space="preserve"> and</w:t>
      </w:r>
      <w:r w:rsidR="008C5207"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highlight</w:t>
      </w:r>
      <w:r w:rsidR="00C7259D" w:rsidRPr="00C66C24">
        <w:rPr>
          <w:rFonts w:ascii="Calibri" w:eastAsia="Calibri" w:hAnsi="Calibri" w:cs="Calibri"/>
          <w:color w:val="000000" w:themeColor="text1"/>
        </w:rPr>
        <w:t xml:space="preserve">s </w:t>
      </w:r>
      <w:r w:rsidR="008D51B4" w:rsidRPr="00C66C24">
        <w:rPr>
          <w:rFonts w:ascii="Calibri" w:eastAsia="Calibri" w:hAnsi="Calibri" w:cs="Calibri"/>
          <w:color w:val="000000" w:themeColor="text1"/>
        </w:rPr>
        <w:t>those</w:t>
      </w:r>
      <w:r w:rsidR="00DC20C8"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priority areas that need to be </w:t>
      </w:r>
      <w:r w:rsidR="00DC20C8" w:rsidRPr="00C66C24">
        <w:rPr>
          <w:rFonts w:ascii="Calibri" w:eastAsia="Calibri" w:hAnsi="Calibri" w:cs="Calibri"/>
          <w:color w:val="000000" w:themeColor="text1"/>
        </w:rPr>
        <w:t>developed</w:t>
      </w:r>
      <w:r w:rsidRPr="00C66C24">
        <w:rPr>
          <w:rFonts w:ascii="Calibri" w:eastAsia="Calibri" w:hAnsi="Calibri" w:cs="Calibri"/>
          <w:color w:val="000000" w:themeColor="text1"/>
        </w:rPr>
        <w:t xml:space="preserve"> to</w:t>
      </w:r>
      <w:r w:rsidR="00DC20C8" w:rsidRPr="00C66C24">
        <w:rPr>
          <w:rFonts w:ascii="Calibri" w:eastAsia="Calibri" w:hAnsi="Calibri" w:cs="Calibri"/>
          <w:color w:val="000000" w:themeColor="text1"/>
        </w:rPr>
        <w:t xml:space="preserve"> further</w:t>
      </w:r>
      <w:r w:rsidRPr="00C66C24">
        <w:rPr>
          <w:rFonts w:ascii="Calibri" w:eastAsia="Calibri" w:hAnsi="Calibri" w:cs="Calibri"/>
          <w:color w:val="000000" w:themeColor="text1"/>
        </w:rPr>
        <w:t xml:space="preserve"> reduce the environmental footprint of the maritime transport sector and support the EU decarboni</w:t>
      </w:r>
      <w:r w:rsidR="00EC6277" w:rsidRPr="00C66C24">
        <w:rPr>
          <w:rFonts w:ascii="Calibri" w:eastAsia="Calibri" w:hAnsi="Calibri" w:cs="Calibri"/>
          <w:color w:val="000000" w:themeColor="text1"/>
        </w:rPr>
        <w:t>s</w:t>
      </w:r>
      <w:r w:rsidRPr="00C66C24">
        <w:rPr>
          <w:rFonts w:ascii="Calibri" w:eastAsia="Calibri" w:hAnsi="Calibri" w:cs="Calibri"/>
          <w:color w:val="000000" w:themeColor="text1"/>
        </w:rPr>
        <w:t>ation roadmap.</w:t>
      </w:r>
      <w:r w:rsidR="009D3972" w:rsidRPr="00C66C24">
        <w:rPr>
          <w:rFonts w:ascii="Calibri" w:eastAsia="Calibri" w:hAnsi="Calibri" w:cs="Calibri"/>
          <w:color w:val="000000" w:themeColor="text1"/>
        </w:rPr>
        <w:t xml:space="preserve"> Annex 1 covers all of the international and E</w:t>
      </w:r>
      <w:r w:rsidR="00FB0CFA" w:rsidRPr="00C66C24">
        <w:rPr>
          <w:rFonts w:ascii="Calibri" w:eastAsia="Calibri" w:hAnsi="Calibri" w:cs="Calibri"/>
          <w:color w:val="000000" w:themeColor="text1"/>
        </w:rPr>
        <w:t>U</w:t>
      </w:r>
      <w:r w:rsidR="009D3972" w:rsidRPr="00C66C24">
        <w:rPr>
          <w:rFonts w:ascii="Calibri" w:eastAsia="Calibri" w:hAnsi="Calibri" w:cs="Calibri"/>
          <w:color w:val="000000" w:themeColor="text1"/>
        </w:rPr>
        <w:t xml:space="preserve"> </w:t>
      </w:r>
      <w:r w:rsidR="00A93ACA" w:rsidRPr="00C66C24">
        <w:rPr>
          <w:rFonts w:ascii="Calibri" w:eastAsia="Calibri" w:hAnsi="Calibri" w:cs="Calibri"/>
          <w:color w:val="000000" w:themeColor="text1"/>
        </w:rPr>
        <w:t xml:space="preserve">environmental </w:t>
      </w:r>
      <w:r w:rsidR="009156A4" w:rsidRPr="00C66C24">
        <w:rPr>
          <w:rFonts w:ascii="Calibri" w:eastAsia="Calibri" w:hAnsi="Calibri" w:cs="Calibri"/>
          <w:color w:val="000000" w:themeColor="text1"/>
        </w:rPr>
        <w:t xml:space="preserve">regulatory and monitoring frameworks which are relevant to </w:t>
      </w:r>
      <w:r w:rsidR="002A05F9" w:rsidRPr="00C66C24">
        <w:rPr>
          <w:rFonts w:ascii="Calibri" w:eastAsia="Calibri" w:hAnsi="Calibri" w:cs="Calibri"/>
          <w:color w:val="000000" w:themeColor="text1"/>
        </w:rPr>
        <w:t xml:space="preserve">for the maritime </w:t>
      </w:r>
      <w:r w:rsidR="00A93ACA" w:rsidRPr="00C66C24">
        <w:rPr>
          <w:rFonts w:ascii="Calibri" w:eastAsia="Calibri" w:hAnsi="Calibri" w:cs="Calibri"/>
          <w:color w:val="000000" w:themeColor="text1"/>
        </w:rPr>
        <w:t>transport sector</w:t>
      </w:r>
      <w:r w:rsidR="00DE4DB1">
        <w:rPr>
          <w:rFonts w:ascii="Calibri" w:eastAsia="Calibri" w:hAnsi="Calibri" w:cs="Calibri"/>
          <w:color w:val="000000" w:themeColor="text1"/>
        </w:rPr>
        <w:t xml:space="preserve">, and </w:t>
      </w:r>
      <w:r w:rsidR="00890663">
        <w:rPr>
          <w:rFonts w:ascii="Calibri" w:eastAsia="Calibri" w:hAnsi="Calibri" w:cs="Calibri"/>
          <w:color w:val="000000" w:themeColor="text1"/>
        </w:rPr>
        <w:t xml:space="preserve">thus </w:t>
      </w:r>
      <w:r w:rsidR="002B74CB">
        <w:rPr>
          <w:rFonts w:ascii="Calibri" w:eastAsia="Calibri" w:hAnsi="Calibri" w:cs="Calibri"/>
          <w:color w:val="000000" w:themeColor="text1"/>
        </w:rPr>
        <w:t xml:space="preserve">also </w:t>
      </w:r>
      <w:r w:rsidR="00890663">
        <w:rPr>
          <w:rFonts w:ascii="Calibri" w:eastAsia="Calibri" w:hAnsi="Calibri" w:cs="Calibri"/>
          <w:color w:val="000000" w:themeColor="text1"/>
        </w:rPr>
        <w:t xml:space="preserve">provides the context </w:t>
      </w:r>
      <w:r w:rsidR="002B74CB">
        <w:rPr>
          <w:rFonts w:ascii="Calibri" w:eastAsia="Calibri" w:hAnsi="Calibri" w:cs="Calibri"/>
          <w:color w:val="000000" w:themeColor="text1"/>
        </w:rPr>
        <w:t xml:space="preserve">on the monitoring and reporting </w:t>
      </w:r>
      <w:r w:rsidR="00814EBB">
        <w:rPr>
          <w:rFonts w:ascii="Calibri" w:eastAsia="Calibri" w:hAnsi="Calibri" w:cs="Calibri"/>
          <w:color w:val="000000" w:themeColor="text1"/>
        </w:rPr>
        <w:t xml:space="preserve">provided </w:t>
      </w:r>
      <w:r w:rsidR="0042596A">
        <w:rPr>
          <w:rFonts w:ascii="Calibri" w:eastAsia="Calibri" w:hAnsi="Calibri" w:cs="Calibri"/>
          <w:color w:val="000000" w:themeColor="text1"/>
        </w:rPr>
        <w:t>for</w:t>
      </w:r>
      <w:r w:rsidR="00814EBB">
        <w:rPr>
          <w:rFonts w:ascii="Calibri" w:eastAsia="Calibri" w:hAnsi="Calibri" w:cs="Calibri"/>
          <w:color w:val="000000" w:themeColor="text1"/>
        </w:rPr>
        <w:t xml:space="preserve"> the </w:t>
      </w:r>
      <w:r w:rsidR="0042596A">
        <w:rPr>
          <w:rFonts w:ascii="Calibri" w:eastAsia="Calibri" w:hAnsi="Calibri" w:cs="Calibri"/>
          <w:color w:val="000000" w:themeColor="text1"/>
        </w:rPr>
        <w:t xml:space="preserve">data, indicators and </w:t>
      </w:r>
      <w:r w:rsidR="002F0DE3">
        <w:rPr>
          <w:rFonts w:ascii="Calibri" w:eastAsia="Calibri" w:hAnsi="Calibri" w:cs="Calibri"/>
          <w:color w:val="000000" w:themeColor="text1"/>
        </w:rPr>
        <w:t>trends</w:t>
      </w:r>
      <w:r w:rsidR="0042596A">
        <w:rPr>
          <w:rFonts w:ascii="Calibri" w:eastAsia="Calibri" w:hAnsi="Calibri" w:cs="Calibri"/>
          <w:color w:val="000000" w:themeColor="text1"/>
        </w:rPr>
        <w:t xml:space="preserve"> presented in Chapter </w:t>
      </w:r>
      <w:r w:rsidR="0042596A">
        <w:rPr>
          <w:rFonts w:ascii="Calibri" w:eastAsia="Calibri" w:hAnsi="Calibri" w:cs="Calibri"/>
          <w:color w:val="000000" w:themeColor="text1"/>
        </w:rPr>
        <w:fldChar w:fldCharType="begin"/>
      </w:r>
      <w:r w:rsidR="0042596A">
        <w:rPr>
          <w:rFonts w:ascii="Calibri" w:eastAsia="Calibri" w:hAnsi="Calibri" w:cs="Calibri"/>
          <w:color w:val="000000" w:themeColor="text1"/>
        </w:rPr>
        <w:instrText xml:space="preserve"> REF _Ref157757435 \r \h </w:instrText>
      </w:r>
      <w:r w:rsidR="0042596A">
        <w:rPr>
          <w:rFonts w:ascii="Calibri" w:eastAsia="Calibri" w:hAnsi="Calibri" w:cs="Calibri"/>
          <w:color w:val="000000" w:themeColor="text1"/>
        </w:rPr>
      </w:r>
      <w:r w:rsidR="0042596A">
        <w:rPr>
          <w:rFonts w:ascii="Calibri" w:eastAsia="Calibri" w:hAnsi="Calibri" w:cs="Calibri"/>
          <w:color w:val="000000" w:themeColor="text1"/>
        </w:rPr>
        <w:fldChar w:fldCharType="separate"/>
      </w:r>
      <w:r w:rsidR="0042596A">
        <w:rPr>
          <w:rFonts w:ascii="Calibri" w:eastAsia="Calibri" w:hAnsi="Calibri" w:cs="Calibri"/>
          <w:color w:val="000000" w:themeColor="text1"/>
        </w:rPr>
        <w:t>2</w:t>
      </w:r>
      <w:r w:rsidR="0042596A">
        <w:rPr>
          <w:rFonts w:ascii="Calibri" w:eastAsia="Calibri" w:hAnsi="Calibri" w:cs="Calibri"/>
          <w:color w:val="000000" w:themeColor="text1"/>
        </w:rPr>
        <w:fldChar w:fldCharType="end"/>
      </w:r>
      <w:r w:rsidR="00A93ACA" w:rsidRPr="00C66C24">
        <w:rPr>
          <w:rFonts w:ascii="Calibri" w:eastAsia="Calibri" w:hAnsi="Calibri" w:cs="Calibri"/>
          <w:color w:val="000000" w:themeColor="text1"/>
        </w:rPr>
        <w:t>.</w:t>
      </w:r>
    </w:p>
    <w:p w14:paraId="4E539CAB" w14:textId="61DBEF78" w:rsidR="008460F3" w:rsidRPr="00C66C24" w:rsidRDefault="008460F3" w:rsidP="008C6A9C">
      <w:pPr>
        <w:pStyle w:val="Heading2"/>
        <w:spacing w:line="257" w:lineRule="auto"/>
      </w:pPr>
      <w:bookmarkStart w:id="46" w:name="_Toc156316322"/>
      <w:bookmarkStart w:id="47" w:name="_Toc157762063"/>
      <w:r w:rsidRPr="00C66C24">
        <w:t xml:space="preserve">State of </w:t>
      </w:r>
      <w:r w:rsidR="003914DF" w:rsidRPr="00C66C24">
        <w:t xml:space="preserve">the </w:t>
      </w:r>
      <w:r w:rsidRPr="00C66C24">
        <w:t xml:space="preserve">maritime </w:t>
      </w:r>
      <w:r w:rsidR="00394BD0" w:rsidRPr="00C66C24">
        <w:t xml:space="preserve">transport </w:t>
      </w:r>
      <w:r w:rsidRPr="00C66C24">
        <w:t>sector</w:t>
      </w:r>
      <w:r w:rsidR="00221363" w:rsidRPr="00C66C24">
        <w:t xml:space="preserve"> traffic and trade</w:t>
      </w:r>
      <w:bookmarkEnd w:id="46"/>
      <w:bookmarkEnd w:id="47"/>
    </w:p>
    <w:p w14:paraId="71279C9C" w14:textId="77777777" w:rsidR="005B4B4C" w:rsidRPr="00C66C24" w:rsidRDefault="005B4B4C" w:rsidP="00721EA2">
      <w:pPr>
        <w:spacing w:before="0" w:after="0" w:line="257" w:lineRule="auto"/>
      </w:pPr>
      <w:r w:rsidRPr="00C66C24">
        <w:t>Throughout the report, the term maritime transport is used to describe all shipping and related port activities of a commercial or private nature linked to the transport domain. It therefore includes cargo, carriers, containers, tankers, vehicle/passenger (Ro-Ro and Ro-Pax</w:t>
      </w:r>
      <w:r w:rsidRPr="00C66C24">
        <w:rPr>
          <w:rStyle w:val="FootnoteReference"/>
        </w:rPr>
        <w:footnoteReference w:id="2"/>
      </w:r>
      <w:r w:rsidRPr="00C66C24">
        <w:t xml:space="preserve">), and cruise ships alike. Unlike with EMTER 2021, in this version of the report fishing vessels are indeed included in this definition, while offshore and other marine and maritime industrial platforms have not been considered within the scope. </w:t>
      </w:r>
    </w:p>
    <w:p w14:paraId="5F39A8EB" w14:textId="56300F07" w:rsidR="005B4B4C" w:rsidRPr="00C66C24" w:rsidRDefault="005B4B4C" w:rsidP="00721EA2">
      <w:pPr>
        <w:spacing w:before="0" w:after="0" w:line="257" w:lineRule="auto"/>
      </w:pPr>
      <w:r w:rsidRPr="00C66C24">
        <w:t xml:space="preserve">Maritime transport plays a crucial role in sustaining trade, economic growth, connectivity, and accessibility, while also contributing to energy security and job creation. Large volumes of cargo are delivered thanks to maritime transport, resulting in reduced energy consumption and transportation costs, and increased efficiency (economies of scale) compared to other modes of transport </w:t>
      </w:r>
      <w:r w:rsidRPr="00C66C24">
        <w:fldChar w:fldCharType="begin"/>
      </w:r>
      <w:r w:rsidR="001855E3" w:rsidRPr="00C66C24">
        <w:instrText xml:space="preserve"> ADDIN ZOTERO_ITEM CSL_CITATION {"citationID":"BaraIG5L","properties":{"formattedCitation":"(UNITED NATIONS CONFERENCE ON TRADE AND DEVELOPMENT, 2020)","plainCitation":"(UNITED NATIONS CONFERENCE ON TRADE AND DEVELOPMENT, 2020)","dontUpdate":true,"noteIndex":0},"citationItems":[{"id":556,"uris":["http://zotero.org/groups/122386/items/V25G2X8X"],"itemData":{"id":556,"type":"book","event-place":"Place of publication not identified","ISBN":"978-92-1-112958-8","language":"eng","note":"OCLC: 1135665629","publisher":"United Nations","publisher-place":"Place of publication not identified","source":"Open WorldCat","title":"Review of maritime transport 2019","author":[{"literal":"UNCTAD"}],"issued":{"date-parts":[["2020"]]}}}],"schema":"https://github.com/citation-style-language/schema/raw/master/csl-citation.json"} </w:instrText>
      </w:r>
      <w:r w:rsidRPr="00C66C24">
        <w:fldChar w:fldCharType="separate"/>
      </w:r>
      <w:r w:rsidRPr="00C66C24">
        <w:rPr>
          <w:rFonts w:ascii="Calibri" w:hAnsi="Calibri" w:cs="Calibri"/>
        </w:rPr>
        <w:t>(UN</w:t>
      </w:r>
      <w:r w:rsidRPr="00C66C24">
        <w:t>CTAD</w:t>
      </w:r>
      <w:r w:rsidRPr="00C66C24">
        <w:rPr>
          <w:rFonts w:ascii="Calibri" w:hAnsi="Calibri" w:cs="Calibri"/>
        </w:rPr>
        <w:t>, 2020)</w:t>
      </w:r>
      <w:r w:rsidRPr="00C66C24">
        <w:fldChar w:fldCharType="end"/>
      </w:r>
      <w:r w:rsidRPr="00C66C24">
        <w:t>.</w:t>
      </w:r>
    </w:p>
    <w:p w14:paraId="3717DEDA" w14:textId="4221C87C" w:rsidR="00BE5C73" w:rsidRPr="00C66C24" w:rsidRDefault="00807AF5" w:rsidP="00721EA2">
      <w:pPr>
        <w:spacing w:before="0" w:after="0" w:line="257" w:lineRule="auto"/>
      </w:pPr>
      <w:r w:rsidRPr="00C66C24">
        <w:t xml:space="preserve">However, </w:t>
      </w:r>
      <w:r w:rsidR="007419D4" w:rsidRPr="00C66C24">
        <w:t>increased</w:t>
      </w:r>
      <w:r w:rsidRPr="00C66C24">
        <w:t xml:space="preserve"> </w:t>
      </w:r>
      <w:r w:rsidR="001613A4" w:rsidRPr="00C66C24">
        <w:t xml:space="preserve">transport </w:t>
      </w:r>
      <w:r w:rsidRPr="00C66C24">
        <w:t xml:space="preserve">demand for the maritime sector </w:t>
      </w:r>
      <w:r w:rsidR="00AF2A64" w:rsidRPr="00C66C24">
        <w:t xml:space="preserve">comes with </w:t>
      </w:r>
      <w:r w:rsidR="00450BE3" w:rsidRPr="00C66C24">
        <w:t>additional</w:t>
      </w:r>
      <w:r w:rsidRPr="00C66C24">
        <w:t xml:space="preserve"> environmental impacts on the atmosphere </w:t>
      </w:r>
      <w:r w:rsidR="00063E2E" w:rsidRPr="00C66C24">
        <w:t>and marine</w:t>
      </w:r>
      <w:r w:rsidRPr="00C66C24">
        <w:t xml:space="preserve"> ecosystems. </w:t>
      </w:r>
      <w:r w:rsidR="00BE5C73" w:rsidRPr="00C66C24">
        <w:t xml:space="preserve">The majority of goods transported in and out of the EU are shipped using maritime transport. In 2021, 74% of EU total merchandise imports and exports were traded by sea. The maritime transport sector generated a Gross Value Added (GVA) of €29.5 billion in 2020, a decline of 14% compared to the 2019 peak. Gross profit, at €14.7 billion, decreased by 15% on the previous year. 54% of the sector’s GVA (€15.9 billion) was generated by freight transport activities, followed by </w:t>
      </w:r>
      <w:r w:rsidR="005E6DC7" w:rsidRPr="00C66C24">
        <w:t>r</w:t>
      </w:r>
      <w:r w:rsidR="00BE5C73" w:rsidRPr="00C66C24">
        <w:t xml:space="preserve">enting and </w:t>
      </w:r>
      <w:r w:rsidR="005E6DC7" w:rsidRPr="00C66C24">
        <w:t>l</w:t>
      </w:r>
      <w:r w:rsidR="00BE5C73" w:rsidRPr="00C66C24">
        <w:t xml:space="preserve">easing services with €11 billion (37%) and then </w:t>
      </w:r>
      <w:r w:rsidR="005E6DC7" w:rsidRPr="00C66C24">
        <w:t>p</w:t>
      </w:r>
      <w:r w:rsidR="00BE5C73" w:rsidRPr="00C66C24">
        <w:t xml:space="preserve">assenger transport with €2.6 billion (9%). The profit margin was estimated at 10%, slightly below the 11% recorded in 2019. The turnover reported for 2020 was €147.4 billion, a 10%-decrease on the previous year </w:t>
      </w:r>
      <w:r w:rsidR="001B7AFF" w:rsidRPr="00C66C24">
        <w:fldChar w:fldCharType="begin"/>
      </w:r>
      <w:r w:rsidR="001855E3" w:rsidRPr="00C66C24">
        <w:instrText xml:space="preserve"> ADDIN ZOTERO_ITEM CSL_CITATION {"citationID":"a1bmuml290k","properties":{"formattedCitation":"(EC, 2023e)","plainCitation":"(EC, 2023e)","noteIndex":0},"citationItems":[{"id":54212,"uris":["http://zotero.org/groups/122386/items/GYDAQRT9"],"itemData":{"id":54212,"type":"book","event-place":"LU","language":"eng","publisher":"DG MARE &amp; JRC","publisher-place":"LU","source":"DOI.org (CSL JSON)","title":"The EU blue economy report 2023","URL":"https://data.europa.eu/doi/10.2771/7151","author":[{"literal":"EC"}],"accessed":{"date-parts":[["2023",11,23]]},"issued":{"date-parts":[["2023"]]}}}],"schema":"https://github.com/citation-style-language/schema/raw/master/csl-citation.json"} </w:instrText>
      </w:r>
      <w:r w:rsidR="001B7AFF" w:rsidRPr="00C66C24">
        <w:fldChar w:fldCharType="separate"/>
      </w:r>
      <w:r w:rsidR="001855E3" w:rsidRPr="001855E3">
        <w:rPr>
          <w:rFonts w:ascii="Calibri" w:hAnsi="Calibri" w:cs="Calibri"/>
        </w:rPr>
        <w:t>(EC</w:t>
      </w:r>
      <w:r w:rsidR="00D97814">
        <w:rPr>
          <w:rFonts w:ascii="Calibri" w:hAnsi="Calibri" w:cs="Calibri"/>
        </w:rPr>
        <w:t xml:space="preserve"> &amp; JRC</w:t>
      </w:r>
      <w:r w:rsidR="001855E3" w:rsidRPr="001855E3">
        <w:rPr>
          <w:rFonts w:ascii="Calibri" w:hAnsi="Calibri" w:cs="Calibri"/>
        </w:rPr>
        <w:t xml:space="preserve">, </w:t>
      </w:r>
      <w:r w:rsidR="00F009A7">
        <w:rPr>
          <w:rFonts w:ascii="Calibri" w:hAnsi="Calibri" w:cs="Calibri"/>
        </w:rPr>
        <w:t>2023</w:t>
      </w:r>
      <w:r w:rsidR="001855E3" w:rsidRPr="001855E3">
        <w:rPr>
          <w:rFonts w:ascii="Calibri" w:hAnsi="Calibri" w:cs="Calibri"/>
        </w:rPr>
        <w:t>)</w:t>
      </w:r>
      <w:r w:rsidR="001B7AFF" w:rsidRPr="00C66C24">
        <w:fldChar w:fldCharType="end"/>
      </w:r>
      <w:r w:rsidR="00BE5C73" w:rsidRPr="00C66C24">
        <w:t>.</w:t>
      </w:r>
    </w:p>
    <w:p w14:paraId="3E691068" w14:textId="70474207" w:rsidR="00BE5C73" w:rsidRPr="00C66C24" w:rsidRDefault="00BE5C73" w:rsidP="00721EA2">
      <w:pPr>
        <w:spacing w:before="0" w:after="0" w:line="257" w:lineRule="auto"/>
      </w:pPr>
      <w:r w:rsidRPr="00C66C24">
        <w:t>In 2020, around 371</w:t>
      </w:r>
      <w:r w:rsidR="00DE09A4" w:rsidRPr="00C66C24">
        <w:t>,</w:t>
      </w:r>
      <w:r w:rsidRPr="00C66C24">
        <w:t>000 persons were directly employed in the sector. Nearly half of them were employed in activities related to renting and leasing of water transport equipment. The other half were employed in passenger transport activities (26%) and freight transport operations (24%). Employment has been increasing steadily since 2014, reaching the record level of 403</w:t>
      </w:r>
      <w:r w:rsidR="007419E5" w:rsidRPr="00C66C24">
        <w:t>,</w:t>
      </w:r>
      <w:r w:rsidRPr="00C66C24">
        <w:t xml:space="preserve">000 persons in 2019, before suffering </w:t>
      </w:r>
      <w:r w:rsidR="001F6EBD" w:rsidRPr="00C66C24">
        <w:t>an</w:t>
      </w:r>
      <w:r w:rsidRPr="00C66C24">
        <w:t xml:space="preserve"> 8% decrease due to the travel restrictions imposed by the pandemic </w:t>
      </w:r>
      <w:r w:rsidR="00541940" w:rsidRPr="00C66C24">
        <w:fldChar w:fldCharType="begin"/>
      </w:r>
      <w:r w:rsidR="001855E3" w:rsidRPr="00C66C24">
        <w:instrText xml:space="preserve"> ADDIN ZOTERO_ITEM CSL_CITATION {"citationID":"a3uiasanf8","properties":{"formattedCitation":"(EC, 2023e)","plainCitation":"(EC, 2023e)","noteIndex":0},"citationItems":[{"id":54212,"uris":["http://zotero.org/groups/122386/items/GYDAQRT9"],"itemData":{"id":54212,"type":"book","event-place":"LU","language":"eng","publisher":"DG MARE &amp; JRC","publisher-place":"LU","source":"DOI.org (CSL JSON)","title":"The EU blue economy report 2023","URL":"https://data.europa.eu/doi/10.2771/7151","author":[{"literal":"EC"}],"accessed":{"date-parts":[["2023",11,23]]},"issued":{"date-parts":[["2023"]]}}}],"schema":"https://github.com/citation-style-language/schema/raw/master/csl-citation.json"} </w:instrText>
      </w:r>
      <w:r w:rsidR="00541940" w:rsidRPr="00C66C24">
        <w:fldChar w:fldCharType="separate"/>
      </w:r>
      <w:r w:rsidR="001855E3" w:rsidRPr="00C66C24">
        <w:rPr>
          <w:rFonts w:ascii="Calibri" w:hAnsi="Calibri" w:cs="Calibri"/>
        </w:rPr>
        <w:t>(EC</w:t>
      </w:r>
      <w:r w:rsidR="003F5AA5">
        <w:rPr>
          <w:rFonts w:ascii="Calibri" w:hAnsi="Calibri" w:cs="Calibri"/>
        </w:rPr>
        <w:t xml:space="preserve"> &amp; JRC</w:t>
      </w:r>
      <w:r w:rsidR="001855E3" w:rsidRPr="00C66C24">
        <w:rPr>
          <w:rFonts w:ascii="Calibri" w:hAnsi="Calibri" w:cs="Calibri"/>
        </w:rPr>
        <w:t xml:space="preserve">, </w:t>
      </w:r>
      <w:r w:rsidR="00845553">
        <w:rPr>
          <w:rFonts w:ascii="Calibri" w:hAnsi="Calibri" w:cs="Calibri"/>
        </w:rPr>
        <w:t>2023</w:t>
      </w:r>
      <w:r w:rsidR="001855E3" w:rsidRPr="00C66C24">
        <w:rPr>
          <w:rFonts w:ascii="Calibri" w:hAnsi="Calibri" w:cs="Calibri"/>
        </w:rPr>
        <w:t>)</w:t>
      </w:r>
      <w:r w:rsidR="00541940" w:rsidRPr="00C66C24">
        <w:fldChar w:fldCharType="end"/>
      </w:r>
      <w:r w:rsidRPr="00C66C24">
        <w:t>.</w:t>
      </w:r>
    </w:p>
    <w:p w14:paraId="6B76FC1D" w14:textId="10EA65D8" w:rsidR="00131232" w:rsidRPr="00C66C24" w:rsidRDefault="00131232" w:rsidP="00721EA2">
      <w:pPr>
        <w:spacing w:before="0" w:after="0" w:line="257" w:lineRule="auto"/>
      </w:pPr>
      <w:r w:rsidRPr="00C66C24">
        <w:t xml:space="preserve">The EU-27 external trade is dominated in both weight and value by maritime transport compared to other modes with only a slight decline during the COVID outbreak in 2020, as seen in </w:t>
      </w:r>
      <w:r w:rsidRPr="00C66C24">
        <w:fldChar w:fldCharType="begin"/>
      </w:r>
      <w:r w:rsidRPr="00C66C24">
        <w:instrText xml:space="preserve"> REF _Ref151110277 \h </w:instrText>
      </w:r>
      <w:r w:rsidR="006C6D3D" w:rsidRPr="00C66C24">
        <w:instrText xml:space="preserve"> \* MERGEFORMAT </w:instrText>
      </w:r>
      <w:r w:rsidRPr="00C66C24">
        <w:fldChar w:fldCharType="separate"/>
      </w:r>
      <w:r w:rsidRPr="00C66C24">
        <w:t>Figure 1.1</w:t>
      </w:r>
      <w:r w:rsidRPr="00C66C24">
        <w:fldChar w:fldCharType="end"/>
      </w:r>
      <w:r w:rsidRPr="00C66C24">
        <w:t xml:space="preserve">. </w:t>
      </w:r>
      <w:r w:rsidR="00082BA6" w:rsidRPr="00C66C24">
        <w:t>More p</w:t>
      </w:r>
      <w:r w:rsidR="00251F70" w:rsidRPr="00C66C24">
        <w:t>recisely</w:t>
      </w:r>
      <w:r w:rsidR="00082BA6" w:rsidRPr="00C66C24">
        <w:t>,</w:t>
      </w:r>
      <w:r w:rsidR="00251F70" w:rsidRPr="00C66C24">
        <w:t xml:space="preserve"> the</w:t>
      </w:r>
      <w:r w:rsidRPr="00C66C24">
        <w:t xml:space="preserve"> pandemic highlighted the </w:t>
      </w:r>
      <w:r w:rsidR="00251F70" w:rsidRPr="00C66C24">
        <w:t>importance</w:t>
      </w:r>
      <w:r w:rsidR="003B6F12" w:rsidRPr="00C66C24">
        <w:t xml:space="preserve"> and </w:t>
      </w:r>
      <w:r w:rsidRPr="00C66C24">
        <w:t>relevance of maritime transport for the EU as a crucial transport mode to support the functioning of the economy. Demand for maritime transport is continuously growing with the amount of goods handled by EU ports in 2021 being 346</w:t>
      </w:r>
      <w:r w:rsidR="007419E5" w:rsidRPr="00C66C24">
        <w:t>,</w:t>
      </w:r>
      <w:r w:rsidRPr="00C66C24">
        <w:t xml:space="preserve">260 thousand tons for external trade as per </w:t>
      </w:r>
      <w:r w:rsidRPr="00C66C24">
        <w:fldChar w:fldCharType="begin"/>
      </w:r>
      <w:r w:rsidRPr="00C66C24">
        <w:instrText xml:space="preserve"> REF _Ref151110382 \h </w:instrText>
      </w:r>
      <w:r w:rsidR="006C6D3D" w:rsidRPr="00C66C24">
        <w:instrText xml:space="preserve"> \* MERGEFORMAT </w:instrText>
      </w:r>
      <w:r w:rsidRPr="00C66C24">
        <w:fldChar w:fldCharType="separate"/>
      </w:r>
      <w:r w:rsidRPr="00C66C24">
        <w:t>Figure 1.3</w:t>
      </w:r>
      <w:r w:rsidRPr="00C66C24">
        <w:fldChar w:fldCharType="end"/>
      </w:r>
      <w:r w:rsidRPr="00C66C24">
        <w:t xml:space="preserve"> </w:t>
      </w:r>
      <w:r w:rsidRPr="00C66C24">
        <w:fldChar w:fldCharType="begin"/>
      </w:r>
      <w:r w:rsidR="001855E3" w:rsidRPr="00C66C24">
        <w:instrText xml:space="preserve"> ADDIN ZOTERO_ITEM CSL_CITATION {"citationID":"a65kh0tdkb","properties":{"formattedCitation":"(EUROSTAT, 2023d)","plainCitation":"(EUROSTAT, 2023d)","dontUpdate":true,"noteIndex":0},"citationItems":[{"id":52445,"uris":["http://zotero.org/groups/122386/items/2BYR2YTK"],"itemData":{"id":52445,"type":"webpage","title":"SE_Article_Maritime_Freight-Vessels_2022-11.xlsx","URL":"https://view.officeapps.live.com/op/view.aspx?src=https%3A%2F%2Fec.europa.eu%2Feurostat%2Fstatistics-explained%2Fimages%2Fa%2Fa9%2FSE_Article_Maritime_Freight-Vessels_2022-11.xlsx&amp;wdOrigin=BROWSELINK","author":[{"family":"EUROSTAT","given":""}],"accessed":{"date-parts":[["2023",10,27]]},"issued":{"date-parts":[["2023"]]}}}],"schema":"https://github.com/citation-style-language/schema/raw/master/csl-citation.json"} </w:instrText>
      </w:r>
      <w:r w:rsidRPr="00C66C24">
        <w:fldChar w:fldCharType="separate"/>
      </w:r>
      <w:r w:rsidRPr="00C66C24">
        <w:rPr>
          <w:rFonts w:ascii="Calibri" w:hAnsi="Calibri" w:cs="Calibri"/>
        </w:rPr>
        <w:t>(EUROSTAT, )</w:t>
      </w:r>
      <w:r w:rsidRPr="00C66C24">
        <w:fldChar w:fldCharType="end"/>
      </w:r>
      <w:r w:rsidRPr="00C66C24">
        <w:t>.</w:t>
      </w:r>
    </w:p>
    <w:p w14:paraId="25A6235C" w14:textId="200FE9F4" w:rsidR="00815B6F" w:rsidRPr="00C66C24" w:rsidRDefault="00807AF5" w:rsidP="00721EA2">
      <w:pPr>
        <w:spacing w:before="0" w:after="120" w:line="257" w:lineRule="auto"/>
      </w:pPr>
      <w:r w:rsidRPr="00C66C24">
        <w:t>With 17.6% of the total world fleet</w:t>
      </w:r>
      <w:r w:rsidR="20967BB9" w:rsidRPr="00C66C24">
        <w:t xml:space="preserve"> in </w:t>
      </w:r>
      <w:r w:rsidR="00304AC5" w:rsidRPr="00C66C24">
        <w:t>G</w:t>
      </w:r>
      <w:r w:rsidR="00D3768D" w:rsidRPr="00C66C24">
        <w:t>ross Tonnage (GT)</w:t>
      </w:r>
      <w:r w:rsidR="00D30127" w:rsidRPr="00C66C24">
        <w:t>,</w:t>
      </w:r>
      <w:r w:rsidRPr="00C66C24">
        <w:t xml:space="preserve"> the EU faces a critical decade where it must lead the transition towards a more economically, socially, and environmentally sustainable maritime transport sector </w:t>
      </w:r>
      <w:r w:rsidRPr="00C66C24">
        <w:fldChar w:fldCharType="begin"/>
      </w:r>
      <w:r w:rsidR="00D9530C" w:rsidRPr="00C66C24">
        <w:instrText xml:space="preserve"> ADDIN ZOTERO_ITEM CSL_CITATION {"citationID":"btsWjvB9","properties":{"formattedCitation":"(European Environment Agency. and European Maritime Safety Agency., 2021)","plainCitation":"(European Environment Agency. and European Maritime Safety Agency., 2021)","dontUpdate":true,"noteIndex":0},"citationItems":[{"id":557,"uris":["http://zotero.org/groups/122386/items/4IG38U7V"],"itemData":{"id":557,"type":"book","event-place":"LU","language":"eng","publisher":"Publications Office","publisher-place":"LU","source":"DOI.org (CSL JSON)","title":"European maritime transport environmental report 2021.","URL":"https://data.europa.eu/doi/10.2800/3525","author":[{"literal":"European Environment Agency."},{"literal":"European Maritime Safety Agency."}],"accessed":{"date-parts":[["2023",6,15]]},"issued":{"date-parts":[["2021"]]}}}],"schema":"https://github.com/citation-style-language/schema/raw/master/csl-citation.json"} </w:instrText>
      </w:r>
      <w:r w:rsidRPr="00C66C24">
        <w:fldChar w:fldCharType="separate"/>
      </w:r>
      <w:r w:rsidRPr="00C66C24">
        <w:rPr>
          <w:rFonts w:ascii="Calibri" w:hAnsi="Calibri" w:cs="Calibri"/>
        </w:rPr>
        <w:t>(EEA, 2021)</w:t>
      </w:r>
      <w:r w:rsidRPr="00C66C24">
        <w:fldChar w:fldCharType="end"/>
      </w:r>
      <w:r w:rsidRPr="00C66C24">
        <w:t xml:space="preserve">. The </w:t>
      </w:r>
      <w:r w:rsidR="009743ED" w:rsidRPr="00C66C24">
        <w:t>realisation</w:t>
      </w:r>
      <w:r w:rsidRPr="00C66C24">
        <w:t xml:space="preserve"> of integrated policies and </w:t>
      </w:r>
      <w:r w:rsidR="002A042D" w:rsidRPr="00C66C24">
        <w:t>strategies</w:t>
      </w:r>
      <w:r w:rsidRPr="00C66C24">
        <w:t xml:space="preserve">, </w:t>
      </w:r>
      <w:r w:rsidR="006D3AD0" w:rsidRPr="00C66C24">
        <w:t xml:space="preserve">such as the </w:t>
      </w:r>
      <w:r w:rsidR="006D3AD0" w:rsidRPr="00C66C24">
        <w:rPr>
          <w:rFonts w:ascii="Calibri" w:eastAsia="Calibri" w:hAnsi="Calibri" w:cs="Calibri"/>
          <w:color w:val="000000" w:themeColor="text1"/>
        </w:rPr>
        <w:t>"Fit for 55" package</w:t>
      </w:r>
      <w:r w:rsidR="002A52E6" w:rsidRPr="00C66C24">
        <w:rPr>
          <w:rFonts w:ascii="Calibri" w:eastAsia="Calibri" w:hAnsi="Calibri" w:cs="Calibri"/>
          <w:color w:val="000000" w:themeColor="text1"/>
        </w:rPr>
        <w:t xml:space="preserve"> </w:t>
      </w:r>
      <w:r w:rsidR="002A52E6"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{"citationID":"a1ejced5bb9","properties":{"formattedCitation":"(EC, 2021g)","plainCitation":"(EC, 2021g)","noteIndex":0},"citationItems":[{"id":32689,"uris":["http://zotero.org/groups/122386/items/PWYEKITE"],"itemData":{"id":32689,"type":"webpage","title":"Fit for 55: delivering the EU's 2030 Climate Target on the way to climate neutrality","URL":"https://eur-lex.europa.eu/legal-content/EN/TXT/HTML/?uri=CELEX:52021DC0550&amp;from=EN","author":[{"family":"EC","given":""}],"accessed":{"date-parts":[["2023",1,26]]},"issued":{"date-parts":[["2021"]]}}}],"schema":"https://github.com/citation-style-language/schema/raw/master/csl-citation.json"} </w:instrText>
      </w:r>
      <w:r w:rsidR="002A52E6" w:rsidRPr="00C66C24">
        <w:rPr>
          <w:rFonts w:ascii="Calibri" w:eastAsia="Calibri" w:hAnsi="Calibri" w:cs="Calibri"/>
          <w:color w:val="000000" w:themeColor="text1"/>
        </w:rPr>
        <w:fldChar w:fldCharType="separate"/>
      </w:r>
      <w:r w:rsidR="001855E3" w:rsidRPr="00C66C24">
        <w:rPr>
          <w:rFonts w:ascii="Calibri" w:hAnsi="Calibri" w:cs="Calibri"/>
        </w:rPr>
        <w:t>(EC, 2021</w:t>
      </w:r>
      <w:r w:rsidR="00FC70CC">
        <w:rPr>
          <w:rFonts w:ascii="Calibri" w:hAnsi="Calibri" w:cs="Calibri"/>
        </w:rPr>
        <w:t>c</w:t>
      </w:r>
      <w:r w:rsidR="001855E3" w:rsidRPr="00C66C24">
        <w:rPr>
          <w:rFonts w:ascii="Calibri" w:hAnsi="Calibri" w:cs="Calibri"/>
        </w:rPr>
        <w:t>)</w:t>
      </w:r>
      <w:r w:rsidR="002A52E6" w:rsidRPr="00C66C24">
        <w:rPr>
          <w:rFonts w:ascii="Calibri" w:eastAsia="Calibri" w:hAnsi="Calibri" w:cs="Calibri"/>
          <w:color w:val="000000" w:themeColor="text1"/>
        </w:rPr>
        <w:fldChar w:fldCharType="end"/>
      </w:r>
      <w:r w:rsidR="006D3AD0" w:rsidRPr="00C66C24">
        <w:rPr>
          <w:rFonts w:ascii="Calibri" w:eastAsia="Calibri" w:hAnsi="Calibri" w:cs="Calibri"/>
          <w:color w:val="000000" w:themeColor="text1"/>
        </w:rPr>
        <w:t xml:space="preserve">, the </w:t>
      </w:r>
      <w:r w:rsidR="006D3AD0" w:rsidRPr="00C66C24">
        <w:t>Sustainable and Smart Mobility Strategy (SSMS)</w:t>
      </w:r>
      <w:r w:rsidR="00C06B00" w:rsidRPr="00C66C24">
        <w:t xml:space="preserve"> </w:t>
      </w:r>
      <w:r w:rsidR="00C06B00" w:rsidRPr="00C66C24">
        <w:fldChar w:fldCharType="begin"/>
      </w:r>
      <w:r w:rsidR="001855E3" w:rsidRPr="00C66C24">
        <w:instrText xml:space="preserve"> ADDIN ZOTERO_ITEM CSL_CITATION {"citationID":"a22f4q47tnd","properties":{"formattedCitation":"(EC, 2020b)","plainCitation":"(EC, 2020b)","noteIndex":0},"citationItems":[{"id":51594,"uris":["http://zotero.org/groups/122386/items/DP37BPZ2"],"itemData":{"id":51594,"type":"document","publisher":"European Commission","title":"Communication from the Commission to the European Parliament, the Council, the European Economic and Social Committee and the Committee of the Regions, EU Biodiversity Strategy for 2030 (COM(2020)380 final)","URL":"https://eur-lex.europa.eu/resource.html?uri=cellar:a3c806a6-9ab3-11ea-9d2d-01aa75ed71a1.0001.02/DOC_1&amp;format=PDF","author":[{"family":"EC","given":""}],"issued":{"date-parts":[["2020"]]}}}],"schema":"https://github.com/citation-style-language/schema/raw/master/csl-citation.json"} </w:instrText>
      </w:r>
      <w:r w:rsidR="00C06B00" w:rsidRPr="00C66C24">
        <w:fldChar w:fldCharType="separate"/>
      </w:r>
      <w:r w:rsidR="001855E3" w:rsidRPr="00C66C24">
        <w:rPr>
          <w:rFonts w:ascii="Calibri" w:hAnsi="Calibri" w:cs="Calibri"/>
        </w:rPr>
        <w:t>(EC, 2020</w:t>
      </w:r>
      <w:r w:rsidR="00794EE5" w:rsidRPr="00C66C24">
        <w:rPr>
          <w:rFonts w:ascii="Calibri" w:hAnsi="Calibri" w:cs="Calibri"/>
        </w:rPr>
        <w:t>c</w:t>
      </w:r>
      <w:r w:rsidR="001855E3" w:rsidRPr="00C66C24">
        <w:rPr>
          <w:rFonts w:ascii="Calibri" w:hAnsi="Calibri" w:cs="Calibri"/>
        </w:rPr>
        <w:t>)</w:t>
      </w:r>
      <w:r w:rsidR="00C06B00" w:rsidRPr="00C66C24">
        <w:fldChar w:fldCharType="end"/>
      </w:r>
      <w:r w:rsidR="006D3AD0" w:rsidRPr="00C66C24">
        <w:t xml:space="preserve">, </w:t>
      </w:r>
      <w:r w:rsidRPr="00C66C24">
        <w:t xml:space="preserve">the EU </w:t>
      </w:r>
      <w:r w:rsidR="004301EC" w:rsidRPr="00C66C24">
        <w:t>B</w:t>
      </w:r>
      <w:r w:rsidRPr="00C66C24">
        <w:t xml:space="preserve">iodiversity </w:t>
      </w:r>
      <w:r w:rsidR="004301EC" w:rsidRPr="00C66C24">
        <w:t>S</w:t>
      </w:r>
      <w:r w:rsidRPr="00C66C24">
        <w:t>trategy</w:t>
      </w:r>
      <w:r w:rsidR="00104919" w:rsidRPr="00C66C24">
        <w:t xml:space="preserve"> </w:t>
      </w:r>
      <w:r w:rsidR="00104919" w:rsidRPr="00C66C24">
        <w:fldChar w:fldCharType="begin"/>
      </w:r>
      <w:r w:rsidR="001855E3" w:rsidRPr="00C66C24">
        <w:instrText xml:space="preserve"> ADDIN ZOTERO_ITEM CSL_CITATION {"citationID":"a1rch5mmrvg","properties":{"formattedCitation":"(EC, 2020c)","plainCitation":"(EC, 2020c)","noteIndex":0},"citationItems":[{"id":51718,"uris":["http://zotero.org/groups/122386/items/IDGM3HJ7"],"itemData":{"id":51718,"type":"document","publisher":"European Commission","title":"Communication from the Commission to the European Parliament, the Council, the European Economic and Social Committee and the Committee of the Regions ‘Sustainable and Smart Mobility Strategy – putting European transport on track for the future’ (COM(2020)789 final)","URL":"https://eur-lex.europa.eu/legal-content/EN/TXT/?uri=CELEX%3A52020DC0789","author":[{"family":"EC","given":""}],"issued":{"date-parts":[["2020"]]}}}],"schema":"https://github.com/citation-style-language/schema/raw/master/csl-citation.json"} </w:instrText>
      </w:r>
      <w:r w:rsidR="00104919" w:rsidRPr="00C66C24">
        <w:fldChar w:fldCharType="separate"/>
      </w:r>
      <w:r w:rsidR="001855E3" w:rsidRPr="00C66C24">
        <w:rPr>
          <w:rFonts w:ascii="Calibri" w:hAnsi="Calibri" w:cs="Calibri"/>
        </w:rPr>
        <w:t>(EC, 2020</w:t>
      </w:r>
      <w:r w:rsidR="00794EE5" w:rsidRPr="00C66C24">
        <w:rPr>
          <w:rFonts w:ascii="Calibri" w:hAnsi="Calibri" w:cs="Calibri"/>
        </w:rPr>
        <w:t>b</w:t>
      </w:r>
      <w:r w:rsidR="001855E3" w:rsidRPr="00C66C24">
        <w:rPr>
          <w:rFonts w:ascii="Calibri" w:hAnsi="Calibri" w:cs="Calibri"/>
        </w:rPr>
        <w:t>)</w:t>
      </w:r>
      <w:r w:rsidR="00104919" w:rsidRPr="00C66C24">
        <w:fldChar w:fldCharType="end"/>
      </w:r>
      <w:r w:rsidRPr="00C66C24">
        <w:t xml:space="preserve">, </w:t>
      </w:r>
      <w:r w:rsidR="00D81C84" w:rsidRPr="00C66C24">
        <w:t xml:space="preserve">the </w:t>
      </w:r>
      <w:r w:rsidR="004301EC" w:rsidRPr="00C66C24">
        <w:t>Z</w:t>
      </w:r>
      <w:r w:rsidRPr="00C66C24">
        <w:t xml:space="preserve">ero </w:t>
      </w:r>
      <w:r w:rsidR="004301EC" w:rsidRPr="00C66C24">
        <w:t>P</w:t>
      </w:r>
      <w:r w:rsidRPr="00C66C24">
        <w:t xml:space="preserve">ollution </w:t>
      </w:r>
      <w:r w:rsidR="004301EC" w:rsidRPr="00C66C24">
        <w:t>A</w:t>
      </w:r>
      <w:r w:rsidRPr="00C66C24">
        <w:t xml:space="preserve">ction </w:t>
      </w:r>
      <w:r w:rsidR="004301EC" w:rsidRPr="00C66C24">
        <w:t>P</w:t>
      </w:r>
      <w:r w:rsidRPr="00C66C24">
        <w:t>lan</w:t>
      </w:r>
      <w:r w:rsidR="00D74496" w:rsidRPr="00C66C24">
        <w:t xml:space="preserve"> </w:t>
      </w:r>
      <w:r w:rsidR="00D74496" w:rsidRPr="00C66C24">
        <w:fldChar w:fldCharType="begin"/>
      </w:r>
      <w:r w:rsidR="001855E3" w:rsidRPr="00C66C24">
        <w:instrText xml:space="preserve"> ADDIN ZOTERO_ITEM CSL_CITATION {"citationID":"a1oplkt4kfh","properties":{"formattedCitation":"(EC, 2021e)","plainCitation":"(EC, 2021e)","noteIndex":0},"citationItems":[{"id":33350,"uris":["http://zotero.org/groups/122386/items/3S2BP9T4"],"itemData":{"id":33350,"type":"report","event-place":"Brussels, Belgium","publisher":"European Commission","publisher-place":"Brussels, Belgium","title":"Zero pollution action plan","URL":"https://ec.europa.eu/environment/strategy/zero-pollution-action-plan_en","author":[{"family":"EC","given":""}],"issued":{"date-parts":[["2021"]]}}}],"schema":"https://github.com/citation-style-language/schema/raw/master/csl-citation.json"} </w:instrText>
      </w:r>
      <w:r w:rsidR="00D74496" w:rsidRPr="00C66C24">
        <w:fldChar w:fldCharType="separate"/>
      </w:r>
      <w:r w:rsidR="001855E3" w:rsidRPr="00C66C24">
        <w:rPr>
          <w:rFonts w:ascii="Calibri" w:hAnsi="Calibri" w:cs="Calibri"/>
        </w:rPr>
        <w:t>(EC, 2021</w:t>
      </w:r>
      <w:r w:rsidR="00C73E5F">
        <w:rPr>
          <w:rFonts w:ascii="Calibri" w:hAnsi="Calibri" w:cs="Calibri"/>
        </w:rPr>
        <w:t>f</w:t>
      </w:r>
      <w:r w:rsidR="001855E3" w:rsidRPr="00C66C24">
        <w:rPr>
          <w:rFonts w:ascii="Calibri" w:hAnsi="Calibri" w:cs="Calibri"/>
        </w:rPr>
        <w:t>)</w:t>
      </w:r>
      <w:r w:rsidR="00D74496" w:rsidRPr="00C66C24">
        <w:fldChar w:fldCharType="end"/>
      </w:r>
      <w:r w:rsidRPr="00C66C24">
        <w:t>,</w:t>
      </w:r>
      <w:r w:rsidR="0025692E" w:rsidRPr="00C66C24">
        <w:t xml:space="preserve"> </w:t>
      </w:r>
      <w:r w:rsidRPr="00C66C24">
        <w:t xml:space="preserve">as well as </w:t>
      </w:r>
      <w:r w:rsidR="008E276C" w:rsidRPr="00C66C24">
        <w:t xml:space="preserve">the implementation of </w:t>
      </w:r>
      <w:r w:rsidRPr="00C66C24">
        <w:t xml:space="preserve">EU regulations and directives such as the </w:t>
      </w:r>
      <w:r w:rsidR="00131232" w:rsidRPr="00C66C24">
        <w:t xml:space="preserve">Emission Trading Scheme </w:t>
      </w:r>
      <w:r w:rsidR="00E877DB" w:rsidRPr="00C66C24">
        <w:t xml:space="preserve">(ETS) </w:t>
      </w:r>
      <w:r w:rsidR="00131232" w:rsidRPr="00C66C24">
        <w:t xml:space="preserve">extension to </w:t>
      </w:r>
      <w:r w:rsidR="0066235E" w:rsidRPr="00C66C24">
        <w:t xml:space="preserve">the </w:t>
      </w:r>
      <w:r w:rsidR="00131232" w:rsidRPr="00C66C24">
        <w:t>maritime</w:t>
      </w:r>
      <w:r w:rsidR="0066235E" w:rsidRPr="00C66C24">
        <w:t xml:space="preserve"> sector</w:t>
      </w:r>
      <w:r w:rsidR="00D81C84" w:rsidRPr="00C66C24">
        <w:t xml:space="preserve"> </w:t>
      </w:r>
      <w:r w:rsidR="00D81C84" w:rsidRPr="00C66C24">
        <w:fldChar w:fldCharType="begin"/>
      </w:r>
      <w:r w:rsidR="001855E3" w:rsidRPr="00C66C24">
        <w:instrText xml:space="preserve"> ADDIN ZOTERO_ITEM CSL_CITATION {"citationID":"abgjbas1fs","properties":{"formattedCitation":"(EU, 2023b)","plainCitation":"(EU, 2023b)","noteIndex":0},"citationItems":[{"id":33458,"uris":["http://zotero.org/groups/122386/items/RBRP86XP"],"itemData":{"id":33458,"type":"document","title":"Regulation (EU) 2023/957 of the European Parliament and of the Council of 10 May 2023 amending Regulation (EU) 2015/757 in order to provide for the inclusion of maritime transport activities in the EU Emissions Trading System and for the monitoring, reporting and verification of emissions of additional greenhouse gases and emissions from additional ship types","author":[{"family":"EU","given":""}],"issued":{"date-parts":[["2023"]]}}}],"schema":"https://github.com/citation-style-language/schema/raw/master/csl-citation.json"} </w:instrText>
      </w:r>
      <w:r w:rsidR="00D81C84" w:rsidRPr="00C66C24">
        <w:fldChar w:fldCharType="separate"/>
      </w:r>
      <w:r w:rsidR="001855E3" w:rsidRPr="00C66C24">
        <w:rPr>
          <w:rFonts w:ascii="Calibri" w:hAnsi="Calibri" w:cs="Calibri"/>
        </w:rPr>
        <w:t xml:space="preserve">(EU, </w:t>
      </w:r>
      <w:r w:rsidR="001855E3" w:rsidRPr="001855E3">
        <w:rPr>
          <w:rFonts w:ascii="Calibri" w:hAnsi="Calibri" w:cs="Calibri"/>
        </w:rPr>
        <w:t>2023</w:t>
      </w:r>
      <w:r w:rsidR="007C29C6">
        <w:rPr>
          <w:rFonts w:ascii="Calibri" w:hAnsi="Calibri" w:cs="Calibri"/>
        </w:rPr>
        <w:t>c</w:t>
      </w:r>
      <w:r w:rsidR="001855E3" w:rsidRPr="00C66C24">
        <w:rPr>
          <w:rFonts w:ascii="Calibri" w:hAnsi="Calibri" w:cs="Calibri"/>
        </w:rPr>
        <w:t>)</w:t>
      </w:r>
      <w:r w:rsidR="00D81C84" w:rsidRPr="00C66C24">
        <w:fldChar w:fldCharType="end"/>
      </w:r>
      <w:r w:rsidR="00131232" w:rsidRPr="00C66C24">
        <w:t xml:space="preserve">, </w:t>
      </w:r>
      <w:r w:rsidR="0066235E" w:rsidRPr="00C66C24">
        <w:t xml:space="preserve">the </w:t>
      </w:r>
      <w:r w:rsidR="00131232" w:rsidRPr="00C66C24">
        <w:t>Fuel EU Regulation</w:t>
      </w:r>
      <w:r w:rsidR="00D81C84" w:rsidRPr="00C66C24">
        <w:t xml:space="preserve"> </w:t>
      </w:r>
      <w:r w:rsidR="00D81C84" w:rsidRPr="00C66C24">
        <w:fldChar w:fldCharType="begin"/>
      </w:r>
      <w:r w:rsidR="001855E3" w:rsidRPr="00C66C24">
        <w:instrText xml:space="preserve"> ADDIN ZOTERO_ITEM CSL_CITATION {"citationID":"a1f4v07n68n","properties":{"formattedCitation":"(EU, 2023c)","plainCitation":"(EU, 2023c)","noteIndex":0},"citationItems":[{"id":59163,"uris":["http://zotero.org/groups/122386/items/JBVN29UV"],"itemData":{"id":59163,"type":"document","publisher":"European Parliament and Council","title":"Regulation (EU) 2023/1805 of the European Parliament and of the Council of 13 September 2023 on the use of renewable and low-carbon fuels in maritime transport, and amending Directive 2009/16/EC (Text with EEA relevance)","title-short":"FuelEU Maritime","URL":"https://eur-lex.europa.eu/legal-content/EN/TXT/?uri=CELEX%3A32023R1805","author":[{"literal":"EU"}],"issued":{"date-parts":[["2023"]]}}}],"schema":"https://github.com/citation-style-language/schema/raw/master/csl-citation.json"} </w:instrText>
      </w:r>
      <w:r w:rsidR="00D81C84" w:rsidRPr="00C66C24">
        <w:fldChar w:fldCharType="separate"/>
      </w:r>
      <w:r w:rsidR="001855E3" w:rsidRPr="00C66C24">
        <w:rPr>
          <w:rFonts w:ascii="Calibri" w:hAnsi="Calibri" w:cs="Calibri"/>
        </w:rPr>
        <w:t xml:space="preserve">(EU, </w:t>
      </w:r>
      <w:r w:rsidR="001855E3" w:rsidRPr="001855E3">
        <w:rPr>
          <w:rFonts w:ascii="Calibri" w:hAnsi="Calibri" w:cs="Calibri"/>
        </w:rPr>
        <w:t>2023</w:t>
      </w:r>
      <w:r w:rsidR="007C29C6">
        <w:rPr>
          <w:rFonts w:ascii="Calibri" w:hAnsi="Calibri" w:cs="Calibri"/>
        </w:rPr>
        <w:t>b</w:t>
      </w:r>
      <w:r w:rsidR="001855E3" w:rsidRPr="00C66C24">
        <w:rPr>
          <w:rFonts w:ascii="Calibri" w:hAnsi="Calibri" w:cs="Calibri"/>
        </w:rPr>
        <w:t>)</w:t>
      </w:r>
      <w:r w:rsidR="00D81C84" w:rsidRPr="00C66C24">
        <w:fldChar w:fldCharType="end"/>
      </w:r>
      <w:r w:rsidR="00131232" w:rsidRPr="00C66C24">
        <w:t>,</w:t>
      </w:r>
      <w:r w:rsidRPr="00C66C24">
        <w:t xml:space="preserve"> </w:t>
      </w:r>
      <w:r w:rsidR="0066235E" w:rsidRPr="00C66C24">
        <w:t xml:space="preserve">the </w:t>
      </w:r>
      <w:r w:rsidRPr="00C66C24">
        <w:t>Marine Strategy Framework Directive</w:t>
      </w:r>
      <w:r w:rsidR="00CD103D" w:rsidRPr="00C66C24">
        <w:t xml:space="preserve"> </w:t>
      </w:r>
      <w:r w:rsidR="00CD103D" w:rsidRPr="00C66C24">
        <w:fldChar w:fldCharType="begin"/>
      </w:r>
      <w:r w:rsidR="001855E3" w:rsidRPr="00C66C24">
        <w:instrText xml:space="preserve"> ADDIN ZOTERO_ITEM CSL_CITATION {"citationID":"aci850sact","properties":{"formattedCitation":"(EU, 2008a)","plainCitation":"(EU, 2008a)","noteIndex":0},"citationItems":[{"id":21765,"uris":["http://zotero.org/groups/122386/items/4NP7PP7D"],"itemData":{"id":21765,"type":"document","publisher":"European Parliament and Council","title":"Directive 2008/56/EC of the European Parliament and of the Council of 17 June 2008 establishing a framework for Community action in the field of marine environmental policy (Marine Strategy Framework Directive)","title-short":"Marine Strategy Framework Directive","URL":"https://eur-lex.europa.eu/legal-content/EN/TXT/PDF/?uri=CELEX:32022R0720)","author":[{"family":"EU","given":""}],"issued":{"date-parts":[["2008"]]}}}],"schema":"https://github.com/citation-style-language/schema/raw/master/csl-citation.json"} </w:instrText>
      </w:r>
      <w:r w:rsidR="00CD103D" w:rsidRPr="00C66C24">
        <w:fldChar w:fldCharType="separate"/>
      </w:r>
      <w:r w:rsidR="001855E3" w:rsidRPr="00C66C24">
        <w:rPr>
          <w:rFonts w:ascii="Calibri" w:hAnsi="Calibri" w:cs="Calibri"/>
        </w:rPr>
        <w:t>(EU, 2008a)</w:t>
      </w:r>
      <w:r w:rsidR="00CD103D" w:rsidRPr="00C66C24">
        <w:fldChar w:fldCharType="end"/>
      </w:r>
      <w:r w:rsidRPr="00C66C24">
        <w:t xml:space="preserve">, </w:t>
      </w:r>
      <w:r w:rsidR="00E70578" w:rsidRPr="00C66C24">
        <w:t xml:space="preserve">the </w:t>
      </w:r>
      <w:r w:rsidR="00EB6970" w:rsidRPr="00C66C24">
        <w:t>Water Framework Directive</w:t>
      </w:r>
      <w:r w:rsidR="00A123F3" w:rsidRPr="00C66C24">
        <w:t xml:space="preserve"> </w:t>
      </w:r>
      <w:r w:rsidR="00A123F3" w:rsidRPr="00C66C24">
        <w:fldChar w:fldCharType="begin"/>
      </w:r>
      <w:r w:rsidR="001855E3" w:rsidRPr="00C66C24">
        <w:instrText xml:space="preserve"> ADDIN ZOTERO_ITEM CSL_CITATION {"citationID":"a1psmo8aad7","properties":{"formattedCitation":"(EU, 2000)","plainCitation":"(EU, 2000)","noteIndex":0},"citationItems":[{"id":59204,"uris":["http://zotero.org/groups/122386/items/JVURRI9J"],"itemData":{"id":59204,"type":"document","publisher":"European Parliament and Council","title":"Directive 2000/60/EC of the European Parliament and of the Council of 23 October 2000 establishing a framework for Community action in the field of water policy","title-short":"Water Framework Directive","URL":"https://eur-lex.europa.eu/legal-content/EN/TXT/?uri=CELEX%3A32000L0060&amp;qid=1705590974440","author":[{"literal":"EU"}],"issued":{"date-parts":[["2000"]]}}}],"schema":"https://github.com/citation-style-language/schema/raw/master/csl-citation.json"} </w:instrText>
      </w:r>
      <w:r w:rsidR="00A123F3" w:rsidRPr="00C66C24">
        <w:fldChar w:fldCharType="separate"/>
      </w:r>
      <w:r w:rsidR="001855E3" w:rsidRPr="00C66C24">
        <w:rPr>
          <w:rFonts w:ascii="Calibri" w:hAnsi="Calibri" w:cs="Calibri"/>
        </w:rPr>
        <w:t>(EU, 2000)</w:t>
      </w:r>
      <w:r w:rsidR="00A123F3" w:rsidRPr="00C66C24">
        <w:fldChar w:fldCharType="end"/>
      </w:r>
      <w:r w:rsidR="00EB6970" w:rsidRPr="00C66C24">
        <w:t>,</w:t>
      </w:r>
      <w:r w:rsidR="00625034" w:rsidRPr="00C66C24">
        <w:t xml:space="preserve"> </w:t>
      </w:r>
      <w:r w:rsidR="0066235E" w:rsidRPr="00C66C24">
        <w:t xml:space="preserve">the </w:t>
      </w:r>
      <w:r w:rsidRPr="00C66C24">
        <w:t>Habitats and Birds Directives</w:t>
      </w:r>
      <w:r w:rsidR="001E68AC" w:rsidRPr="00C66C24">
        <w:t xml:space="preserve"> </w:t>
      </w:r>
      <w:r w:rsidR="001E68AC" w:rsidRPr="00C66C24">
        <w:fldChar w:fldCharType="begin"/>
      </w:r>
      <w:r w:rsidR="001855E3" w:rsidRPr="00C66C24">
        <w:instrText xml:space="preserve"> ADDIN ZOTERO_ITEM CSL_CITATION {"citationID":"a2iggrl204r","properties":{"formattedCitation":"(EC, 2010, 2013)","plainCitation":"(EC, 2010, 2013)","noteIndex":0},"citationItems":[{"id":19634,"uris":["http://zotero.org/groups/122386/items/D4RA93DL"],"itemData":{"id":19634,"type":"document","language":"English","title":"Directive  2009/147/EC of the Europen Parliament and of the Council of 30 November 2009 on the conservation of wild birds (codified version of Directive 79/409/EEC as amended)","title-short":"Birds Directive","URL":"http://eur-lex.europa.eu/LexUriServ/LexUriServ.do?uri=OJ:L:2010:020:0007:0025:EN:PDF","author":[{"literal":"EC"}],"accessed":{"date-parts":[["2012",9,15]]},"issued":{"date-parts":[["2010",1,26]]}}},{"id":52992,"uris":["http://zotero.org/groups/122386/items/QP29DCG2"],"itemData":{"id":52992,"type":"document","language":"en","note":"Legislative Body: OP_DATPRO","title":"Council Directive 92/43/EEC of 21 May 1992 on the conservation of natural habitats and of wild fauna and flora","title-short":"Habitats Directive Consolidated text","URL":"http://data.europa.eu/eli/dir/1992/43/2013-07-01/eng","author":[{"family":"EC","given":""}],"accessed":{"date-parts":[["2023",11,15]]},"issued":{"date-parts":[["2013",7,1]]}}}],"schema":"https://github.com/citation-style-language/schema/raw/master/csl-citation.json"} </w:instrText>
      </w:r>
      <w:r w:rsidR="001E68AC" w:rsidRPr="00C66C24">
        <w:fldChar w:fldCharType="separate"/>
      </w:r>
      <w:r w:rsidR="001855E3" w:rsidRPr="00C66C24">
        <w:rPr>
          <w:rFonts w:ascii="Calibri" w:hAnsi="Calibri" w:cs="Calibri"/>
        </w:rPr>
        <w:t>(EC, 2010, 2013)</w:t>
      </w:r>
      <w:r w:rsidR="001E68AC" w:rsidRPr="00C66C24">
        <w:fldChar w:fldCharType="end"/>
      </w:r>
      <w:r w:rsidRPr="00C66C24">
        <w:t xml:space="preserve">, </w:t>
      </w:r>
      <w:r w:rsidR="0066235E" w:rsidRPr="00C66C24">
        <w:t xml:space="preserve">the </w:t>
      </w:r>
      <w:r w:rsidRPr="00C66C24">
        <w:t>Marine Spatial Planning Directive</w:t>
      </w:r>
      <w:r w:rsidR="002E733F" w:rsidRPr="00C66C24">
        <w:t xml:space="preserve"> </w:t>
      </w:r>
      <w:r w:rsidR="00DA008F" w:rsidRPr="00C66C24">
        <w:fldChar w:fldCharType="begin"/>
      </w:r>
      <w:r w:rsidR="001855E3" w:rsidRPr="00C66C24">
        <w:instrText xml:space="preserve"> ADDIN ZOTERO_ITEM CSL_CITATION {"citationID":"a2ondb7rco3","properties":{"formattedCitation":"(EU, 2014a)","plainCitation":"(EU, 2014a)","noteIndex":0},"citationItems":[{"id":11638,"uris":["http://zotero.org/groups/122386/items/W624LPVZ"],"itemData":{"id":11638,"type":"document","language":"English","publisher":"European Parliament and Council","title":"Directive 2014/89/EU of the European Parliament and of the Council of 23 July 2014 establishing a framework for maritime spatial planning","URL":"http://eur-lex.europa.eu/legal-content/EN/TXT/PDF/?uri=CELEX:32014L0089&amp;from=EN","author":[{"literal":"EU"}],"issued":{"date-parts":[["2014"]]}}}],"schema":"https://github.com/citation-style-language/schema/raw/master/csl-citation.json"} </w:instrText>
      </w:r>
      <w:r w:rsidR="00DA008F" w:rsidRPr="00C66C24">
        <w:fldChar w:fldCharType="separate"/>
      </w:r>
      <w:r w:rsidR="001855E3" w:rsidRPr="00C66C24">
        <w:rPr>
          <w:rFonts w:ascii="Calibri" w:hAnsi="Calibri" w:cs="Calibri"/>
        </w:rPr>
        <w:t>(EU, 2014a)</w:t>
      </w:r>
      <w:r w:rsidR="00DA008F" w:rsidRPr="00C66C24">
        <w:fldChar w:fldCharType="end"/>
      </w:r>
      <w:r w:rsidR="00DA008F" w:rsidRPr="00C66C24">
        <w:t>,</w:t>
      </w:r>
      <w:r w:rsidR="002E733F" w:rsidRPr="00C66C24">
        <w:t xml:space="preserve"> and </w:t>
      </w:r>
      <w:r w:rsidR="0066235E" w:rsidRPr="00C66C24">
        <w:t xml:space="preserve">the </w:t>
      </w:r>
      <w:r w:rsidR="002E733F" w:rsidRPr="00C66C24">
        <w:t>Ship-Source Pollution Directive</w:t>
      </w:r>
      <w:r w:rsidR="0066235E" w:rsidRPr="00C66C24">
        <w:t xml:space="preserve"> </w:t>
      </w:r>
      <w:r w:rsidR="009705F2" w:rsidRPr="00C66C24">
        <w:fldChar w:fldCharType="begin"/>
      </w:r>
      <w:r w:rsidR="001855E3" w:rsidRPr="00C66C24">
        <w:instrText xml:space="preserve"> ADDIN ZOTERO_ITEM CSL_CITATION {"citationID":"amvt2mbfg2","properties":{"formattedCitation":"(EU, 2009b)","plainCitation":"(EU, 2009b)","noteIndex":0},"citationItems":[{"id":21750,"uris":["http://zotero.org/groups/122386/items/LENBFED9"],"itemData":{"id":21750,"type":"document","publisher":"European Parliament and Council","title":"Directive 2009/123/EC of the European Parliament and of the Council of 21 October 2009 amending Directive 2005/35/EC on ship-source pollution and on the introduction of penalties for infringements","URL":"http://data.europa.eu/eli/dir/2009/123/oj","author":[{"family":"EU","given":""}],"issued":{"date-parts":[["2009"]]}}}],"schema":"https://github.com/citation-style-language/schema/raw/master/csl-citation.json"} </w:instrText>
      </w:r>
      <w:r w:rsidR="009705F2" w:rsidRPr="00C66C24">
        <w:fldChar w:fldCharType="separate"/>
      </w:r>
      <w:r w:rsidR="001855E3" w:rsidRPr="00C66C24">
        <w:rPr>
          <w:rFonts w:ascii="Calibri" w:hAnsi="Calibri" w:cs="Calibri"/>
        </w:rPr>
        <w:t>(EU, 2009b)</w:t>
      </w:r>
      <w:r w:rsidR="009705F2" w:rsidRPr="00C66C24">
        <w:fldChar w:fldCharType="end"/>
      </w:r>
      <w:r w:rsidRPr="00C66C24">
        <w:t xml:space="preserve">, </w:t>
      </w:r>
      <w:r w:rsidR="00131232" w:rsidRPr="00C66C24">
        <w:t xml:space="preserve">are </w:t>
      </w:r>
      <w:r w:rsidRPr="00C66C24">
        <w:t>crucial to</w:t>
      </w:r>
      <w:r w:rsidR="00131232" w:rsidRPr="00C66C24">
        <w:t xml:space="preserve"> reduce the environmental </w:t>
      </w:r>
      <w:r w:rsidRPr="00C66C24">
        <w:t>impacts and achieve a more sustainable maritime transport sector.</w:t>
      </w:r>
    </w:p>
    <w:p w14:paraId="54D74278" w14:textId="76F0EA25" w:rsidR="00682898" w:rsidRPr="00C66C24" w:rsidRDefault="00D90315" w:rsidP="008C6A9C">
      <w:pPr>
        <w:keepNext/>
        <w:spacing w:line="257" w:lineRule="auto"/>
        <w:jc w:val="center"/>
      </w:pPr>
      <w:r w:rsidRPr="00C66C24">
        <w:rPr>
          <w:noProof/>
        </w:rPr>
        <w:drawing>
          <wp:inline distT="0" distB="0" distL="0" distR="0" wp14:anchorId="683CCCE6" wp14:editId="3FCB1DFB">
            <wp:extent cx="4697089" cy="2860497"/>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264" b="19902"/>
                    <a:stretch/>
                  </pic:blipFill>
                  <pic:spPr bwMode="auto">
                    <a:xfrm>
                      <a:off x="0" y="0"/>
                      <a:ext cx="4698000" cy="2861052"/>
                    </a:xfrm>
                    <a:prstGeom prst="rect">
                      <a:avLst/>
                    </a:prstGeom>
                    <a:noFill/>
                    <a:ln>
                      <a:noFill/>
                    </a:ln>
                    <a:extLst>
                      <a:ext uri="{53640926-AAD7-44D8-BBD7-CCE9431645EC}">
                        <a14:shadowObscured xmlns:a14="http://schemas.microsoft.com/office/drawing/2010/main"/>
                      </a:ext>
                    </a:extLst>
                  </pic:spPr>
                </pic:pic>
              </a:graphicData>
            </a:graphic>
          </wp:inline>
        </w:drawing>
      </w:r>
    </w:p>
    <w:p w14:paraId="1F849CE4" w14:textId="6F013C86" w:rsidR="006F2405" w:rsidRPr="00C66C24" w:rsidRDefault="00682898" w:rsidP="008C6A9C">
      <w:pPr>
        <w:pStyle w:val="Caption"/>
        <w:spacing w:after="0" w:line="257" w:lineRule="auto"/>
        <w:jc w:val="center"/>
        <w:rPr>
          <w:sz w:val="20"/>
        </w:rPr>
      </w:pPr>
      <w:bookmarkStart w:id="48" w:name="_Ref151110335"/>
      <w:r w:rsidRPr="00C66C24">
        <w:rPr>
          <w:sz w:val="20"/>
        </w:rPr>
        <w:t xml:space="preserve">Figure </w:t>
      </w:r>
      <w:r w:rsidR="00A81F61" w:rsidRPr="00C66C24">
        <w:rPr>
          <w:sz w:val="20"/>
        </w:rPr>
        <w:fldChar w:fldCharType="begin"/>
      </w:r>
      <w:r w:rsidR="00A81F61" w:rsidRPr="00C66C24">
        <w:rPr>
          <w:sz w:val="20"/>
        </w:rPr>
        <w:instrText xml:space="preserve"> STYLEREF 1 \s </w:instrText>
      </w:r>
      <w:r w:rsidR="00A81F61" w:rsidRPr="00C66C24">
        <w:rPr>
          <w:sz w:val="20"/>
        </w:rPr>
        <w:fldChar w:fldCharType="separate"/>
      </w:r>
      <w:r w:rsidR="00A81F61" w:rsidRPr="00C66C24">
        <w:rPr>
          <w:noProof/>
          <w:sz w:val="20"/>
        </w:rPr>
        <w:t>1</w:t>
      </w:r>
      <w:r w:rsidR="00A81F61" w:rsidRPr="00C66C24">
        <w:rPr>
          <w:sz w:val="20"/>
        </w:rPr>
        <w:fldChar w:fldCharType="end"/>
      </w:r>
      <w:r w:rsidR="00A81F61" w:rsidRPr="00C66C24">
        <w:rPr>
          <w:sz w:val="20"/>
        </w:rPr>
        <w:t>.</w:t>
      </w:r>
      <w:r w:rsidR="00A81F61" w:rsidRPr="00C66C24">
        <w:rPr>
          <w:sz w:val="20"/>
        </w:rPr>
        <w:fldChar w:fldCharType="begin"/>
      </w:r>
      <w:r w:rsidR="00A81F61" w:rsidRPr="00C66C24">
        <w:rPr>
          <w:sz w:val="20"/>
        </w:rPr>
        <w:instrText xml:space="preserve"> SEQ Figure \* ARABIC \s 1 </w:instrText>
      </w:r>
      <w:r w:rsidR="00A81F61" w:rsidRPr="00C66C24">
        <w:rPr>
          <w:sz w:val="20"/>
        </w:rPr>
        <w:fldChar w:fldCharType="separate"/>
      </w:r>
      <w:r w:rsidR="00A81F61" w:rsidRPr="00C66C24">
        <w:rPr>
          <w:noProof/>
          <w:sz w:val="20"/>
        </w:rPr>
        <w:t>1</w:t>
      </w:r>
      <w:r w:rsidR="00A81F61" w:rsidRPr="00C66C24">
        <w:rPr>
          <w:sz w:val="20"/>
        </w:rPr>
        <w:fldChar w:fldCharType="end"/>
      </w:r>
      <w:bookmarkEnd w:id="48"/>
      <w:r w:rsidRPr="00C66C24">
        <w:rPr>
          <w:sz w:val="20"/>
        </w:rPr>
        <w:t xml:space="preserve"> EU external trade per mode (</w:t>
      </w:r>
      <w:r w:rsidR="00FE24AD" w:rsidRPr="00C66C24">
        <w:rPr>
          <w:sz w:val="20"/>
        </w:rPr>
        <w:t xml:space="preserve">in weight and </w:t>
      </w:r>
      <w:r w:rsidRPr="00C66C24">
        <w:rPr>
          <w:sz w:val="20"/>
        </w:rPr>
        <w:t>value)</w:t>
      </w:r>
      <w:r w:rsidR="00EF17D5" w:rsidRPr="00C66C24">
        <w:rPr>
          <w:sz w:val="20"/>
        </w:rPr>
        <w:t>.</w:t>
      </w:r>
    </w:p>
    <w:p w14:paraId="555A013D" w14:textId="0FF1E2E6" w:rsidR="007D692B" w:rsidRPr="00C66C24" w:rsidRDefault="6F8712C4" w:rsidP="007852B9">
      <w:pPr>
        <w:spacing w:before="0" w:after="120" w:line="257" w:lineRule="auto"/>
        <w:jc w:val="center"/>
        <w:rPr>
          <w:rFonts w:cstheme="minorBidi"/>
          <w:sz w:val="20"/>
          <w:szCs w:val="20"/>
        </w:rPr>
      </w:pPr>
      <w:r w:rsidRPr="00C66C24">
        <w:rPr>
          <w:rFonts w:cstheme="minorBidi"/>
          <w:sz w:val="20"/>
          <w:szCs w:val="20"/>
        </w:rPr>
        <w:t>Source: EC (Statistical Pocketbooks 2017 to 2022, Section 2.1)</w:t>
      </w:r>
      <w:r w:rsidR="00830322" w:rsidRPr="00C66C24">
        <w:rPr>
          <w:rFonts w:cstheme="minorBidi"/>
          <w:sz w:val="20"/>
          <w:szCs w:val="20"/>
        </w:rPr>
        <w:t>.</w:t>
      </w:r>
    </w:p>
    <w:p w14:paraId="4690CBED" w14:textId="457BFC51" w:rsidR="009474F5" w:rsidRPr="00C66C24" w:rsidRDefault="009474F5" w:rsidP="007852B9">
      <w:pPr>
        <w:spacing w:before="0" w:after="120" w:line="257" w:lineRule="auto"/>
        <w:rPr>
          <w:rFonts w:ascii="Calibri" w:eastAsia="Calibri" w:hAnsi="Calibri" w:cs="Calibri"/>
        </w:rPr>
      </w:pPr>
      <w:r w:rsidRPr="00C66C24">
        <w:rPr>
          <w:rFonts w:ascii="Calibri" w:eastAsia="Calibri" w:hAnsi="Calibri" w:cs="Calibri"/>
        </w:rPr>
        <w:t>The volume of sea-borne imports and exports in Europe in 2020 diminished by 7.3% and 7.8% respectively compared to the previous year. However, in 2021 there was a sound rebound (+8.3% and +7.9%</w:t>
      </w:r>
      <w:r w:rsidR="007419E5" w:rsidRPr="00C66C24">
        <w:rPr>
          <w:rFonts w:ascii="Calibri" w:eastAsia="Calibri" w:hAnsi="Calibri" w:cs="Calibri"/>
        </w:rPr>
        <w:t>,</w:t>
      </w:r>
      <w:r w:rsidRPr="00C66C24">
        <w:rPr>
          <w:rFonts w:ascii="Calibri" w:eastAsia="Calibri" w:hAnsi="Calibri" w:cs="Calibri"/>
        </w:rPr>
        <w:t xml:space="preserve">respectively compared to the previous year) due to the gradual reopening of economies </w:t>
      </w:r>
      <w:r w:rsidR="00521303"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{"citationID":"a2ev3ovjeu7","properties":{"formattedCitation":"(UNCTAD, 2022)","plainCitation":"(UNCTAD, 2022)","noteIndex":0},"citationItems":[{"id":59205,"uris":["http://zotero.org/groups/122386/items/CAJB6VE7"],"itemData":{"id":59205,"type":"report","publisher":"United Nations Conference on Trade and Development","title":"Review of maritime transport 2022","URL":"https://unctad.org/system/files/official-document/rmt2022_en.pdf","author":[{"literal":"UNCTAD"}],"issued":{"date-parts":[["2022"]]}}}],"schema":"https://github.com/citation-style-language/schema/raw/master/csl-citation.json"} </w:instrText>
      </w:r>
      <w:r w:rsidR="00521303" w:rsidRPr="00C66C24">
        <w:rPr>
          <w:rFonts w:ascii="Calibri" w:eastAsia="Calibri" w:hAnsi="Calibri" w:cs="Calibri"/>
        </w:rPr>
        <w:fldChar w:fldCharType="separate"/>
      </w:r>
      <w:r w:rsidR="001855E3" w:rsidRPr="00C66C24">
        <w:rPr>
          <w:rFonts w:ascii="Calibri" w:hAnsi="Calibri" w:cs="Calibri"/>
        </w:rPr>
        <w:t>(UNCTAD, 2022)</w:t>
      </w:r>
      <w:r w:rsidR="00521303" w:rsidRPr="00C66C24">
        <w:rPr>
          <w:rFonts w:ascii="Calibri" w:eastAsia="Calibri" w:hAnsi="Calibri" w:cs="Calibri"/>
        </w:rPr>
        <w:fldChar w:fldCharType="end"/>
      </w:r>
      <w:r w:rsidRPr="00C66C24">
        <w:rPr>
          <w:rFonts w:ascii="Calibri" w:eastAsia="Calibri" w:hAnsi="Calibri" w:cs="Calibri"/>
        </w:rPr>
        <w:t>. Due to the pandemic, other economic activities of the sector suffered more than freight transport. In 2019, approximately 400 million passengers embarked and disembarked in EU ports each year. In 2020, due to the COVID-19 pandemic, this figure declined to about 230 million</w:t>
      </w:r>
      <w:r w:rsidR="00D66BD1" w:rsidRPr="00C66C24">
        <w:rPr>
          <w:rFonts w:ascii="Calibri" w:eastAsia="Calibri" w:hAnsi="Calibri" w:cs="Calibri"/>
        </w:rPr>
        <w:t xml:space="preserve"> </w:t>
      </w:r>
      <w:r w:rsidR="004731BB"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{"citationID":"a1avsmf9892","properties":{"formattedCitation":"(EC, 2023f)","plainCitation":"(EC, 2023f)","noteIndex":0},"citationItems":[{"id":59206,"uris":["http://zotero.org/groups/122386/items/2EBKCLPF"],"itemData":{"id":59206,"type":"webpage","title":"EU Blue Economy Observatory","URL":"https://blue-economy-observatory.ec.europa.eu/eu-blue-economy-sectors/port-activities_en","author":[{"literal":"EC"}],"issued":{"date-parts":[["2023"]]}}}],"schema":"https://github.com/citation-style-language/schema/raw/master/csl-citation.json"} </w:instrText>
      </w:r>
      <w:r w:rsidR="004731BB" w:rsidRPr="00C66C24">
        <w:rPr>
          <w:rFonts w:ascii="Calibri" w:eastAsia="Calibri" w:hAnsi="Calibri" w:cs="Calibri"/>
        </w:rPr>
        <w:fldChar w:fldCharType="separate"/>
      </w:r>
      <w:r w:rsidR="001855E3" w:rsidRPr="00C66C24">
        <w:rPr>
          <w:rFonts w:ascii="Calibri" w:hAnsi="Calibri" w:cs="Calibri"/>
        </w:rPr>
        <w:t>(EC, 2023</w:t>
      </w:r>
      <w:r w:rsidR="00146466">
        <w:rPr>
          <w:rFonts w:ascii="Calibri" w:hAnsi="Calibri" w:cs="Calibri"/>
        </w:rPr>
        <w:t>a</w:t>
      </w:r>
      <w:r w:rsidR="001855E3" w:rsidRPr="00C66C24">
        <w:rPr>
          <w:rFonts w:ascii="Calibri" w:hAnsi="Calibri" w:cs="Calibri"/>
        </w:rPr>
        <w:t>)</w:t>
      </w:r>
      <w:r w:rsidR="004731BB" w:rsidRPr="00C66C24">
        <w:rPr>
          <w:rFonts w:ascii="Calibri" w:eastAsia="Calibri" w:hAnsi="Calibri" w:cs="Calibri"/>
        </w:rPr>
        <w:fldChar w:fldCharType="end"/>
      </w:r>
      <w:r w:rsidRPr="00C66C24">
        <w:rPr>
          <w:rFonts w:ascii="Calibri" w:eastAsia="Calibri" w:hAnsi="Calibri" w:cs="Calibri"/>
        </w:rPr>
        <w:t>. The number of seaborne passengers only partially recovered in 2022. Despite a 30% increase on the previous year, it remains below the 2019 levels (</w:t>
      </w:r>
      <w:r w:rsidR="00B259AA" w:rsidRPr="00C66C24">
        <w:rPr>
          <w:rFonts w:ascii="Calibri" w:eastAsia="Calibri" w:hAnsi="Calibri" w:cs="Calibri"/>
          <w:color w:val="000000" w:themeColor="text1"/>
          <w:szCs w:val="22"/>
        </w:rPr>
        <w:fldChar w:fldCharType="begin"/>
      </w:r>
      <w:r w:rsidR="00B259AA" w:rsidRPr="00C66C24">
        <w:rPr>
          <w:rFonts w:ascii="Calibri" w:eastAsia="Calibri" w:hAnsi="Calibri" w:cs="Calibri"/>
          <w:color w:val="000000" w:themeColor="text1"/>
          <w:szCs w:val="22"/>
        </w:rPr>
        <w:instrText xml:space="preserve"> REF _Ref156312958 \h </w:instrText>
      </w:r>
      <w:r w:rsidR="00E43444" w:rsidRPr="00C66C24">
        <w:rPr>
          <w:rFonts w:ascii="Calibri" w:eastAsia="Calibri" w:hAnsi="Calibri" w:cs="Calibri"/>
          <w:color w:val="000000" w:themeColor="text1"/>
          <w:szCs w:val="22"/>
        </w:rPr>
        <w:instrText xml:space="preserve"> \* MERGEFORMAT </w:instrText>
      </w:r>
      <w:r w:rsidR="00B259AA" w:rsidRPr="00C66C24">
        <w:rPr>
          <w:rFonts w:ascii="Calibri" w:eastAsia="Calibri" w:hAnsi="Calibri" w:cs="Calibri"/>
          <w:color w:val="000000" w:themeColor="text1"/>
          <w:szCs w:val="22"/>
        </w:rPr>
      </w:r>
      <w:r w:rsidR="00B259AA" w:rsidRPr="00C66C24">
        <w:rPr>
          <w:rFonts w:ascii="Calibri" w:eastAsia="Calibri" w:hAnsi="Calibri" w:cs="Calibri"/>
          <w:color w:val="000000" w:themeColor="text1"/>
          <w:szCs w:val="22"/>
        </w:rPr>
        <w:fldChar w:fldCharType="separate"/>
      </w:r>
      <w:r w:rsidR="00364AD4" w:rsidRPr="00C66C24">
        <w:rPr>
          <w:color w:val="000000" w:themeColor="text1"/>
          <w:szCs w:val="22"/>
        </w:rPr>
        <w:t>Figure 1.2</w:t>
      </w:r>
      <w:r w:rsidR="00B259AA" w:rsidRPr="00C66C24">
        <w:rPr>
          <w:rFonts w:ascii="Calibri" w:eastAsia="Calibri" w:hAnsi="Calibri" w:cs="Calibri"/>
          <w:color w:val="000000" w:themeColor="text1"/>
          <w:szCs w:val="22"/>
        </w:rPr>
        <w:fldChar w:fldCharType="end"/>
      </w:r>
      <w:r w:rsidRPr="00C66C24">
        <w:rPr>
          <w:rFonts w:ascii="Calibri" w:eastAsia="Calibri" w:hAnsi="Calibri" w:cs="Calibri"/>
        </w:rPr>
        <w:t>).</w:t>
      </w:r>
    </w:p>
    <w:p w14:paraId="33A1AAED" w14:textId="593AA6F8" w:rsidR="009474F5" w:rsidRPr="00C66C24" w:rsidRDefault="009474F5" w:rsidP="002D1F77">
      <w:pPr>
        <w:spacing w:before="0" w:after="0" w:line="257" w:lineRule="auto"/>
        <w:jc w:val="center"/>
        <w:rPr>
          <w:rFonts w:ascii="Calibri" w:eastAsia="Calibri" w:hAnsi="Calibri" w:cs="Calibri"/>
        </w:rPr>
      </w:pPr>
      <w:r w:rsidRPr="00C66C24">
        <w:rPr>
          <w:noProof/>
          <w:lang w:eastAsia="en-GB"/>
        </w:rPr>
        <w:drawing>
          <wp:inline distT="0" distB="0" distL="0" distR="0" wp14:anchorId="3A244D70" wp14:editId="67174094">
            <wp:extent cx="5281200" cy="3250800"/>
            <wp:effectExtent l="0" t="0" r="0" b="6985"/>
            <wp:docPr id="1694735077" name="Picture 169473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35077" name=""/>
                    <pic:cNvPicPr/>
                  </pic:nvPicPr>
                  <pic:blipFill rotWithShape="1">
                    <a:blip r:embed="rId12"/>
                    <a:srcRect b="11151"/>
                    <a:stretch/>
                  </pic:blipFill>
                  <pic:spPr bwMode="auto">
                    <a:xfrm>
                      <a:off x="0" y="0"/>
                      <a:ext cx="5281200" cy="3250800"/>
                    </a:xfrm>
                    <a:prstGeom prst="rect">
                      <a:avLst/>
                    </a:prstGeom>
                    <a:ln>
                      <a:noFill/>
                    </a:ln>
                    <a:extLst>
                      <a:ext uri="{53640926-AAD7-44D8-BBD7-CCE9431645EC}">
                        <a14:shadowObscured xmlns:a14="http://schemas.microsoft.com/office/drawing/2010/main"/>
                      </a:ext>
                    </a:extLst>
                  </pic:spPr>
                </pic:pic>
              </a:graphicData>
            </a:graphic>
          </wp:inline>
        </w:drawing>
      </w:r>
    </w:p>
    <w:p w14:paraId="6B918025" w14:textId="578C4C7F" w:rsidR="00B96D90" w:rsidRPr="00C66C24" w:rsidRDefault="00051CEA" w:rsidP="008C6A9C">
      <w:pPr>
        <w:spacing w:before="0" w:after="0" w:line="257" w:lineRule="auto"/>
        <w:jc w:val="center"/>
      </w:pPr>
      <w:bookmarkStart w:id="49" w:name="_Ref156312958"/>
      <w:bookmarkStart w:id="50" w:name="_Ref156312951"/>
      <w:r w:rsidRPr="00C66C24">
        <w:rPr>
          <w:b/>
          <w:iCs w:val="0"/>
          <w:color w:val="44546A" w:themeColor="text2"/>
          <w:sz w:val="20"/>
          <w:szCs w:val="18"/>
        </w:rPr>
        <w:t xml:space="preserve">Figure </w:t>
      </w:r>
      <w:r w:rsidR="00A81F61" w:rsidRPr="00C66C24">
        <w:rPr>
          <w:b/>
          <w:iCs w:val="0"/>
          <w:color w:val="44546A" w:themeColor="text2"/>
          <w:sz w:val="20"/>
          <w:szCs w:val="18"/>
        </w:rPr>
        <w:fldChar w:fldCharType="begin"/>
      </w:r>
      <w:r w:rsidR="00A81F61" w:rsidRPr="00C66C24">
        <w:rPr>
          <w:b/>
          <w:iCs w:val="0"/>
          <w:color w:val="44546A" w:themeColor="text2"/>
          <w:sz w:val="20"/>
          <w:szCs w:val="18"/>
        </w:rPr>
        <w:instrText xml:space="preserve"> STYLEREF 1 \s </w:instrText>
      </w:r>
      <w:r w:rsidR="00A81F61" w:rsidRPr="00C66C24">
        <w:rPr>
          <w:b/>
          <w:iCs w:val="0"/>
          <w:color w:val="44546A" w:themeColor="text2"/>
          <w:sz w:val="20"/>
          <w:szCs w:val="18"/>
        </w:rPr>
        <w:fldChar w:fldCharType="separate"/>
      </w:r>
      <w:r w:rsidR="00A81F61" w:rsidRPr="00C66C24">
        <w:rPr>
          <w:b/>
          <w:iCs w:val="0"/>
          <w:noProof/>
          <w:color w:val="44546A" w:themeColor="text2"/>
          <w:sz w:val="20"/>
          <w:szCs w:val="18"/>
        </w:rPr>
        <w:t>1</w:t>
      </w:r>
      <w:r w:rsidR="00A81F61" w:rsidRPr="00C66C24">
        <w:rPr>
          <w:b/>
          <w:iCs w:val="0"/>
          <w:color w:val="44546A" w:themeColor="text2"/>
          <w:sz w:val="20"/>
          <w:szCs w:val="18"/>
        </w:rPr>
        <w:fldChar w:fldCharType="end"/>
      </w:r>
      <w:r w:rsidR="00A81F61" w:rsidRPr="00C66C24">
        <w:rPr>
          <w:b/>
          <w:iCs w:val="0"/>
          <w:color w:val="44546A" w:themeColor="text2"/>
          <w:sz w:val="20"/>
          <w:szCs w:val="18"/>
        </w:rPr>
        <w:t>.</w:t>
      </w:r>
      <w:r w:rsidR="00A81F61" w:rsidRPr="00C66C24">
        <w:rPr>
          <w:b/>
          <w:iCs w:val="0"/>
          <w:color w:val="44546A" w:themeColor="text2"/>
          <w:sz w:val="20"/>
          <w:szCs w:val="18"/>
        </w:rPr>
        <w:fldChar w:fldCharType="begin"/>
      </w:r>
      <w:r w:rsidR="00A81F61" w:rsidRPr="00C66C24">
        <w:rPr>
          <w:b/>
          <w:iCs w:val="0"/>
          <w:color w:val="44546A" w:themeColor="text2"/>
          <w:sz w:val="20"/>
          <w:szCs w:val="18"/>
        </w:rPr>
        <w:instrText xml:space="preserve"> SEQ Figure \* ARABIC \s 1 </w:instrText>
      </w:r>
      <w:r w:rsidR="00A81F61" w:rsidRPr="00C66C24">
        <w:rPr>
          <w:b/>
          <w:iCs w:val="0"/>
          <w:color w:val="44546A" w:themeColor="text2"/>
          <w:sz w:val="20"/>
          <w:szCs w:val="18"/>
        </w:rPr>
        <w:fldChar w:fldCharType="separate"/>
      </w:r>
      <w:r w:rsidR="00A81F61" w:rsidRPr="00C66C24">
        <w:rPr>
          <w:b/>
          <w:iCs w:val="0"/>
          <w:noProof/>
          <w:color w:val="44546A" w:themeColor="text2"/>
          <w:sz w:val="20"/>
          <w:szCs w:val="18"/>
        </w:rPr>
        <w:t>2</w:t>
      </w:r>
      <w:r w:rsidR="00A81F61" w:rsidRPr="00C66C24">
        <w:rPr>
          <w:b/>
          <w:iCs w:val="0"/>
          <w:color w:val="44546A" w:themeColor="text2"/>
          <w:sz w:val="20"/>
          <w:szCs w:val="18"/>
        </w:rPr>
        <w:fldChar w:fldCharType="end"/>
      </w:r>
      <w:bookmarkEnd w:id="49"/>
      <w:r w:rsidRPr="00C66C24">
        <w:rPr>
          <w:b/>
          <w:iCs w:val="0"/>
          <w:color w:val="44546A" w:themeColor="text2"/>
          <w:sz w:val="20"/>
          <w:szCs w:val="18"/>
        </w:rPr>
        <w:t xml:space="preserve"> - Seaborne passengers in all EU ports, 2007-2022 (embarked + disembarked).</w:t>
      </w:r>
      <w:bookmarkEnd w:id="50"/>
    </w:p>
    <w:p w14:paraId="58AD2721" w14:textId="57EDDDAA" w:rsidR="00B96D90" w:rsidRPr="00C66C24" w:rsidRDefault="00B96D90" w:rsidP="008C6A9C">
      <w:pPr>
        <w:spacing w:before="0" w:after="120" w:line="257" w:lineRule="auto"/>
        <w:jc w:val="center"/>
        <w:rPr>
          <w:rFonts w:cstheme="minorBidi"/>
          <w:sz w:val="20"/>
          <w:szCs w:val="20"/>
        </w:rPr>
      </w:pPr>
      <w:r w:rsidRPr="00C66C24">
        <w:rPr>
          <w:rFonts w:cstheme="minorBidi"/>
          <w:sz w:val="20"/>
          <w:szCs w:val="20"/>
        </w:rPr>
        <w:t>Source: E</w:t>
      </w:r>
      <w:r w:rsidR="00A82031" w:rsidRPr="00C66C24">
        <w:rPr>
          <w:rFonts w:cstheme="minorBidi"/>
          <w:sz w:val="20"/>
          <w:szCs w:val="20"/>
        </w:rPr>
        <w:t>urostat, 2023</w:t>
      </w:r>
      <w:r w:rsidR="007852B9" w:rsidRPr="00C66C24">
        <w:rPr>
          <w:rFonts w:cstheme="minorBidi"/>
          <w:sz w:val="20"/>
          <w:szCs w:val="20"/>
        </w:rPr>
        <w:t>.</w:t>
      </w:r>
    </w:p>
    <w:p w14:paraId="63E69E19" w14:textId="151B0755" w:rsidR="00E64535" w:rsidRPr="00C66C24" w:rsidRDefault="000911B8" w:rsidP="007852B9">
      <w:pPr>
        <w:spacing w:before="0" w:after="0" w:line="257" w:lineRule="auto"/>
        <w:rPr>
          <w:rFonts w:ascii="Calibri" w:eastAsia="Calibri" w:hAnsi="Calibri" w:cs="Calibri"/>
        </w:rPr>
      </w:pPr>
      <w:r w:rsidRPr="00C66C24">
        <w:rPr>
          <w:rFonts w:ascii="Calibri" w:eastAsia="Calibri" w:hAnsi="Calibri" w:cs="Calibri"/>
        </w:rPr>
        <w:t>Ports are an integral part of the mari</w:t>
      </w:r>
      <w:r w:rsidR="000B49E6" w:rsidRPr="00C66C24">
        <w:rPr>
          <w:rFonts w:ascii="Calibri" w:eastAsia="Calibri" w:hAnsi="Calibri" w:cs="Calibri"/>
        </w:rPr>
        <w:t>n</w:t>
      </w:r>
      <w:r w:rsidRPr="00C66C24">
        <w:rPr>
          <w:rFonts w:ascii="Calibri" w:eastAsia="Calibri" w:hAnsi="Calibri" w:cs="Calibri"/>
        </w:rPr>
        <w:t>e</w:t>
      </w:r>
      <w:r w:rsidR="006D21AE" w:rsidRPr="00C66C24">
        <w:rPr>
          <w:rFonts w:ascii="Calibri" w:eastAsia="Calibri" w:hAnsi="Calibri" w:cs="Calibri"/>
        </w:rPr>
        <w:t xml:space="preserve"> </w:t>
      </w:r>
      <w:r w:rsidRPr="00C66C24">
        <w:rPr>
          <w:rFonts w:ascii="Calibri" w:eastAsia="Calibri" w:hAnsi="Calibri" w:cs="Calibri"/>
        </w:rPr>
        <w:t xml:space="preserve">ecosystem and are at the heart of the sustainable development of the </w:t>
      </w:r>
      <w:r w:rsidR="004B2850" w:rsidRPr="00C66C24">
        <w:rPr>
          <w:rFonts w:ascii="Calibri" w:eastAsia="Calibri" w:hAnsi="Calibri" w:cs="Calibri"/>
        </w:rPr>
        <w:t xml:space="preserve">maritime transport </w:t>
      </w:r>
      <w:r w:rsidRPr="00C66C24">
        <w:rPr>
          <w:rFonts w:ascii="Calibri" w:eastAsia="Calibri" w:hAnsi="Calibri" w:cs="Calibri"/>
        </w:rPr>
        <w:t xml:space="preserve">sector. </w:t>
      </w:r>
      <w:r w:rsidR="00D81ED8" w:rsidRPr="00C66C24">
        <w:rPr>
          <w:rFonts w:ascii="Calibri" w:eastAsia="Calibri" w:hAnsi="Calibri" w:cs="Calibri"/>
        </w:rPr>
        <w:t xml:space="preserve">EU ports are heterogenous in size and may </w:t>
      </w:r>
      <w:r w:rsidR="00524E5F" w:rsidRPr="00C66C24">
        <w:rPr>
          <w:rFonts w:ascii="Calibri" w:eastAsia="Calibri" w:hAnsi="Calibri" w:cs="Calibri"/>
        </w:rPr>
        <w:t xml:space="preserve">either </w:t>
      </w:r>
      <w:r w:rsidR="00D81ED8" w:rsidRPr="00C66C24">
        <w:rPr>
          <w:rFonts w:ascii="Calibri" w:eastAsia="Calibri" w:hAnsi="Calibri" w:cs="Calibri"/>
        </w:rPr>
        <w:t>receive port calls from a</w:t>
      </w:r>
      <w:r w:rsidR="00763896" w:rsidRPr="00C66C24">
        <w:rPr>
          <w:rFonts w:ascii="Calibri" w:eastAsia="Calibri" w:hAnsi="Calibri" w:cs="Calibri"/>
        </w:rPr>
        <w:t xml:space="preserve"> </w:t>
      </w:r>
      <w:r w:rsidR="00D81ED8" w:rsidRPr="00C66C24">
        <w:rPr>
          <w:rFonts w:ascii="Calibri" w:eastAsia="Calibri" w:hAnsi="Calibri" w:cs="Calibri"/>
        </w:rPr>
        <w:t xml:space="preserve">variety of ship types </w:t>
      </w:r>
      <w:r w:rsidR="00CB467B" w:rsidRPr="00C66C24">
        <w:rPr>
          <w:rFonts w:ascii="Calibri" w:eastAsia="Calibri" w:hAnsi="Calibri" w:cs="Calibri"/>
        </w:rPr>
        <w:t>calling-in</w:t>
      </w:r>
      <w:r w:rsidR="005A1EFA" w:rsidRPr="00C66C24">
        <w:rPr>
          <w:rFonts w:ascii="Calibri" w:eastAsia="Calibri" w:hAnsi="Calibri" w:cs="Calibri"/>
        </w:rPr>
        <w:t xml:space="preserve"> </w:t>
      </w:r>
      <w:r w:rsidR="00D81ED8" w:rsidRPr="00C66C24">
        <w:rPr>
          <w:rFonts w:ascii="Calibri" w:eastAsia="Calibri" w:hAnsi="Calibri" w:cs="Calibri"/>
        </w:rPr>
        <w:t>or from specific types</w:t>
      </w:r>
      <w:r w:rsidR="003643BE" w:rsidRPr="00C66C24">
        <w:rPr>
          <w:rFonts w:ascii="Calibri" w:eastAsia="Calibri" w:hAnsi="Calibri" w:cs="Calibri"/>
        </w:rPr>
        <w:t xml:space="preserve"> of vessels</w:t>
      </w:r>
      <w:r w:rsidR="00A069E5" w:rsidRPr="00C66C24">
        <w:rPr>
          <w:rFonts w:ascii="Calibri" w:eastAsia="Calibri" w:hAnsi="Calibri" w:cs="Calibri"/>
        </w:rPr>
        <w:t xml:space="preserve"> </w:t>
      </w:r>
      <w:r w:rsidR="0066235E" w:rsidRPr="00C66C24">
        <w:rPr>
          <w:rFonts w:ascii="Calibri" w:eastAsia="Calibri" w:hAnsi="Calibri" w:cs="Calibri"/>
        </w:rPr>
        <w:fldChar w:fldCharType="begin"/>
      </w:r>
      <w:r w:rsidR="0066235E" w:rsidRPr="00C66C24">
        <w:rPr>
          <w:rFonts w:ascii="Calibri" w:eastAsia="Calibri" w:hAnsi="Calibri" w:cs="Calibri"/>
        </w:rPr>
        <w:instrText xml:space="preserve"> ADDIN ZOTERO_ITEM CSL_CITATION {"citationID":"Qg83RPie","properties":{"formattedCitation":"(EEA &amp; EMSA, 2021)","plainCitation":"(EEA &amp; EMSA, 2021)","noteIndex":0},"citationItems":[{"id":52050,"uris":["http://zotero.org/groups/122386/items/Y38U89PG"],"itemData":{"id":52050,"type":"report","publisher":"Europeam Environment Agency (EEA)","title":"European Maritime Transport Environmental Report 2021","URL":"https://www.eea.europa.eu/publications/maritime-transport","author":[{"literal":"EEA &amp; EMSA"}],"issued":{"date-parts":[["2021"]]}}}],"schema":"https://github.com/citation-style-language/schema/raw/master/csl-citation.json"} </w:instrText>
      </w:r>
      <w:r w:rsidR="0066235E" w:rsidRPr="00C66C24">
        <w:rPr>
          <w:rFonts w:ascii="Calibri" w:eastAsia="Calibri" w:hAnsi="Calibri" w:cs="Calibri"/>
        </w:rPr>
        <w:fldChar w:fldCharType="separate"/>
      </w:r>
      <w:r w:rsidR="0066235E" w:rsidRPr="00C66C24">
        <w:rPr>
          <w:rFonts w:ascii="Calibri" w:hAnsi="Calibri" w:cs="Calibri"/>
        </w:rPr>
        <w:t>(EEA &amp; EMSA, 2021)</w:t>
      </w:r>
      <w:r w:rsidR="0066235E" w:rsidRPr="00C66C24">
        <w:rPr>
          <w:rFonts w:ascii="Calibri" w:eastAsia="Calibri" w:hAnsi="Calibri" w:cs="Calibri"/>
        </w:rPr>
        <w:fldChar w:fldCharType="end"/>
      </w:r>
      <w:r w:rsidR="001F506A" w:rsidRPr="00C66C24">
        <w:rPr>
          <w:rFonts w:ascii="Calibri" w:eastAsia="Calibri" w:hAnsi="Calibri" w:cs="Calibri"/>
        </w:rPr>
        <w:t>.</w:t>
      </w:r>
    </w:p>
    <w:p w14:paraId="530335CB" w14:textId="6F97415A" w:rsidR="00F9489E" w:rsidRPr="00C66C24" w:rsidRDefault="00F9489E" w:rsidP="007852B9">
      <w:pPr>
        <w:spacing w:before="0" w:after="0" w:line="257" w:lineRule="auto"/>
        <w:rPr>
          <w:rFonts w:ascii="Calibri" w:eastAsia="Calibri" w:hAnsi="Calibri" w:cs="Calibri"/>
        </w:rPr>
      </w:pPr>
      <w:r w:rsidRPr="00C66C24">
        <w:rPr>
          <w:rFonts w:ascii="Calibri" w:eastAsia="Calibri" w:hAnsi="Calibri" w:cs="Calibri"/>
        </w:rPr>
        <w:t>Ports are crucial to the European economy</w:t>
      </w:r>
      <w:r w:rsidR="004F659F" w:rsidRPr="00C66C24">
        <w:rPr>
          <w:rFonts w:ascii="Calibri" w:eastAsia="Calibri" w:hAnsi="Calibri" w:cs="Calibri"/>
        </w:rPr>
        <w:t xml:space="preserve"> and</w:t>
      </w:r>
      <w:r w:rsidRPr="00C66C24">
        <w:rPr>
          <w:rFonts w:ascii="Calibri" w:eastAsia="Calibri" w:hAnsi="Calibri" w:cs="Calibri"/>
        </w:rPr>
        <w:t xml:space="preserve"> are essential infrastructures of </w:t>
      </w:r>
      <w:r w:rsidR="003E6ACE" w:rsidRPr="00C66C24">
        <w:rPr>
          <w:rFonts w:ascii="Calibri" w:eastAsia="Calibri" w:hAnsi="Calibri" w:cs="Calibri"/>
        </w:rPr>
        <w:t>pivotal</w:t>
      </w:r>
      <w:r w:rsidRPr="00C66C24">
        <w:rPr>
          <w:rFonts w:ascii="Calibri" w:eastAsia="Calibri" w:hAnsi="Calibri" w:cs="Calibri"/>
        </w:rPr>
        <w:t xml:space="preserve"> commercial and strategic importance</w:t>
      </w:r>
      <w:r w:rsidR="006C022A" w:rsidRPr="00C66C24">
        <w:rPr>
          <w:rFonts w:ascii="Calibri" w:eastAsia="Calibri" w:hAnsi="Calibri" w:cs="Calibri"/>
        </w:rPr>
        <w:t>. P</w:t>
      </w:r>
      <w:r w:rsidRPr="00C66C24">
        <w:rPr>
          <w:rFonts w:ascii="Calibri" w:eastAsia="Calibri" w:hAnsi="Calibri" w:cs="Calibri"/>
        </w:rPr>
        <w:t xml:space="preserve">orts are gateways for EU trade and instrumental in supporting the free movement of goods and persons in Europe. </w:t>
      </w:r>
      <w:r w:rsidR="0016001E" w:rsidRPr="00C66C24">
        <w:rPr>
          <w:rFonts w:ascii="Calibri" w:eastAsia="Calibri" w:hAnsi="Calibri" w:cs="Calibri"/>
        </w:rPr>
        <w:t>They</w:t>
      </w:r>
      <w:r w:rsidRPr="00C66C24">
        <w:rPr>
          <w:rFonts w:ascii="Calibri" w:eastAsia="Calibri" w:hAnsi="Calibri" w:cs="Calibri"/>
        </w:rPr>
        <w:t xml:space="preserve"> also enable economic and trade development through traditional activities such as cargo handling, logistics and servicing, while at the same time supporting a complex cross section of industries and facilitating the clustering of energy and industrial companies in their proximity. </w:t>
      </w:r>
    </w:p>
    <w:p w14:paraId="7B352BE1" w14:textId="4B14B2FA" w:rsidR="00F9489E" w:rsidRPr="00C66C24" w:rsidRDefault="00F9489E" w:rsidP="007852B9">
      <w:pPr>
        <w:spacing w:before="0" w:after="0" w:line="257" w:lineRule="auto"/>
        <w:rPr>
          <w:rFonts w:ascii="Calibri" w:eastAsia="Calibri" w:hAnsi="Calibri" w:cs="Calibri"/>
        </w:rPr>
      </w:pPr>
      <w:r w:rsidRPr="00C66C24">
        <w:rPr>
          <w:rFonts w:ascii="Calibri" w:eastAsia="Calibri" w:hAnsi="Calibri" w:cs="Calibri"/>
        </w:rPr>
        <w:t>In 2020, the GVA generated by the sector amounted to €26.9 billion, representing a 3.6%</w:t>
      </w:r>
      <w:r w:rsidR="000D764D" w:rsidRPr="00C66C24">
        <w:rPr>
          <w:rFonts w:ascii="Calibri" w:eastAsia="Calibri" w:hAnsi="Calibri" w:cs="Calibri"/>
        </w:rPr>
        <w:t xml:space="preserve"> </w:t>
      </w:r>
      <w:r w:rsidRPr="00C66C24">
        <w:rPr>
          <w:rFonts w:ascii="Calibri" w:eastAsia="Calibri" w:hAnsi="Calibri" w:cs="Calibri"/>
        </w:rPr>
        <w:t>decrease from the peak registered in 2019 (€27.9 billion). Gross profits registered a year-on-year drop of €1 billion, although they remained relatively steady across the past decade, at approximately €10.8 billion on average. Reported turnover, at €67.7 billion in 2020, was only marginally lower than in 2019 (€68.5 billion)</w:t>
      </w:r>
      <w:r w:rsidR="00382BA2" w:rsidRPr="00C66C24">
        <w:rPr>
          <w:rFonts w:ascii="Calibri" w:eastAsia="Calibri" w:hAnsi="Calibri" w:cs="Calibri"/>
        </w:rPr>
        <w:t xml:space="preserve"> </w:t>
      </w:r>
      <w:r w:rsidR="002B550F"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{"citationID":"avmo96eehh","properties":{"formattedCitation":"(EC, 2023f)","plainCitation":"(EC, 2023f)","noteIndex":0},"citationItems":[{"id":59206,"uris":["http://zotero.org/groups/122386/items/2EBKCLPF"],"itemData":{"id":59206,"type":"webpage","title":"EU Blue Economy Observatory","URL":"https://blue-economy-observatory.ec.europa.eu/eu-blue-economy-sectors/port-activities_en","author":[{"literal":"EC"}],"issued":{"date-parts":[["2023"]]}}}],"schema":"https://github.com/citation-style-language/schema/raw/master/csl-citation.json"} </w:instrText>
      </w:r>
      <w:r w:rsidR="002B550F" w:rsidRPr="00C66C24">
        <w:rPr>
          <w:rFonts w:ascii="Calibri" w:eastAsia="Calibri" w:hAnsi="Calibri" w:cs="Calibri"/>
        </w:rPr>
        <w:fldChar w:fldCharType="separate"/>
      </w:r>
      <w:r w:rsidR="001855E3" w:rsidRPr="00C66C24">
        <w:rPr>
          <w:rFonts w:ascii="Calibri" w:hAnsi="Calibri" w:cs="Calibri"/>
        </w:rPr>
        <w:t>(EC, 2023</w:t>
      </w:r>
      <w:r w:rsidR="00637B88">
        <w:rPr>
          <w:rFonts w:ascii="Calibri" w:hAnsi="Calibri" w:cs="Calibri"/>
        </w:rPr>
        <w:t>a</w:t>
      </w:r>
      <w:r w:rsidR="001855E3" w:rsidRPr="00C66C24">
        <w:rPr>
          <w:rFonts w:ascii="Calibri" w:hAnsi="Calibri" w:cs="Calibri"/>
        </w:rPr>
        <w:t>)</w:t>
      </w:r>
      <w:r w:rsidR="002B550F" w:rsidRPr="00C66C24">
        <w:rPr>
          <w:rFonts w:ascii="Calibri" w:eastAsia="Calibri" w:hAnsi="Calibri" w:cs="Calibri"/>
        </w:rPr>
        <w:fldChar w:fldCharType="end"/>
      </w:r>
      <w:r w:rsidRPr="00C66C24">
        <w:rPr>
          <w:rFonts w:ascii="Calibri" w:eastAsia="Calibri" w:hAnsi="Calibri" w:cs="Calibri"/>
        </w:rPr>
        <w:t>.</w:t>
      </w:r>
    </w:p>
    <w:p w14:paraId="6167969C" w14:textId="7DE5EC52" w:rsidR="00F9489E" w:rsidRPr="00C66C24" w:rsidRDefault="00F9489E" w:rsidP="007852B9">
      <w:pPr>
        <w:spacing w:before="0" w:after="0" w:line="257" w:lineRule="auto"/>
        <w:rPr>
          <w:rFonts w:ascii="Calibri" w:eastAsia="Calibri" w:hAnsi="Calibri" w:cs="Calibri"/>
        </w:rPr>
      </w:pPr>
      <w:r w:rsidRPr="00C66C24">
        <w:rPr>
          <w:rFonts w:ascii="Calibri" w:eastAsia="Calibri" w:hAnsi="Calibri" w:cs="Calibri"/>
        </w:rPr>
        <w:t>A total of 385</w:t>
      </w:r>
      <w:r w:rsidR="007F0702" w:rsidRPr="00C66C24">
        <w:rPr>
          <w:rFonts w:ascii="Calibri" w:eastAsia="Calibri" w:hAnsi="Calibri" w:cs="Calibri"/>
        </w:rPr>
        <w:t>,</w:t>
      </w:r>
      <w:r w:rsidRPr="00C66C24">
        <w:rPr>
          <w:rFonts w:ascii="Calibri" w:eastAsia="Calibri" w:hAnsi="Calibri" w:cs="Calibri"/>
        </w:rPr>
        <w:t>627 persons were employed in port activities in 2020, up from 382</w:t>
      </w:r>
      <w:r w:rsidR="007F0702" w:rsidRPr="00C66C24">
        <w:rPr>
          <w:rFonts w:ascii="Calibri" w:eastAsia="Calibri" w:hAnsi="Calibri" w:cs="Calibri"/>
        </w:rPr>
        <w:t>,</w:t>
      </w:r>
      <w:r w:rsidRPr="00C66C24">
        <w:rPr>
          <w:rFonts w:ascii="Calibri" w:eastAsia="Calibri" w:hAnsi="Calibri" w:cs="Calibri"/>
        </w:rPr>
        <w:t xml:space="preserve">625 in 2019. 56% of them were employed in the </w:t>
      </w:r>
      <w:r w:rsidR="00213B44" w:rsidRPr="00C66C24">
        <w:rPr>
          <w:rFonts w:ascii="Calibri" w:eastAsia="Calibri" w:hAnsi="Calibri" w:cs="Calibri"/>
        </w:rPr>
        <w:t>p</w:t>
      </w:r>
      <w:r w:rsidRPr="00C66C24">
        <w:rPr>
          <w:rFonts w:ascii="Calibri" w:eastAsia="Calibri" w:hAnsi="Calibri" w:cs="Calibri"/>
        </w:rPr>
        <w:t xml:space="preserve">ort and water projects sub-sector in 2020. The remaining 44% of the workforce was employed in </w:t>
      </w:r>
      <w:r w:rsidR="00213B44" w:rsidRPr="00C66C24">
        <w:rPr>
          <w:rFonts w:ascii="Calibri" w:eastAsia="Calibri" w:hAnsi="Calibri" w:cs="Calibri"/>
        </w:rPr>
        <w:t>c</w:t>
      </w:r>
      <w:r w:rsidRPr="00C66C24">
        <w:rPr>
          <w:rFonts w:ascii="Calibri" w:eastAsia="Calibri" w:hAnsi="Calibri" w:cs="Calibri"/>
        </w:rPr>
        <w:t xml:space="preserve">argo and warehousing activities. In 2020, the two sub-sectors generated an equal share of the sector’s turnover, i.e., approximately €33.8 billion each </w:t>
      </w:r>
      <w:r w:rsidR="009E62B0"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{"citationID":"a1rhfee6pus","properties":{"formattedCitation":"(EC, 2023e)","plainCitation":"(EC, 2023e)","noteIndex":0},"citationItems":[{"id":54212,"uris":["http://zotero.org/groups/122386/items/GYDAQRT9"],"itemData":{"id":54212,"type":"book","event-place":"LU","language":"eng","publisher":"DG MARE &amp; JRC","publisher-place":"LU","source":"DOI.org (CSL JSON)","title":"The EU blue economy report 2023","URL":"https://data.europa.eu/doi/10.2771/7151","author":[{"literal":"EC"}],"accessed":{"date-parts":[["2023",11,23]]},"issued":{"date-parts":[["2023"]]}}}],"schema":"https://github.com/citation-style-language/schema/raw/master/csl-citation.json"} </w:instrText>
      </w:r>
      <w:r w:rsidR="009E62B0" w:rsidRPr="00C66C24">
        <w:rPr>
          <w:rFonts w:ascii="Calibri" w:eastAsia="Calibri" w:hAnsi="Calibri" w:cs="Calibri"/>
        </w:rPr>
        <w:fldChar w:fldCharType="separate"/>
      </w:r>
      <w:r w:rsidR="001855E3" w:rsidRPr="001855E3">
        <w:rPr>
          <w:rFonts w:ascii="Calibri" w:hAnsi="Calibri" w:cs="Calibri"/>
        </w:rPr>
        <w:t>(EC</w:t>
      </w:r>
      <w:r w:rsidR="00871A86">
        <w:rPr>
          <w:rFonts w:ascii="Calibri" w:hAnsi="Calibri" w:cs="Calibri"/>
        </w:rPr>
        <w:t xml:space="preserve"> </w:t>
      </w:r>
      <w:r w:rsidR="00AC34E0">
        <w:rPr>
          <w:rFonts w:ascii="Calibri" w:hAnsi="Calibri" w:cs="Calibri"/>
        </w:rPr>
        <w:t>&amp;</w:t>
      </w:r>
      <w:r w:rsidR="00871A86">
        <w:rPr>
          <w:rFonts w:ascii="Calibri" w:hAnsi="Calibri" w:cs="Calibri"/>
        </w:rPr>
        <w:t xml:space="preserve"> JRC</w:t>
      </w:r>
      <w:r w:rsidR="001855E3" w:rsidRPr="001855E3">
        <w:rPr>
          <w:rFonts w:ascii="Calibri" w:hAnsi="Calibri" w:cs="Calibri"/>
        </w:rPr>
        <w:t xml:space="preserve">, </w:t>
      </w:r>
      <w:r w:rsidR="003D5CC6">
        <w:rPr>
          <w:rFonts w:ascii="Calibri" w:hAnsi="Calibri" w:cs="Calibri"/>
        </w:rPr>
        <w:t>2023</w:t>
      </w:r>
      <w:r w:rsidR="001855E3" w:rsidRPr="001855E3">
        <w:rPr>
          <w:rFonts w:ascii="Calibri" w:hAnsi="Calibri" w:cs="Calibri"/>
        </w:rPr>
        <w:t>)</w:t>
      </w:r>
      <w:r w:rsidR="009E62B0" w:rsidRPr="00C66C24">
        <w:rPr>
          <w:rFonts w:ascii="Calibri" w:eastAsia="Calibri" w:hAnsi="Calibri" w:cs="Calibri"/>
        </w:rPr>
        <w:fldChar w:fldCharType="end"/>
      </w:r>
      <w:r w:rsidRPr="00C66C24">
        <w:rPr>
          <w:rFonts w:ascii="Calibri" w:eastAsia="Calibri" w:hAnsi="Calibri" w:cs="Calibri"/>
        </w:rPr>
        <w:t>.</w:t>
      </w:r>
    </w:p>
    <w:p w14:paraId="64A30C1B" w14:textId="14BB2506" w:rsidR="00EC099A" w:rsidRPr="00C66C24" w:rsidRDefault="00E64535" w:rsidP="007852B9">
      <w:pPr>
        <w:spacing w:before="0" w:after="0" w:line="257" w:lineRule="auto"/>
        <w:rPr>
          <w:rFonts w:ascii="Calibri" w:eastAsia="Calibri" w:hAnsi="Calibri" w:cs="Calibri"/>
        </w:rPr>
      </w:pPr>
      <w:r w:rsidRPr="00C66C24">
        <w:rPr>
          <w:rFonts w:ascii="Calibri" w:eastAsia="Calibri" w:hAnsi="Calibri" w:cs="Calibri"/>
        </w:rPr>
        <w:t>North</w:t>
      </w:r>
      <w:r w:rsidR="00A94EED" w:rsidRPr="00C66C24">
        <w:rPr>
          <w:rFonts w:ascii="Calibri" w:eastAsia="Calibri" w:hAnsi="Calibri" w:cs="Calibri"/>
        </w:rPr>
        <w:t xml:space="preserve"> Sea</w:t>
      </w:r>
      <w:r w:rsidRPr="00C66C24">
        <w:rPr>
          <w:rFonts w:ascii="Calibri" w:eastAsia="Calibri" w:hAnsi="Calibri" w:cs="Calibri"/>
        </w:rPr>
        <w:t xml:space="preserve"> EU ports remain at the top of the list in terms of total containers handled</w:t>
      </w:r>
      <w:r w:rsidR="00451776" w:rsidRPr="00C66C24">
        <w:rPr>
          <w:rFonts w:ascii="Calibri" w:eastAsia="Calibri" w:hAnsi="Calibri" w:cs="Calibri"/>
        </w:rPr>
        <w:t>,</w:t>
      </w:r>
      <w:r w:rsidRPr="00C66C24">
        <w:rPr>
          <w:rFonts w:ascii="Calibri" w:eastAsia="Calibri" w:hAnsi="Calibri" w:cs="Calibri"/>
        </w:rPr>
        <w:t xml:space="preserve"> </w:t>
      </w:r>
      <w:r w:rsidR="004E2E32" w:rsidRPr="00C66C24">
        <w:rPr>
          <w:rFonts w:ascii="Calibri" w:eastAsia="Calibri" w:hAnsi="Calibri" w:cs="Calibri"/>
        </w:rPr>
        <w:t>w</w:t>
      </w:r>
      <w:r w:rsidR="001352A2" w:rsidRPr="00C66C24">
        <w:rPr>
          <w:rFonts w:ascii="Calibri" w:eastAsia="Calibri" w:hAnsi="Calibri" w:cs="Calibri"/>
        </w:rPr>
        <w:t xml:space="preserve">ith </w:t>
      </w:r>
      <w:r w:rsidR="001352A2" w:rsidRPr="00C66C24">
        <w:rPr>
          <w:rFonts w:ascii="Calibri" w:eastAsia="Calibri" w:hAnsi="Calibri" w:cs="Calibri"/>
          <w:szCs w:val="22"/>
        </w:rPr>
        <w:t>figures twice of those</w:t>
      </w:r>
      <w:r w:rsidRPr="00C66C24">
        <w:rPr>
          <w:rFonts w:ascii="Calibri" w:eastAsia="Calibri" w:hAnsi="Calibri" w:cs="Calibri"/>
          <w:szCs w:val="22"/>
        </w:rPr>
        <w:t xml:space="preserve"> </w:t>
      </w:r>
      <w:r w:rsidR="00A94EED" w:rsidRPr="00C66C24">
        <w:rPr>
          <w:rFonts w:ascii="Calibri" w:eastAsia="Calibri" w:hAnsi="Calibri" w:cs="Calibri"/>
          <w:szCs w:val="22"/>
        </w:rPr>
        <w:t xml:space="preserve">of Mediterranean </w:t>
      </w:r>
      <w:r w:rsidR="00D81ED8" w:rsidRPr="00C66C24">
        <w:rPr>
          <w:rFonts w:ascii="Calibri" w:eastAsia="Calibri" w:hAnsi="Calibri" w:cs="Calibri"/>
          <w:szCs w:val="22"/>
        </w:rPr>
        <w:t xml:space="preserve">Sea </w:t>
      </w:r>
      <w:r w:rsidR="00A94EED" w:rsidRPr="00C66C24">
        <w:rPr>
          <w:rFonts w:ascii="Calibri" w:eastAsia="Calibri" w:hAnsi="Calibri" w:cs="Calibri"/>
          <w:szCs w:val="22"/>
        </w:rPr>
        <w:t>ports</w:t>
      </w:r>
      <w:r w:rsidR="005341D8" w:rsidRPr="00C66C24">
        <w:rPr>
          <w:rFonts w:ascii="Calibri" w:eastAsia="Calibri" w:hAnsi="Calibri" w:cs="Calibri"/>
          <w:szCs w:val="22"/>
        </w:rPr>
        <w:t xml:space="preserve">, as shown in </w:t>
      </w:r>
      <w:r w:rsidR="00DB0EE4" w:rsidRPr="00C66C24">
        <w:rPr>
          <w:szCs w:val="22"/>
        </w:rPr>
        <w:fldChar w:fldCharType="begin"/>
      </w:r>
      <w:r w:rsidR="00DB0EE4" w:rsidRPr="00C66C24">
        <w:rPr>
          <w:szCs w:val="22"/>
        </w:rPr>
        <w:instrText xml:space="preserve"> REF _Ref151110417 \h </w:instrText>
      </w:r>
      <w:r w:rsidR="006C3B50" w:rsidRPr="00C66C24">
        <w:rPr>
          <w:szCs w:val="22"/>
        </w:rPr>
        <w:instrText xml:space="preserve"> \* MERGEFORMAT </w:instrText>
      </w:r>
      <w:r w:rsidR="00DB0EE4" w:rsidRPr="00C66C24">
        <w:rPr>
          <w:szCs w:val="22"/>
        </w:rPr>
      </w:r>
      <w:r w:rsidR="00DB0EE4" w:rsidRPr="00C66C24">
        <w:rPr>
          <w:szCs w:val="22"/>
        </w:rPr>
        <w:fldChar w:fldCharType="separate"/>
      </w:r>
      <w:r w:rsidR="00096DFE" w:rsidRPr="00C66C24">
        <w:rPr>
          <w:szCs w:val="22"/>
        </w:rPr>
        <w:t xml:space="preserve">Figure </w:t>
      </w:r>
      <w:r w:rsidR="00096DFE" w:rsidRPr="00C66C24">
        <w:rPr>
          <w:noProof/>
          <w:szCs w:val="22"/>
        </w:rPr>
        <w:t>1.3</w:t>
      </w:r>
      <w:r w:rsidR="00DB0EE4" w:rsidRPr="00C66C24">
        <w:rPr>
          <w:szCs w:val="22"/>
        </w:rPr>
        <w:fldChar w:fldCharType="end"/>
      </w:r>
      <w:r w:rsidR="00A94EED" w:rsidRPr="00C66C24">
        <w:rPr>
          <w:rFonts w:ascii="Calibri" w:eastAsia="Calibri" w:hAnsi="Calibri" w:cs="Calibri"/>
        </w:rPr>
        <w:t>.</w:t>
      </w:r>
    </w:p>
    <w:p w14:paraId="15F7532E" w14:textId="2A887B53" w:rsidR="004D6400" w:rsidRPr="00C66C24" w:rsidRDefault="004D6400" w:rsidP="008C6A9C">
      <w:pPr>
        <w:keepNext/>
        <w:spacing w:before="0" w:after="0" w:line="257" w:lineRule="auto"/>
        <w:jc w:val="center"/>
      </w:pPr>
      <w:r w:rsidRPr="00C66C24">
        <w:rPr>
          <w:noProof/>
        </w:rPr>
        <w:drawing>
          <wp:inline distT="0" distB="0" distL="0" distR="0" wp14:anchorId="0B7AA1BC" wp14:editId="4860F18F">
            <wp:extent cx="4096800" cy="3423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96800" cy="3423600"/>
                    </a:xfrm>
                    <a:prstGeom prst="rect">
                      <a:avLst/>
                    </a:prstGeom>
                  </pic:spPr>
                </pic:pic>
              </a:graphicData>
            </a:graphic>
          </wp:inline>
        </w:drawing>
      </w:r>
    </w:p>
    <w:p w14:paraId="4C3EB838" w14:textId="0C54CA9C" w:rsidR="004D6400" w:rsidRPr="00C66C24" w:rsidRDefault="004D6400" w:rsidP="008C6A9C">
      <w:pPr>
        <w:pStyle w:val="Caption"/>
        <w:spacing w:after="0" w:line="257" w:lineRule="auto"/>
        <w:jc w:val="center"/>
        <w:rPr>
          <w:rFonts w:cstheme="minorBidi"/>
          <w:sz w:val="20"/>
          <w:szCs w:val="20"/>
        </w:rPr>
      </w:pPr>
      <w:bookmarkStart w:id="51" w:name="_Ref151110417"/>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1</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w:t>
      </w:r>
      <w:r w:rsidR="00A81F61" w:rsidRPr="00C66C24">
        <w:rPr>
          <w:sz w:val="20"/>
          <w:szCs w:val="20"/>
        </w:rPr>
        <w:fldChar w:fldCharType="end"/>
      </w:r>
      <w:bookmarkEnd w:id="51"/>
      <w:r w:rsidRPr="00C66C24">
        <w:rPr>
          <w:sz w:val="20"/>
          <w:szCs w:val="20"/>
        </w:rPr>
        <w:t xml:space="preserve"> Volume of containers handled in EU top 8 ports.</w:t>
      </w:r>
    </w:p>
    <w:p w14:paraId="1D2E1224" w14:textId="77777777" w:rsidR="004D6400" w:rsidRPr="00C66C24" w:rsidRDefault="004D6400" w:rsidP="008C6A9C">
      <w:pPr>
        <w:spacing w:before="0" w:after="120" w:line="257" w:lineRule="auto"/>
        <w:jc w:val="center"/>
        <w:rPr>
          <w:rFonts w:ascii="Calibri" w:eastAsia="Calibri" w:hAnsi="Calibri" w:cs="Calibri"/>
          <w:sz w:val="20"/>
          <w:szCs w:val="20"/>
        </w:rPr>
      </w:pPr>
      <w:r w:rsidRPr="00C66C24">
        <w:rPr>
          <w:rFonts w:ascii="Calibri" w:eastAsia="Calibri" w:hAnsi="Calibri" w:cs="Calibri"/>
          <w:sz w:val="20"/>
          <w:szCs w:val="20"/>
        </w:rPr>
        <w:t>Source: Eurostat.</w:t>
      </w:r>
    </w:p>
    <w:p w14:paraId="67A1250C" w14:textId="6FEA2833" w:rsidR="001A400B" w:rsidRPr="00C66C24" w:rsidRDefault="00A94EED" w:rsidP="007852B9">
      <w:pPr>
        <w:spacing w:before="0" w:after="0" w:line="257" w:lineRule="auto"/>
        <w:rPr>
          <w:rFonts w:ascii="Calibri" w:eastAsia="Calibri" w:hAnsi="Calibri" w:cs="Calibri"/>
        </w:rPr>
      </w:pPr>
      <w:r w:rsidRPr="00C66C24">
        <w:rPr>
          <w:rFonts w:ascii="Calibri" w:eastAsia="Calibri" w:hAnsi="Calibri" w:cs="Calibri"/>
        </w:rPr>
        <w:t xml:space="preserve">However, </w:t>
      </w:r>
      <w:r w:rsidR="00D81ED8" w:rsidRPr="00C66C24">
        <w:rPr>
          <w:rFonts w:ascii="Calibri" w:eastAsia="Calibri" w:hAnsi="Calibri" w:cs="Calibri"/>
        </w:rPr>
        <w:t xml:space="preserve">it is also important to highlight </w:t>
      </w:r>
      <w:r w:rsidR="00565DBA" w:rsidRPr="00C66C24">
        <w:rPr>
          <w:rFonts w:ascii="Calibri" w:eastAsia="Calibri" w:hAnsi="Calibri" w:cs="Calibri"/>
        </w:rPr>
        <w:t>the role of transhipments ports in neighbouring countries</w:t>
      </w:r>
      <w:r w:rsidR="00EA161E" w:rsidRPr="00C66C24">
        <w:rPr>
          <w:rFonts w:ascii="Calibri" w:eastAsia="Calibri" w:hAnsi="Calibri" w:cs="Calibri"/>
        </w:rPr>
        <w:t xml:space="preserve">. These are ports </w:t>
      </w:r>
      <w:r w:rsidR="00565DBA" w:rsidRPr="00C66C24">
        <w:rPr>
          <w:rFonts w:ascii="Calibri" w:eastAsia="Calibri" w:hAnsi="Calibri" w:cs="Calibri"/>
        </w:rPr>
        <w:t xml:space="preserve">where </w:t>
      </w:r>
      <w:r w:rsidR="00402732" w:rsidRPr="00C66C24">
        <w:rPr>
          <w:rFonts w:ascii="Calibri" w:eastAsia="Calibri" w:hAnsi="Calibri" w:cs="Calibri"/>
        </w:rPr>
        <w:t xml:space="preserve">containers are unloaded from a ship </w:t>
      </w:r>
      <w:r w:rsidR="00301FCB" w:rsidRPr="00C66C24">
        <w:rPr>
          <w:rFonts w:ascii="Calibri" w:eastAsia="Calibri" w:hAnsi="Calibri" w:cs="Calibri"/>
        </w:rPr>
        <w:t>in</w:t>
      </w:r>
      <w:r w:rsidR="00402732" w:rsidRPr="00C66C24">
        <w:rPr>
          <w:rFonts w:ascii="Calibri" w:eastAsia="Calibri" w:hAnsi="Calibri" w:cs="Calibri"/>
        </w:rPr>
        <w:t xml:space="preserve"> port for the purpose of being loaded </w:t>
      </w:r>
      <w:r w:rsidR="00050D44" w:rsidRPr="00C66C24">
        <w:rPr>
          <w:rFonts w:ascii="Calibri" w:eastAsia="Calibri" w:hAnsi="Calibri" w:cs="Calibri"/>
        </w:rPr>
        <w:t>o</w:t>
      </w:r>
      <w:r w:rsidR="00301FCB" w:rsidRPr="00C66C24">
        <w:rPr>
          <w:rFonts w:ascii="Calibri" w:eastAsia="Calibri" w:hAnsi="Calibri" w:cs="Calibri"/>
        </w:rPr>
        <w:t xml:space="preserve">n </w:t>
      </w:r>
      <w:r w:rsidR="00402732" w:rsidRPr="00C66C24">
        <w:rPr>
          <w:rFonts w:ascii="Calibri" w:eastAsia="Calibri" w:hAnsi="Calibri" w:cs="Calibri"/>
        </w:rPr>
        <w:t xml:space="preserve">another ship. </w:t>
      </w:r>
      <w:r w:rsidR="00301FCB" w:rsidRPr="00C66C24">
        <w:rPr>
          <w:rFonts w:ascii="Calibri" w:eastAsia="Calibri" w:hAnsi="Calibri" w:cs="Calibri"/>
        </w:rPr>
        <w:t>A</w:t>
      </w:r>
      <w:r w:rsidR="00D81ED8" w:rsidRPr="00C66C24">
        <w:rPr>
          <w:rFonts w:ascii="Calibri" w:eastAsia="Calibri" w:hAnsi="Calibri" w:cs="Calibri"/>
        </w:rPr>
        <w:t xml:space="preserve">lthough </w:t>
      </w:r>
      <w:r w:rsidR="00265BA7" w:rsidRPr="00C66C24">
        <w:rPr>
          <w:rFonts w:ascii="Calibri" w:eastAsia="Calibri" w:hAnsi="Calibri" w:cs="Calibri"/>
        </w:rPr>
        <w:t xml:space="preserve">this report </w:t>
      </w:r>
      <w:r w:rsidR="00301FCB" w:rsidRPr="00C66C24">
        <w:rPr>
          <w:rFonts w:ascii="Calibri" w:eastAsia="Calibri" w:hAnsi="Calibri" w:cs="Calibri"/>
        </w:rPr>
        <w:t>focuses on</w:t>
      </w:r>
      <w:r w:rsidR="00E55B88" w:rsidRPr="00C66C24">
        <w:rPr>
          <w:rFonts w:ascii="Calibri" w:eastAsia="Calibri" w:hAnsi="Calibri" w:cs="Calibri"/>
        </w:rPr>
        <w:t xml:space="preserve"> maritime transport in the EU, there are substantial interlinkages with </w:t>
      </w:r>
      <w:r w:rsidR="00301FCB" w:rsidRPr="00C66C24">
        <w:rPr>
          <w:rFonts w:ascii="Calibri" w:eastAsia="Calibri" w:hAnsi="Calibri" w:cs="Calibri"/>
        </w:rPr>
        <w:t xml:space="preserve">neighbouring </w:t>
      </w:r>
      <w:r w:rsidR="00D81ED8" w:rsidRPr="00C66C24">
        <w:rPr>
          <w:rFonts w:ascii="Calibri" w:eastAsia="Calibri" w:hAnsi="Calibri" w:cs="Calibri"/>
        </w:rPr>
        <w:t xml:space="preserve">non-EU </w:t>
      </w:r>
      <w:r w:rsidR="006E19BD" w:rsidRPr="00C66C24">
        <w:rPr>
          <w:rFonts w:ascii="Calibri" w:eastAsia="Calibri" w:hAnsi="Calibri" w:cs="Calibri"/>
        </w:rPr>
        <w:t>ports</w:t>
      </w:r>
      <w:r w:rsidR="00887AA2" w:rsidRPr="00C66C24">
        <w:rPr>
          <w:rFonts w:ascii="Calibri" w:eastAsia="Calibri" w:hAnsi="Calibri" w:cs="Calibri"/>
        </w:rPr>
        <w:t xml:space="preserve"> </w:t>
      </w:r>
      <w:r w:rsidR="00133CA8" w:rsidRPr="00C66C24">
        <w:rPr>
          <w:rFonts w:ascii="Calibri" w:eastAsia="Calibri" w:hAnsi="Calibri" w:cs="Calibri"/>
        </w:rPr>
        <w:t>w</w:t>
      </w:r>
      <w:r w:rsidR="007E39C7" w:rsidRPr="00C66C24">
        <w:rPr>
          <w:rFonts w:ascii="Calibri" w:eastAsia="Calibri" w:hAnsi="Calibri" w:cs="Calibri"/>
        </w:rPr>
        <w:t>hich</w:t>
      </w:r>
      <w:r w:rsidR="00133CA8" w:rsidRPr="00C66C24">
        <w:rPr>
          <w:rFonts w:ascii="Calibri" w:eastAsia="Calibri" w:hAnsi="Calibri" w:cs="Calibri"/>
        </w:rPr>
        <w:t xml:space="preserve"> should </w:t>
      </w:r>
      <w:r w:rsidR="00981BEB" w:rsidRPr="00C66C24">
        <w:rPr>
          <w:rFonts w:ascii="Calibri" w:eastAsia="Calibri" w:hAnsi="Calibri" w:cs="Calibri"/>
        </w:rPr>
        <w:t xml:space="preserve">ideally </w:t>
      </w:r>
      <w:r w:rsidR="00133CA8" w:rsidRPr="00C66C24">
        <w:rPr>
          <w:rFonts w:ascii="Calibri" w:eastAsia="Calibri" w:hAnsi="Calibri" w:cs="Calibri"/>
        </w:rPr>
        <w:t xml:space="preserve">be </w:t>
      </w:r>
      <w:proofErr w:type="gramStart"/>
      <w:r w:rsidR="00BC46F1" w:rsidRPr="00C66C24">
        <w:rPr>
          <w:rFonts w:ascii="Calibri" w:eastAsia="Calibri" w:hAnsi="Calibri" w:cs="Calibri"/>
        </w:rPr>
        <w:t>taken into account</w:t>
      </w:r>
      <w:proofErr w:type="gramEnd"/>
      <w:r w:rsidR="00E50522" w:rsidRPr="00C66C24">
        <w:rPr>
          <w:rFonts w:ascii="Calibri" w:eastAsia="Calibri" w:hAnsi="Calibri" w:cs="Calibri"/>
        </w:rPr>
        <w:t xml:space="preserve"> </w:t>
      </w:r>
      <w:r w:rsidR="00301FCB" w:rsidRPr="00C66C24">
        <w:rPr>
          <w:rFonts w:ascii="Calibri" w:eastAsia="Calibri" w:hAnsi="Calibri" w:cs="Calibri"/>
        </w:rPr>
        <w:t xml:space="preserve">when </w:t>
      </w:r>
      <w:r w:rsidR="0026084D" w:rsidRPr="00C66C24">
        <w:rPr>
          <w:rFonts w:ascii="Calibri" w:eastAsia="Calibri" w:hAnsi="Calibri" w:cs="Calibri"/>
        </w:rPr>
        <w:t>assessing</w:t>
      </w:r>
      <w:r w:rsidR="00E50522" w:rsidRPr="00C66C24">
        <w:rPr>
          <w:rFonts w:ascii="Calibri" w:eastAsia="Calibri" w:hAnsi="Calibri" w:cs="Calibri"/>
        </w:rPr>
        <w:t xml:space="preserve"> the environmental impacts</w:t>
      </w:r>
      <w:r w:rsidR="00D81ED8" w:rsidRPr="00C66C24">
        <w:rPr>
          <w:rFonts w:ascii="Calibri" w:eastAsia="Calibri" w:hAnsi="Calibri" w:cs="Calibri"/>
        </w:rPr>
        <w:t xml:space="preserve"> of ports</w:t>
      </w:r>
      <w:r w:rsidR="00133CA8" w:rsidRPr="00C66C24">
        <w:rPr>
          <w:rFonts w:ascii="Calibri" w:eastAsia="Calibri" w:hAnsi="Calibri" w:cs="Calibri"/>
        </w:rPr>
        <w:t>.</w:t>
      </w:r>
    </w:p>
    <w:p w14:paraId="4E2E7C6C" w14:textId="7BC22FD7" w:rsidR="00C2781F" w:rsidRPr="00C66C24" w:rsidRDefault="00A0390B" w:rsidP="007852B9">
      <w:pPr>
        <w:spacing w:before="0" w:after="120" w:line="257" w:lineRule="auto"/>
        <w:rPr>
          <w:rFonts w:ascii="Calibri" w:eastAsia="Calibri" w:hAnsi="Calibri" w:cs="Calibri"/>
        </w:rPr>
      </w:pPr>
      <w:r w:rsidRPr="00C66C24">
        <w:rPr>
          <w:rFonts w:ascii="Calibri" w:eastAsia="Calibri" w:hAnsi="Calibri" w:cs="Calibri"/>
        </w:rPr>
        <w:t xml:space="preserve">EU </w:t>
      </w:r>
      <w:r w:rsidR="00C4176A" w:rsidRPr="00C66C24">
        <w:rPr>
          <w:rFonts w:ascii="Calibri" w:eastAsia="Calibri" w:hAnsi="Calibri" w:cs="Calibri"/>
        </w:rPr>
        <w:t xml:space="preserve">ports </w:t>
      </w:r>
      <w:r w:rsidRPr="00C66C24">
        <w:rPr>
          <w:rFonts w:ascii="Calibri" w:eastAsia="Calibri" w:hAnsi="Calibri" w:cs="Calibri"/>
        </w:rPr>
        <w:t>handle</w:t>
      </w:r>
      <w:r w:rsidR="00C4176A" w:rsidRPr="00C66C24">
        <w:rPr>
          <w:rFonts w:ascii="Calibri" w:eastAsia="Calibri" w:hAnsi="Calibri" w:cs="Calibri"/>
        </w:rPr>
        <w:t xml:space="preserve"> </w:t>
      </w:r>
      <w:r w:rsidR="00F37270" w:rsidRPr="00C66C24">
        <w:rPr>
          <w:rFonts w:ascii="Calibri" w:eastAsia="Calibri" w:hAnsi="Calibri" w:cs="Calibri"/>
        </w:rPr>
        <w:t>a</w:t>
      </w:r>
      <w:r w:rsidR="00887AA2" w:rsidRPr="00C66C24">
        <w:rPr>
          <w:rFonts w:ascii="Calibri" w:eastAsia="Calibri" w:hAnsi="Calibri" w:cs="Calibri"/>
        </w:rPr>
        <w:t xml:space="preserve"> </w:t>
      </w:r>
      <w:r w:rsidR="00301FCB" w:rsidRPr="00C66C24">
        <w:rPr>
          <w:rFonts w:ascii="Calibri" w:eastAsia="Calibri" w:hAnsi="Calibri" w:cs="Calibri"/>
        </w:rPr>
        <w:t xml:space="preserve">significant </w:t>
      </w:r>
      <w:r w:rsidR="00AE5638" w:rsidRPr="00C66C24">
        <w:rPr>
          <w:rFonts w:ascii="Calibri" w:eastAsia="Calibri" w:hAnsi="Calibri" w:cs="Calibri"/>
        </w:rPr>
        <w:t xml:space="preserve">proportion of the total port calls made </w:t>
      </w:r>
      <w:r w:rsidR="00301FCB" w:rsidRPr="00C66C24">
        <w:rPr>
          <w:rFonts w:ascii="Calibri" w:eastAsia="Calibri" w:hAnsi="Calibri" w:cs="Calibri"/>
        </w:rPr>
        <w:t>globally</w:t>
      </w:r>
      <w:r w:rsidR="00887AA2" w:rsidRPr="00C66C24">
        <w:rPr>
          <w:rFonts w:ascii="Calibri" w:eastAsia="Calibri" w:hAnsi="Calibri" w:cs="Calibri"/>
        </w:rPr>
        <w:t xml:space="preserve"> </w:t>
      </w:r>
      <w:r w:rsidR="00AE5638" w:rsidRPr="00C66C24">
        <w:rPr>
          <w:rFonts w:ascii="Calibri" w:eastAsia="Calibri" w:hAnsi="Calibri" w:cs="Calibri"/>
        </w:rPr>
        <w:t xml:space="preserve">on a yearly basis. </w:t>
      </w:r>
      <w:r w:rsidR="00301FCB" w:rsidRPr="00C66C24">
        <w:rPr>
          <w:rFonts w:ascii="Calibri" w:eastAsia="Calibri" w:hAnsi="Calibri" w:cs="Calibri"/>
        </w:rPr>
        <w:t>In</w:t>
      </w:r>
      <w:r w:rsidR="5045D3B4" w:rsidRPr="00C66C24">
        <w:rPr>
          <w:rFonts w:ascii="Calibri" w:eastAsia="Calibri" w:hAnsi="Calibri" w:cs="Calibri"/>
        </w:rPr>
        <w:t xml:space="preserve"> 2022</w:t>
      </w:r>
      <w:r w:rsidR="00301FCB" w:rsidRPr="00C66C24">
        <w:rPr>
          <w:rFonts w:ascii="Calibri" w:eastAsia="Calibri" w:hAnsi="Calibri" w:cs="Calibri"/>
        </w:rPr>
        <w:t>,</w:t>
      </w:r>
      <w:r w:rsidR="5045D3B4" w:rsidRPr="00C66C24">
        <w:rPr>
          <w:rFonts w:ascii="Calibri" w:eastAsia="Calibri" w:hAnsi="Calibri" w:cs="Calibri"/>
        </w:rPr>
        <w:t xml:space="preserve"> more than 12 million port calls </w:t>
      </w:r>
      <w:r w:rsidR="00301FCB" w:rsidRPr="00C66C24">
        <w:rPr>
          <w:rFonts w:ascii="Calibri" w:eastAsia="Calibri" w:hAnsi="Calibri" w:cs="Calibri"/>
        </w:rPr>
        <w:t>took place</w:t>
      </w:r>
      <w:r w:rsidR="5045D3B4" w:rsidRPr="00C66C24">
        <w:rPr>
          <w:rFonts w:ascii="Calibri" w:eastAsia="Calibri" w:hAnsi="Calibri" w:cs="Calibri"/>
        </w:rPr>
        <w:t xml:space="preserve"> globally, </w:t>
      </w:r>
      <w:r w:rsidR="00301FCB" w:rsidRPr="00C66C24">
        <w:rPr>
          <w:rFonts w:ascii="Calibri" w:eastAsia="Calibri" w:hAnsi="Calibri" w:cs="Calibri"/>
        </w:rPr>
        <w:t>with almost 3 million or approximately 23% of them, located in</w:t>
      </w:r>
      <w:r w:rsidR="003232F6" w:rsidRPr="00C66C24">
        <w:rPr>
          <w:rFonts w:ascii="Calibri" w:eastAsia="Calibri" w:hAnsi="Calibri" w:cs="Calibri"/>
        </w:rPr>
        <w:t xml:space="preserve"> </w:t>
      </w:r>
      <w:r w:rsidR="5045D3B4" w:rsidRPr="00C66C24">
        <w:rPr>
          <w:rFonts w:ascii="Calibri" w:eastAsia="Calibri" w:hAnsi="Calibri" w:cs="Calibri"/>
        </w:rPr>
        <w:t xml:space="preserve">EU and </w:t>
      </w:r>
      <w:r w:rsidR="00E74ED3" w:rsidRPr="00C66C24">
        <w:rPr>
          <w:rFonts w:ascii="Calibri" w:eastAsia="Calibri" w:hAnsi="Calibri" w:cs="Calibri"/>
        </w:rPr>
        <w:t xml:space="preserve">European Economic Area </w:t>
      </w:r>
      <w:r w:rsidR="5045D3B4" w:rsidRPr="00C66C24">
        <w:rPr>
          <w:rFonts w:ascii="Calibri" w:eastAsia="Calibri" w:hAnsi="Calibri" w:cs="Calibri"/>
        </w:rPr>
        <w:t>ports</w:t>
      </w:r>
      <w:r w:rsidR="00301FCB" w:rsidRPr="00C66C24">
        <w:rPr>
          <w:rFonts w:ascii="Calibri" w:eastAsia="Calibri" w:hAnsi="Calibri" w:cs="Calibri"/>
        </w:rPr>
        <w:t>.</w:t>
      </w:r>
    </w:p>
    <w:p w14:paraId="221291D6" w14:textId="3D605FD1" w:rsidR="006A7266" w:rsidRPr="00C66C24" w:rsidRDefault="001C1040" w:rsidP="008C6A9C">
      <w:pPr>
        <w:keepNext/>
        <w:spacing w:before="0" w:after="0" w:line="257" w:lineRule="auto"/>
        <w:jc w:val="center"/>
      </w:pPr>
      <w:r w:rsidRPr="00C66C24">
        <w:rPr>
          <w:noProof/>
        </w:rPr>
        <w:drawing>
          <wp:inline distT="0" distB="0" distL="0" distR="0" wp14:anchorId="3548A001" wp14:editId="5841976C">
            <wp:extent cx="4524375" cy="2876550"/>
            <wp:effectExtent l="0" t="0" r="9525" b="0"/>
            <wp:docPr id="12" name="Chart 12">
              <a:extLst xmlns:a="http://schemas.openxmlformats.org/drawingml/2006/main">
                <a:ext uri="{FF2B5EF4-FFF2-40B4-BE49-F238E27FC236}">
                  <a16:creationId xmlns:a16="http://schemas.microsoft.com/office/drawing/2014/main" id="{56B5BAD2-E089-6657-998B-91B94B34CC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47FCA19" w14:textId="19903873" w:rsidR="5045D3B4" w:rsidRPr="00C66C24" w:rsidRDefault="006A7266" w:rsidP="008C6A9C">
      <w:pPr>
        <w:pStyle w:val="Caption"/>
        <w:spacing w:after="0" w:line="257" w:lineRule="auto"/>
        <w:jc w:val="center"/>
        <w:rPr>
          <w:rFonts w:ascii="Calibri" w:eastAsia="Calibri" w:hAnsi="Calibri" w:cs="Calibri"/>
          <w:sz w:val="20"/>
          <w:szCs w:val="20"/>
        </w:rPr>
      </w:pPr>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1</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w:t>
      </w:r>
      <w:r w:rsidR="00A81F61" w:rsidRPr="00C66C24">
        <w:rPr>
          <w:sz w:val="20"/>
          <w:szCs w:val="20"/>
        </w:rPr>
        <w:fldChar w:fldCharType="end"/>
      </w:r>
      <w:r w:rsidRPr="00C66C24">
        <w:rPr>
          <w:sz w:val="20"/>
          <w:szCs w:val="20"/>
        </w:rPr>
        <w:t xml:space="preserve"> Port call distribution in EU per ship type in 2022</w:t>
      </w:r>
      <w:r w:rsidR="00006C71" w:rsidRPr="00C66C24">
        <w:rPr>
          <w:sz w:val="20"/>
          <w:szCs w:val="20"/>
        </w:rPr>
        <w:t>.</w:t>
      </w:r>
    </w:p>
    <w:p w14:paraId="6D68A770" w14:textId="500C0CB7" w:rsidR="5045D3B4" w:rsidRPr="00C66C24" w:rsidRDefault="00A91A16" w:rsidP="008C6A9C">
      <w:pPr>
        <w:spacing w:before="0" w:after="120" w:line="257" w:lineRule="auto"/>
        <w:jc w:val="center"/>
        <w:rPr>
          <w:rFonts w:ascii="Calibri" w:eastAsia="Calibri" w:hAnsi="Calibri" w:cs="Calibri"/>
          <w:sz w:val="20"/>
          <w:szCs w:val="20"/>
        </w:rPr>
      </w:pPr>
      <w:r w:rsidRPr="00C66C24">
        <w:rPr>
          <w:rFonts w:ascii="Calibri" w:eastAsia="Calibri" w:hAnsi="Calibri" w:cs="Calibri"/>
          <w:sz w:val="20"/>
          <w:szCs w:val="20"/>
        </w:rPr>
        <w:t>Source</w:t>
      </w:r>
      <w:r w:rsidR="002A799D" w:rsidRPr="00C66C24">
        <w:rPr>
          <w:rFonts w:ascii="Calibri" w:eastAsia="Calibri" w:hAnsi="Calibri" w:cs="Calibri"/>
          <w:sz w:val="20"/>
          <w:szCs w:val="20"/>
        </w:rPr>
        <w:t>:</w:t>
      </w:r>
      <w:r w:rsidR="5045D3B4" w:rsidRPr="00C66C24">
        <w:rPr>
          <w:rFonts w:ascii="Calibri" w:eastAsia="Calibri" w:hAnsi="Calibri" w:cs="Calibri"/>
          <w:sz w:val="20"/>
          <w:szCs w:val="20"/>
        </w:rPr>
        <w:t xml:space="preserve"> EMSA</w:t>
      </w:r>
      <w:r w:rsidR="00935A73" w:rsidRPr="00C66C24">
        <w:rPr>
          <w:rFonts w:ascii="Calibri" w:eastAsia="Calibri" w:hAnsi="Calibri" w:cs="Calibri"/>
          <w:sz w:val="20"/>
          <w:szCs w:val="20"/>
        </w:rPr>
        <w:t>, 2023</w:t>
      </w:r>
      <w:r w:rsidR="00D81ED8" w:rsidRPr="00C66C24">
        <w:rPr>
          <w:rFonts w:ascii="Calibri" w:eastAsia="Calibri" w:hAnsi="Calibri" w:cs="Calibri"/>
          <w:sz w:val="20"/>
          <w:szCs w:val="20"/>
        </w:rPr>
        <w:t>.</w:t>
      </w:r>
    </w:p>
    <w:p w14:paraId="7F6BA2B8" w14:textId="3833ADF7" w:rsidR="00BF4AC0" w:rsidRPr="00C66C24" w:rsidRDefault="0019643A" w:rsidP="007852B9">
      <w:pPr>
        <w:spacing w:before="0" w:after="120" w:line="257" w:lineRule="auto"/>
        <w:rPr>
          <w:rFonts w:ascii="Calibri" w:eastAsia="Calibri" w:hAnsi="Calibri" w:cs="Calibri"/>
        </w:rPr>
      </w:pPr>
      <w:r w:rsidRPr="00C66C24">
        <w:rPr>
          <w:rFonts w:ascii="Calibri" w:eastAsia="Calibri" w:hAnsi="Calibri" w:cs="Calibri"/>
        </w:rPr>
        <w:t>The impact of f</w:t>
      </w:r>
      <w:r w:rsidR="02F8DDE5" w:rsidRPr="00C66C24">
        <w:rPr>
          <w:rFonts w:ascii="Calibri" w:eastAsia="Calibri" w:hAnsi="Calibri" w:cs="Calibri"/>
        </w:rPr>
        <w:t xml:space="preserve">ishing vessels </w:t>
      </w:r>
      <w:r w:rsidRPr="00C66C24">
        <w:rPr>
          <w:rFonts w:ascii="Calibri" w:eastAsia="Calibri" w:hAnsi="Calibri" w:cs="Calibri"/>
        </w:rPr>
        <w:t xml:space="preserve">to the marine environment is examined for the first time in this report. </w:t>
      </w:r>
      <w:r w:rsidRPr="00C66C24">
        <w:rPr>
          <w:rFonts w:ascii="Calibri" w:eastAsia="Calibri" w:hAnsi="Calibri" w:cs="Calibri"/>
          <w:szCs w:val="22"/>
        </w:rPr>
        <w:t>Overall</w:t>
      </w:r>
      <w:r w:rsidR="00BB5B19" w:rsidRPr="00C66C24">
        <w:rPr>
          <w:rFonts w:ascii="Calibri" w:eastAsia="Calibri" w:hAnsi="Calibri" w:cs="Calibri"/>
          <w:szCs w:val="22"/>
        </w:rPr>
        <w:t>,</w:t>
      </w:r>
      <w:r w:rsidRPr="00C66C24">
        <w:rPr>
          <w:rFonts w:ascii="Calibri" w:eastAsia="Calibri" w:hAnsi="Calibri" w:cs="Calibri"/>
          <w:szCs w:val="22"/>
        </w:rPr>
        <w:t xml:space="preserve"> t</w:t>
      </w:r>
      <w:r w:rsidR="28673813" w:rsidRPr="00C66C24">
        <w:rPr>
          <w:rFonts w:ascii="Calibri" w:eastAsia="Calibri" w:hAnsi="Calibri" w:cs="Calibri"/>
          <w:szCs w:val="22"/>
        </w:rPr>
        <w:t xml:space="preserve">he total number of fishing vessels in the EU is </w:t>
      </w:r>
      <w:r w:rsidR="00BB5B19" w:rsidRPr="00C66C24">
        <w:rPr>
          <w:rFonts w:ascii="Calibri" w:eastAsia="Calibri" w:hAnsi="Calibri" w:cs="Calibri"/>
          <w:szCs w:val="22"/>
        </w:rPr>
        <w:t xml:space="preserve">in </w:t>
      </w:r>
      <w:r w:rsidR="28673813" w:rsidRPr="00C66C24">
        <w:rPr>
          <w:rFonts w:ascii="Calibri" w:eastAsia="Calibri" w:hAnsi="Calibri" w:cs="Calibri"/>
          <w:szCs w:val="22"/>
        </w:rPr>
        <w:t xml:space="preserve">decline </w:t>
      </w:r>
      <w:r w:rsidR="007C48FF" w:rsidRPr="00C66C24">
        <w:rPr>
          <w:rFonts w:ascii="Calibri" w:eastAsia="Calibri" w:hAnsi="Calibri" w:cs="Calibri"/>
          <w:szCs w:val="22"/>
        </w:rPr>
        <w:t xml:space="preserve">since 2016 </w:t>
      </w:r>
      <w:r w:rsidR="003E4603" w:rsidRPr="00C66C24">
        <w:rPr>
          <w:rFonts w:ascii="Calibri" w:eastAsia="Calibri" w:hAnsi="Calibri" w:cs="Calibri"/>
          <w:szCs w:val="22"/>
        </w:rPr>
        <w:t>from about 77</w:t>
      </w:r>
      <w:r w:rsidR="00BB5B19" w:rsidRPr="00C66C24">
        <w:rPr>
          <w:rFonts w:ascii="Calibri" w:eastAsia="Calibri" w:hAnsi="Calibri" w:cs="Calibri"/>
          <w:szCs w:val="22"/>
        </w:rPr>
        <w:t>,</w:t>
      </w:r>
      <w:r w:rsidR="003E4603" w:rsidRPr="00C66C24">
        <w:rPr>
          <w:rFonts w:ascii="Calibri" w:eastAsia="Calibri" w:hAnsi="Calibri" w:cs="Calibri"/>
          <w:szCs w:val="22"/>
        </w:rPr>
        <w:t>5</w:t>
      </w:r>
      <w:r w:rsidR="00292790" w:rsidRPr="00C66C24">
        <w:rPr>
          <w:rFonts w:ascii="Calibri" w:eastAsia="Calibri" w:hAnsi="Calibri" w:cs="Calibri"/>
          <w:szCs w:val="22"/>
        </w:rPr>
        <w:t>00</w:t>
      </w:r>
      <w:r w:rsidR="003E4603" w:rsidRPr="00C66C24">
        <w:rPr>
          <w:rFonts w:ascii="Calibri" w:eastAsia="Calibri" w:hAnsi="Calibri" w:cs="Calibri"/>
          <w:szCs w:val="22"/>
        </w:rPr>
        <w:t xml:space="preserve"> to </w:t>
      </w:r>
      <w:r w:rsidR="00C9528B" w:rsidRPr="00C66C24">
        <w:rPr>
          <w:rFonts w:ascii="Calibri" w:eastAsia="Calibri" w:hAnsi="Calibri" w:cs="Calibri"/>
          <w:szCs w:val="22"/>
        </w:rPr>
        <w:t>72</w:t>
      </w:r>
      <w:r w:rsidR="00BB5B19" w:rsidRPr="00C66C24">
        <w:rPr>
          <w:rFonts w:ascii="Calibri" w:eastAsia="Calibri" w:hAnsi="Calibri" w:cs="Calibri"/>
          <w:szCs w:val="22"/>
        </w:rPr>
        <w:t>,</w:t>
      </w:r>
      <w:r w:rsidR="00C9528B" w:rsidRPr="00C66C24">
        <w:rPr>
          <w:rFonts w:ascii="Calibri" w:eastAsia="Calibri" w:hAnsi="Calibri" w:cs="Calibri"/>
          <w:szCs w:val="22"/>
        </w:rPr>
        <w:t>5</w:t>
      </w:r>
      <w:r w:rsidR="00292790" w:rsidRPr="00C66C24">
        <w:rPr>
          <w:rFonts w:ascii="Calibri" w:eastAsia="Calibri" w:hAnsi="Calibri" w:cs="Calibri"/>
          <w:szCs w:val="22"/>
        </w:rPr>
        <w:t>00</w:t>
      </w:r>
      <w:r w:rsidR="00C9528B" w:rsidRPr="00C66C24">
        <w:rPr>
          <w:rFonts w:ascii="Calibri" w:eastAsia="Calibri" w:hAnsi="Calibri" w:cs="Calibri"/>
          <w:szCs w:val="22"/>
        </w:rPr>
        <w:t xml:space="preserve"> </w:t>
      </w:r>
      <w:r w:rsidR="00A959B3" w:rsidRPr="00C66C24">
        <w:rPr>
          <w:rFonts w:ascii="Calibri" w:eastAsia="Calibri" w:hAnsi="Calibri" w:cs="Calibri"/>
          <w:szCs w:val="22"/>
        </w:rPr>
        <w:t>in 2022</w:t>
      </w:r>
      <w:r w:rsidR="00095019" w:rsidRPr="00C66C24">
        <w:rPr>
          <w:rFonts w:ascii="Calibri" w:eastAsia="Calibri" w:hAnsi="Calibri" w:cs="Calibri"/>
          <w:szCs w:val="22"/>
        </w:rPr>
        <w:t xml:space="preserve"> (-6.5%)</w:t>
      </w:r>
      <w:r w:rsidR="00A959B3" w:rsidRPr="00C66C24">
        <w:rPr>
          <w:rFonts w:ascii="Calibri" w:eastAsia="Calibri" w:hAnsi="Calibri" w:cs="Calibri"/>
        </w:rPr>
        <w:t xml:space="preserve">. </w:t>
      </w:r>
      <w:r w:rsidR="28673813" w:rsidRPr="00C66C24">
        <w:rPr>
          <w:rFonts w:ascii="Calibri" w:eastAsia="Calibri" w:hAnsi="Calibri" w:cs="Calibri"/>
        </w:rPr>
        <w:t xml:space="preserve">However, both in terms of size and power </w:t>
      </w:r>
      <w:r w:rsidR="007C48FF" w:rsidRPr="00C66C24">
        <w:rPr>
          <w:rFonts w:ascii="Calibri" w:eastAsia="Calibri" w:hAnsi="Calibri" w:cs="Calibri"/>
        </w:rPr>
        <w:t xml:space="preserve">needs, </w:t>
      </w:r>
      <w:r w:rsidR="28673813" w:rsidRPr="00C66C24">
        <w:rPr>
          <w:rFonts w:ascii="Calibri" w:eastAsia="Calibri" w:hAnsi="Calibri" w:cs="Calibri"/>
        </w:rPr>
        <w:t xml:space="preserve">the fishing fleet </w:t>
      </w:r>
      <w:r w:rsidR="00A93CDE" w:rsidRPr="00C66C24">
        <w:rPr>
          <w:rFonts w:ascii="Calibri" w:eastAsia="Calibri" w:hAnsi="Calibri" w:cs="Calibri"/>
        </w:rPr>
        <w:t>is smaller</w:t>
      </w:r>
      <w:r w:rsidR="006A740C" w:rsidRPr="00C66C24">
        <w:rPr>
          <w:rFonts w:ascii="Calibri" w:eastAsia="Calibri" w:hAnsi="Calibri" w:cs="Calibri"/>
        </w:rPr>
        <w:t xml:space="preserve"> than the merchant fleet</w:t>
      </w:r>
      <w:r w:rsidR="76C41B74" w:rsidRPr="00C66C24">
        <w:rPr>
          <w:rFonts w:ascii="Calibri" w:eastAsia="Calibri" w:hAnsi="Calibri" w:cs="Calibri"/>
        </w:rPr>
        <w:t>,</w:t>
      </w:r>
      <w:r w:rsidR="28673813" w:rsidRPr="00C66C24">
        <w:rPr>
          <w:rFonts w:ascii="Calibri" w:eastAsia="Calibri" w:hAnsi="Calibri" w:cs="Calibri"/>
        </w:rPr>
        <w:t xml:space="preserve"> hence </w:t>
      </w:r>
      <w:r w:rsidR="006551C9" w:rsidRPr="00C66C24">
        <w:rPr>
          <w:rFonts w:ascii="Calibri" w:eastAsia="Calibri" w:hAnsi="Calibri" w:cs="Calibri"/>
        </w:rPr>
        <w:t xml:space="preserve">the overall </w:t>
      </w:r>
      <w:r w:rsidR="28673813" w:rsidRPr="00C66C24">
        <w:rPr>
          <w:rFonts w:ascii="Calibri" w:eastAsia="Calibri" w:hAnsi="Calibri" w:cs="Calibri"/>
        </w:rPr>
        <w:t xml:space="preserve">related emissions </w:t>
      </w:r>
      <w:r w:rsidR="00A93CDE" w:rsidRPr="00C66C24">
        <w:rPr>
          <w:rFonts w:ascii="Calibri" w:eastAsia="Calibri" w:hAnsi="Calibri" w:cs="Calibri"/>
        </w:rPr>
        <w:t>and environmental</w:t>
      </w:r>
      <w:r w:rsidR="28673813" w:rsidRPr="00C66C24">
        <w:rPr>
          <w:rFonts w:ascii="Calibri" w:eastAsia="Calibri" w:hAnsi="Calibri" w:cs="Calibri"/>
        </w:rPr>
        <w:t xml:space="preserve"> impacts can be assumed to be lower</w:t>
      </w:r>
      <w:r w:rsidR="00C5327C" w:rsidRPr="00C66C24">
        <w:rPr>
          <w:rFonts w:ascii="Calibri" w:eastAsia="Calibri" w:hAnsi="Calibri" w:cs="Calibri"/>
        </w:rPr>
        <w:t>, irrespective of where the fleet operates</w:t>
      </w:r>
      <w:r w:rsidR="00C07EC2" w:rsidRPr="00C66C24">
        <w:rPr>
          <w:rStyle w:val="FootnoteReference"/>
        </w:rPr>
        <w:footnoteReference w:id="3"/>
      </w:r>
      <w:r w:rsidR="000428AB" w:rsidRPr="00C66C24">
        <w:rPr>
          <w:rFonts w:ascii="Calibri" w:eastAsia="Calibri" w:hAnsi="Calibri" w:cs="Calibri"/>
          <w:szCs w:val="22"/>
        </w:rPr>
        <w:t xml:space="preserve">. </w:t>
      </w:r>
      <w:r w:rsidR="00DC2D5F" w:rsidRPr="00C66C24">
        <w:rPr>
          <w:rFonts w:ascii="Calibri" w:eastAsia="Calibri" w:hAnsi="Calibri" w:cs="Calibri"/>
          <w:szCs w:val="22"/>
        </w:rPr>
        <w:fldChar w:fldCharType="begin"/>
      </w:r>
      <w:r w:rsidR="00DC2D5F" w:rsidRPr="00C66C24">
        <w:rPr>
          <w:rFonts w:ascii="Calibri" w:eastAsia="Calibri" w:hAnsi="Calibri" w:cs="Calibri"/>
          <w:szCs w:val="22"/>
        </w:rPr>
        <w:instrText xml:space="preserve"> REF _Ref156819408 \h  \* MERGEFORMAT </w:instrText>
      </w:r>
      <w:r w:rsidR="00DC2D5F" w:rsidRPr="00C66C24">
        <w:rPr>
          <w:rFonts w:ascii="Calibri" w:eastAsia="Calibri" w:hAnsi="Calibri" w:cs="Calibri"/>
          <w:szCs w:val="22"/>
        </w:rPr>
      </w:r>
      <w:r w:rsidR="00DC2D5F" w:rsidRPr="00C66C24">
        <w:rPr>
          <w:rFonts w:ascii="Calibri" w:eastAsia="Calibri" w:hAnsi="Calibri" w:cs="Calibri"/>
          <w:szCs w:val="22"/>
        </w:rPr>
        <w:fldChar w:fldCharType="separate"/>
      </w:r>
      <w:r w:rsidR="00DC2D5F" w:rsidRPr="00C66C24">
        <w:rPr>
          <w:szCs w:val="22"/>
        </w:rPr>
        <w:t xml:space="preserve">Figure </w:t>
      </w:r>
      <w:r w:rsidR="00DC2D5F" w:rsidRPr="00C66C24">
        <w:rPr>
          <w:noProof/>
          <w:szCs w:val="22"/>
        </w:rPr>
        <w:t>1</w:t>
      </w:r>
      <w:r w:rsidR="00DC2D5F" w:rsidRPr="00C66C24">
        <w:rPr>
          <w:szCs w:val="22"/>
        </w:rPr>
        <w:t>.</w:t>
      </w:r>
      <w:r w:rsidR="00DC2D5F" w:rsidRPr="00C66C24">
        <w:rPr>
          <w:noProof/>
          <w:szCs w:val="22"/>
        </w:rPr>
        <w:t>5</w:t>
      </w:r>
      <w:r w:rsidR="00DC2D5F" w:rsidRPr="00C66C24">
        <w:rPr>
          <w:rFonts w:ascii="Calibri" w:eastAsia="Calibri" w:hAnsi="Calibri" w:cs="Calibri"/>
          <w:szCs w:val="22"/>
        </w:rPr>
        <w:fldChar w:fldCharType="end"/>
      </w:r>
      <w:r w:rsidR="00DC2D5F" w:rsidRPr="00C66C24">
        <w:rPr>
          <w:rFonts w:ascii="Calibri" w:eastAsia="Calibri" w:hAnsi="Calibri" w:cs="Calibri"/>
          <w:szCs w:val="22"/>
        </w:rPr>
        <w:t xml:space="preserve"> </w:t>
      </w:r>
      <w:r w:rsidR="00314D3E" w:rsidRPr="00C66C24">
        <w:rPr>
          <w:rFonts w:ascii="Calibri" w:eastAsia="Calibri" w:hAnsi="Calibri" w:cs="Calibri"/>
        </w:rPr>
        <w:t>s</w:t>
      </w:r>
      <w:r w:rsidR="00AF3905" w:rsidRPr="00C66C24">
        <w:rPr>
          <w:rFonts w:ascii="Calibri" w:eastAsia="Calibri" w:hAnsi="Calibri" w:cs="Calibri"/>
        </w:rPr>
        <w:t xml:space="preserve">hows </w:t>
      </w:r>
      <w:r w:rsidR="00587BED" w:rsidRPr="00C66C24">
        <w:rPr>
          <w:rFonts w:ascii="Calibri" w:eastAsia="Calibri" w:hAnsi="Calibri" w:cs="Calibri"/>
        </w:rPr>
        <w:t xml:space="preserve">that the majority of the fishing fleet belonging to EU </w:t>
      </w:r>
      <w:r w:rsidR="00BB5B19" w:rsidRPr="00C66C24">
        <w:rPr>
          <w:rFonts w:ascii="Calibri" w:eastAsia="Calibri" w:hAnsi="Calibri" w:cs="Calibri"/>
        </w:rPr>
        <w:t>M</w:t>
      </w:r>
      <w:r w:rsidR="00587BED" w:rsidRPr="00C66C24">
        <w:rPr>
          <w:rFonts w:ascii="Calibri" w:eastAsia="Calibri" w:hAnsi="Calibri" w:cs="Calibri"/>
        </w:rPr>
        <w:t xml:space="preserve">ember </w:t>
      </w:r>
      <w:r w:rsidR="00BB5B19" w:rsidRPr="00C66C24">
        <w:rPr>
          <w:rFonts w:ascii="Calibri" w:eastAsia="Calibri" w:hAnsi="Calibri" w:cs="Calibri"/>
        </w:rPr>
        <w:t>S</w:t>
      </w:r>
      <w:r w:rsidR="00587BED" w:rsidRPr="00C66C24">
        <w:rPr>
          <w:rFonts w:ascii="Calibri" w:eastAsia="Calibri" w:hAnsi="Calibri" w:cs="Calibri"/>
        </w:rPr>
        <w:t>tates is registered in five EU countries, namely Greece, Italy, Spain, Portugal, and Croatia, which collectively account for 68% of the total EU fishing fleet. The same countries account for 51.2% of the gross tonnage and 53.1% of the engine power. Interestingly, while the Greek fleet is numerous (19.5% - the largest in terms of numbers) but relatively small in gross tonnage (5.2%) and engine power (7.8%), the French fleet is smaller in numbers (8.4%), but largest in engine power (18.3%).</w:t>
      </w:r>
      <w:r w:rsidR="074F533E" w:rsidRPr="00C66C24">
        <w:rPr>
          <w:rFonts w:ascii="Calibri" w:eastAsia="Calibri" w:hAnsi="Calibri" w:cs="Calibri"/>
        </w:rPr>
        <w:t xml:space="preserve"> </w:t>
      </w:r>
    </w:p>
    <w:p w14:paraId="688721A0" w14:textId="2DBE742C" w:rsidR="006A7266" w:rsidRPr="00C66C24" w:rsidRDefault="00C379B4" w:rsidP="008C6A9C">
      <w:pPr>
        <w:keepNext/>
        <w:spacing w:before="0" w:after="0" w:line="257" w:lineRule="auto"/>
        <w:jc w:val="center"/>
      </w:pPr>
      <w:r w:rsidRPr="00C66C24">
        <w:rPr>
          <w:noProof/>
        </w:rPr>
        <w:drawing>
          <wp:inline distT="0" distB="0" distL="0" distR="0" wp14:anchorId="7E7B997E" wp14:editId="6FD7804E">
            <wp:extent cx="4352290" cy="381632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9645" t="3614"/>
                    <a:stretch/>
                  </pic:blipFill>
                  <pic:spPr bwMode="auto">
                    <a:xfrm>
                      <a:off x="0" y="0"/>
                      <a:ext cx="4352892" cy="3816857"/>
                    </a:xfrm>
                    <a:prstGeom prst="rect">
                      <a:avLst/>
                    </a:prstGeom>
                    <a:noFill/>
                    <a:ln>
                      <a:noFill/>
                    </a:ln>
                    <a:extLst>
                      <a:ext uri="{53640926-AAD7-44D8-BBD7-CCE9431645EC}">
                        <a14:shadowObscured xmlns:a14="http://schemas.microsoft.com/office/drawing/2010/main"/>
                      </a:ext>
                    </a:extLst>
                  </pic:spPr>
                </pic:pic>
              </a:graphicData>
            </a:graphic>
          </wp:inline>
        </w:drawing>
      </w:r>
    </w:p>
    <w:p w14:paraId="45E83477" w14:textId="5DED94C2" w:rsidR="009C0992" w:rsidRPr="00C66C24" w:rsidRDefault="009C0992" w:rsidP="008C6A9C">
      <w:pPr>
        <w:pStyle w:val="Caption"/>
        <w:spacing w:after="0" w:line="257" w:lineRule="auto"/>
        <w:jc w:val="center"/>
        <w:rPr>
          <w:rFonts w:ascii="Calibri" w:eastAsia="Calibri" w:hAnsi="Calibri" w:cs="Calibri"/>
          <w:color w:val="000000" w:themeColor="text1"/>
          <w:sz w:val="20"/>
          <w:szCs w:val="20"/>
        </w:rPr>
      </w:pPr>
      <w:bookmarkStart w:id="52" w:name="_Ref156819408"/>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1</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5</w:t>
      </w:r>
      <w:r w:rsidR="00A81F61" w:rsidRPr="00C66C24">
        <w:rPr>
          <w:sz w:val="20"/>
          <w:szCs w:val="20"/>
        </w:rPr>
        <w:fldChar w:fldCharType="end"/>
      </w:r>
      <w:bookmarkEnd w:id="52"/>
      <w:r w:rsidRPr="00C66C24">
        <w:rPr>
          <w:sz w:val="20"/>
          <w:szCs w:val="20"/>
        </w:rPr>
        <w:t xml:space="preserve"> Total EU size, gross tonnage and engine power of fishing vessel fleet per EU Member State (July 2021).</w:t>
      </w:r>
    </w:p>
    <w:p w14:paraId="61BD973A" w14:textId="09E4E83A" w:rsidR="009A49CB" w:rsidRPr="00735FAA" w:rsidRDefault="00573530" w:rsidP="008C6A9C">
      <w:pPr>
        <w:spacing w:before="0" w:after="0" w:line="257" w:lineRule="auto"/>
        <w:jc w:val="center"/>
        <w:rPr>
          <w:rFonts w:ascii="Calibri" w:eastAsia="Calibri" w:hAnsi="Calibri" w:cs="Calibri"/>
          <w:color w:val="000000" w:themeColor="text1"/>
          <w:sz w:val="20"/>
          <w:szCs w:val="20"/>
        </w:rPr>
        <w:sectPr w:rsidR="009A49CB" w:rsidRPr="00735FAA" w:rsidSect="00152588">
          <w:headerReference w:type="even" r:id="rId16"/>
          <w:headerReference w:type="default" r:id="rId17"/>
          <w:footerReference w:type="default" r:id="rId18"/>
          <w:headerReference w:type="first" r:id="rId19"/>
          <w:footerReference w:type="first" r:id="rId20"/>
          <w:pgSz w:w="11906" w:h="16838"/>
          <w:pgMar w:top="1417" w:right="1701" w:bottom="1417" w:left="1701" w:header="708" w:footer="850" w:gutter="0"/>
          <w:cols w:space="708"/>
          <w:titlePg/>
          <w:docGrid w:linePitch="360"/>
        </w:sectPr>
      </w:pPr>
      <w:r w:rsidRPr="00735FAA">
        <w:rPr>
          <w:rFonts w:ascii="Calibri" w:eastAsia="Calibri" w:hAnsi="Calibri" w:cs="Calibri"/>
          <w:color w:val="000000" w:themeColor="text1"/>
          <w:sz w:val="20"/>
          <w:szCs w:val="20"/>
        </w:rPr>
        <w:t xml:space="preserve">Source: </w:t>
      </w:r>
      <w:r w:rsidR="00C754D7" w:rsidRPr="00735FAA">
        <w:rPr>
          <w:rFonts w:ascii="Calibri" w:eastAsia="Calibri" w:hAnsi="Calibri" w:cs="Calibri"/>
          <w:color w:val="000000" w:themeColor="text1"/>
          <w:sz w:val="20"/>
          <w:szCs w:val="20"/>
        </w:rPr>
        <w:t>EU Fleet Register, DG MARE</w:t>
      </w:r>
      <w:r w:rsidR="00830322" w:rsidRPr="00735FAA">
        <w:rPr>
          <w:rFonts w:ascii="Calibri" w:eastAsia="Calibri" w:hAnsi="Calibri" w:cs="Calibri"/>
          <w:color w:val="000000" w:themeColor="text1"/>
          <w:sz w:val="20"/>
          <w:szCs w:val="20"/>
        </w:rPr>
        <w:t>.</w:t>
      </w:r>
    </w:p>
    <w:p w14:paraId="71AE4458" w14:textId="040BA15D" w:rsidR="0017279A" w:rsidRPr="00C66C24" w:rsidRDefault="7D1D9320" w:rsidP="008C6A9C">
      <w:pPr>
        <w:pStyle w:val="Heading1"/>
        <w:spacing w:line="257" w:lineRule="auto"/>
      </w:pPr>
      <w:bookmarkStart w:id="53" w:name="_Toc156316323"/>
      <w:bookmarkStart w:id="54" w:name="_Toc156316476"/>
      <w:bookmarkStart w:id="55" w:name="_Toc156316324"/>
      <w:bookmarkStart w:id="56" w:name="_Ref157757435"/>
      <w:bookmarkStart w:id="57" w:name="_Toc157762064"/>
      <w:bookmarkEnd w:id="53"/>
      <w:bookmarkEnd w:id="54"/>
      <w:r w:rsidRPr="00C66C24">
        <w:t>T</w:t>
      </w:r>
      <w:r w:rsidR="00C15C35" w:rsidRPr="00C66C24">
        <w:t>r</w:t>
      </w:r>
      <w:r w:rsidR="0071778E" w:rsidRPr="00C66C24">
        <w:t>ends</w:t>
      </w:r>
      <w:r w:rsidR="703DB51A" w:rsidRPr="00C66C24">
        <w:t>,</w:t>
      </w:r>
      <w:r w:rsidR="0071778E" w:rsidRPr="00C66C24" w:rsidDel="0071778E">
        <w:t xml:space="preserve"> </w:t>
      </w:r>
      <w:r w:rsidR="0071778E" w:rsidRPr="00C66C24">
        <w:t>status</w:t>
      </w:r>
      <w:r w:rsidR="40E9A444" w:rsidRPr="00C66C24">
        <w:t xml:space="preserve"> and prospects</w:t>
      </w:r>
      <w:bookmarkEnd w:id="55"/>
      <w:bookmarkEnd w:id="56"/>
      <w:bookmarkEnd w:id="57"/>
    </w:p>
    <w:p w14:paraId="16DAA2EC" w14:textId="68120704" w:rsidR="00457BA2" w:rsidRPr="00C66C24" w:rsidRDefault="007F167E" w:rsidP="008C6A9C">
      <w:pPr>
        <w:spacing w:line="257" w:lineRule="auto"/>
        <w:rPr>
          <w:rFonts w:cstheme="minorBidi"/>
        </w:rPr>
      </w:pPr>
      <w:r w:rsidRPr="00C66C24">
        <w:rPr>
          <w:rFonts w:cstheme="minorBidi"/>
        </w:rPr>
        <w:t>In this chapter</w:t>
      </w:r>
      <w:r w:rsidR="00457BA2" w:rsidRPr="00C66C24">
        <w:rPr>
          <w:rFonts w:cstheme="minorBidi"/>
        </w:rPr>
        <w:t>, the state of play in relation to the various environmental impacts of shipping is provide</w:t>
      </w:r>
      <w:r w:rsidR="00454E7D" w:rsidRPr="00C66C24">
        <w:rPr>
          <w:rFonts w:cstheme="minorBidi"/>
        </w:rPr>
        <w:t xml:space="preserve">d, together with an analysis of </w:t>
      </w:r>
      <w:r w:rsidR="00457BA2" w:rsidRPr="00C66C24">
        <w:rPr>
          <w:rFonts w:cstheme="minorBidi"/>
        </w:rPr>
        <w:t>the trends, status and certain future prospects</w:t>
      </w:r>
      <w:r w:rsidR="00454E7D" w:rsidRPr="00C66C24">
        <w:rPr>
          <w:rFonts w:cstheme="minorBidi"/>
        </w:rPr>
        <w:t xml:space="preserve">. This </w:t>
      </w:r>
      <w:r w:rsidR="00705E10" w:rsidRPr="00C66C24">
        <w:rPr>
          <w:rFonts w:cstheme="minorBidi"/>
        </w:rPr>
        <w:t xml:space="preserve">builds upon the indicators developed in the first </w:t>
      </w:r>
      <w:r w:rsidR="00803D23" w:rsidRPr="00C66C24">
        <w:rPr>
          <w:rFonts w:cstheme="minorBidi"/>
        </w:rPr>
        <w:t>edition</w:t>
      </w:r>
      <w:r w:rsidR="00705E10" w:rsidRPr="00C66C24">
        <w:rPr>
          <w:rFonts w:cstheme="minorBidi"/>
        </w:rPr>
        <w:t xml:space="preserve"> of EMTER, release</w:t>
      </w:r>
      <w:r w:rsidR="00803D23" w:rsidRPr="00C66C24">
        <w:rPr>
          <w:rFonts w:cstheme="minorBidi"/>
        </w:rPr>
        <w:t>d</w:t>
      </w:r>
      <w:r w:rsidR="00705E10" w:rsidRPr="00C66C24">
        <w:rPr>
          <w:rFonts w:cstheme="minorBidi"/>
        </w:rPr>
        <w:t xml:space="preserve"> in 2021, </w:t>
      </w:r>
      <w:r w:rsidR="004E1B84">
        <w:rPr>
          <w:rFonts w:cstheme="minorBidi"/>
        </w:rPr>
        <w:t>which are</w:t>
      </w:r>
      <w:r w:rsidR="00A070E2">
        <w:rPr>
          <w:rFonts w:cstheme="minorBidi"/>
        </w:rPr>
        <w:t xml:space="preserve"> </w:t>
      </w:r>
      <w:r w:rsidR="00705E10" w:rsidRPr="00C66C24">
        <w:rPr>
          <w:rFonts w:cstheme="minorBidi"/>
        </w:rPr>
        <w:t>herein expanded and updated</w:t>
      </w:r>
      <w:r w:rsidR="00476CDF" w:rsidRPr="00C66C24">
        <w:rPr>
          <w:rFonts w:cstheme="minorBidi"/>
        </w:rPr>
        <w:t>.</w:t>
      </w:r>
    </w:p>
    <w:p w14:paraId="593EB068" w14:textId="3EE44900" w:rsidR="008B3F47" w:rsidRPr="00C66C24" w:rsidRDefault="008B3F47" w:rsidP="008C6A9C">
      <w:pPr>
        <w:pStyle w:val="Heading2"/>
        <w:spacing w:line="257" w:lineRule="auto"/>
      </w:pPr>
      <w:bookmarkStart w:id="58" w:name="_Toc156316325"/>
      <w:bookmarkStart w:id="59" w:name="_Toc157762065"/>
      <w:r w:rsidRPr="00C66C24">
        <w:t>Emissions to the atmosphere</w:t>
      </w:r>
      <w:bookmarkEnd w:id="58"/>
      <w:bookmarkEnd w:id="59"/>
    </w:p>
    <w:p w14:paraId="1FB85129" w14:textId="0A9E3EB6" w:rsidR="09063130" w:rsidRPr="00C66C24" w:rsidRDefault="00A87E59" w:rsidP="008C6A9C">
      <w:pPr>
        <w:pStyle w:val="Heading3"/>
        <w:spacing w:line="257" w:lineRule="auto"/>
      </w:pPr>
      <w:bookmarkStart w:id="60" w:name="_Toc156316326"/>
      <w:bookmarkStart w:id="61" w:name="_Ref157689777"/>
      <w:bookmarkStart w:id="62" w:name="_Toc157762066"/>
      <w:r w:rsidRPr="00C66C24">
        <w:t>Greenhouse gases</w:t>
      </w:r>
      <w:bookmarkEnd w:id="60"/>
      <w:bookmarkEnd w:id="61"/>
      <w:bookmarkEnd w:id="62"/>
    </w:p>
    <w:p w14:paraId="5A778386" w14:textId="4429A79A" w:rsidR="005E5E17" w:rsidRPr="00C66C24" w:rsidRDefault="005E5E17" w:rsidP="00E57916">
      <w:pPr>
        <w:spacing w:before="0" w:after="0" w:line="257" w:lineRule="auto"/>
        <w:rPr>
          <w:rFonts w:ascii="Calibri" w:eastAsia="Calibri" w:hAnsi="Calibri" w:cs="Calibri"/>
          <w:color w:val="000000" w:themeColor="text1"/>
          <w:szCs w:val="22"/>
        </w:rPr>
      </w:pPr>
      <w:bookmarkStart w:id="63" w:name="_Hlk157179792"/>
      <w:r w:rsidRPr="00C66C24">
        <w:rPr>
          <w:rFonts w:ascii="Calibri" w:eastAsia="Calibri" w:hAnsi="Calibri" w:cs="Calibri"/>
          <w:color w:val="000000" w:themeColor="text1"/>
        </w:rPr>
        <w:t xml:space="preserve">Data reported under the </w:t>
      </w:r>
      <w:r w:rsidR="00F86906">
        <w:rPr>
          <w:rFonts w:ascii="Calibri" w:eastAsia="Calibri" w:hAnsi="Calibri" w:cs="Calibri"/>
          <w:color w:val="000000" w:themeColor="text1"/>
        </w:rPr>
        <w:t xml:space="preserve">EU </w:t>
      </w:r>
      <w:r w:rsidRPr="00C66C24">
        <w:rPr>
          <w:rFonts w:ascii="Calibri" w:eastAsia="Calibri" w:hAnsi="Calibri" w:cs="Calibri"/>
          <w:color w:val="000000" w:themeColor="text1"/>
        </w:rPr>
        <w:t xml:space="preserve">Monitoring Reporting Verification (MRV) </w:t>
      </w:r>
      <w:r w:rsidR="00D8525A">
        <w:rPr>
          <w:rFonts w:ascii="Calibri" w:eastAsia="Calibri" w:hAnsi="Calibri" w:cs="Calibri"/>
          <w:color w:val="000000" w:themeColor="text1"/>
        </w:rPr>
        <w:t xml:space="preserve">of maritime transport emission </w:t>
      </w:r>
      <w:r w:rsidRPr="00C66C24">
        <w:rPr>
          <w:rFonts w:ascii="Calibri" w:eastAsia="Calibri" w:hAnsi="Calibri" w:cs="Calibri"/>
          <w:color w:val="000000" w:themeColor="text1"/>
        </w:rPr>
        <w:t>system shows that for all in scope voyages and activities for the reporting year 2022, at the moment of data extraction, the sector has emitted 135.9 million tonnes of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into the atmosphere</w:t>
      </w:r>
      <w:r w:rsidRPr="00C66C24">
        <w:rPr>
          <w:rStyle w:val="FootnoteReference"/>
          <w:rFonts w:ascii="Calibri" w:eastAsia="Calibri" w:hAnsi="Calibri" w:cs="Calibri"/>
          <w:color w:val="000000" w:themeColor="text1"/>
        </w:rPr>
        <w:footnoteReference w:id="4"/>
      </w:r>
      <w:r w:rsidRPr="00C66C24">
        <w:rPr>
          <w:rFonts w:ascii="Calibri" w:eastAsia="Calibri" w:hAnsi="Calibri" w:cs="Calibri"/>
          <w:color w:val="000000" w:themeColor="text1"/>
        </w:rPr>
        <w:t xml:space="preserve">. This value corresponds to </w:t>
      </w:r>
      <w:r w:rsidRPr="00C66C24">
        <w:rPr>
          <w:rFonts w:ascii="Calibri" w:eastAsia="Calibri" w:hAnsi="Calibri" w:cs="Calibri"/>
        </w:rPr>
        <w:t>an increase of 7.14% in comparison with 2021 reported data (126.2 million tonnes)</w:t>
      </w:r>
      <w:r w:rsidRPr="00C66C24">
        <w:rPr>
          <w:rStyle w:val="FootnoteReference"/>
          <w:rFonts w:ascii="Calibri" w:eastAsia="Calibri" w:hAnsi="Calibri" w:cs="Calibri"/>
        </w:rPr>
        <w:footnoteReference w:id="5"/>
      </w:r>
      <w:r w:rsidRPr="00C66C24">
        <w:rPr>
          <w:rFonts w:ascii="Calibri" w:eastAsia="Calibri" w:hAnsi="Calibri" w:cs="Calibri"/>
        </w:rPr>
        <w:t xml:space="preserve">. </w:t>
      </w:r>
      <w:r w:rsidRPr="00C66C24">
        <w:rPr>
          <w:rFonts w:ascii="Calibri" w:eastAsia="Calibri" w:hAnsi="Calibri" w:cs="Calibri"/>
          <w:color w:val="000000" w:themeColor="text1"/>
        </w:rPr>
        <w:t>These emissions originated from a fleet of 11</w:t>
      </w:r>
      <w:r w:rsidR="00A254B7" w:rsidRPr="00C66C24">
        <w:rPr>
          <w:rFonts w:ascii="Calibri" w:eastAsia="Calibri" w:hAnsi="Calibri" w:cs="Calibri"/>
          <w:color w:val="000000" w:themeColor="text1"/>
        </w:rPr>
        <w:t>,</w:t>
      </w:r>
      <w:r w:rsidRPr="00C66C24">
        <w:rPr>
          <w:rFonts w:ascii="Calibri" w:eastAsia="Calibri" w:hAnsi="Calibri" w:cs="Calibri"/>
          <w:color w:val="000000" w:themeColor="text1"/>
        </w:rPr>
        <w:t>997 ships</w:t>
      </w:r>
      <w:r w:rsidR="002A182F" w:rsidRPr="00C66C24">
        <w:rPr>
          <w:rFonts w:ascii="Calibri" w:eastAsia="Calibri" w:hAnsi="Calibri" w:cs="Calibri"/>
          <w:color w:val="000000" w:themeColor="text1"/>
        </w:rPr>
        <w:t xml:space="preserve"> </w:t>
      </w:r>
      <w:r w:rsidR="002A182F"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{"citationID":"agljvfbhf9","properties":{"formattedCitation":"(EMSA, 2018)","plainCitation":"(EMSA, 2018)","noteIndex":0},"citationItems":[{"id":35280,"uris":["http://zotero.org/groups/122386/items/GF5TYMQG"],"itemData":{"id":35280,"type":"webpage","container-title":"mrv.emsa","title":"EMSA/THETIS-MRV - CO2 emission report","URL":"https://mrv.emsa.europa.eu/#public/ eumrv).","author":[{"literal":"EMSA"}],"issued":{"date-parts":[["2018"]]}}}],"schema":"https://github.com/citation-style-language/schema/raw/master/csl-citation.json"} </w:instrText>
      </w:r>
      <w:r w:rsidR="002A182F" w:rsidRPr="00C66C24">
        <w:rPr>
          <w:rFonts w:ascii="Calibri" w:eastAsia="Calibri" w:hAnsi="Calibri" w:cs="Calibri"/>
          <w:color w:val="000000" w:themeColor="text1"/>
        </w:rPr>
        <w:fldChar w:fldCharType="separate"/>
      </w:r>
      <w:r w:rsidR="001855E3" w:rsidRPr="00C66C24">
        <w:rPr>
          <w:rFonts w:ascii="Calibri" w:hAnsi="Calibri" w:cs="Calibri"/>
        </w:rPr>
        <w:t>(EMSA, 2018)</w:t>
      </w:r>
      <w:r w:rsidR="002A182F"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MRV monitoring covers around 55% of the ships calling to EEA ports, which represents 90% of all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of the fleet</w:t>
      </w:r>
      <w:r w:rsidRPr="00C66C24">
        <w:rPr>
          <w:rStyle w:val="FootnoteReference"/>
        </w:rPr>
        <w:footnoteReference w:id="6"/>
      </w:r>
      <w:r w:rsidRPr="00C66C24">
        <w:rPr>
          <w:rFonts w:ascii="Calibri" w:eastAsia="Calibri" w:hAnsi="Calibri" w:cs="Calibri"/>
          <w:color w:val="000000" w:themeColor="text1"/>
        </w:rPr>
        <w:t xml:space="preserve"> in tons of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equivalent </w:t>
      </w:r>
      <w:r w:rsidRPr="00C66C24">
        <w:rPr>
          <w:rFonts w:ascii="Calibri" w:eastAsia="Calibri" w:hAnsi="Calibri" w:cs="Calibri"/>
          <w:color w:val="000000" w:themeColor="text1"/>
          <w:szCs w:val="22"/>
        </w:rPr>
        <w:fldChar w:fldCharType="begin"/>
      </w:r>
      <w:r w:rsidR="001855E3" w:rsidRPr="00C66C24">
        <w:rPr>
          <w:rFonts w:ascii="Calibri" w:eastAsia="Calibri" w:hAnsi="Calibri" w:cs="Calibri"/>
          <w:color w:val="000000" w:themeColor="text1"/>
          <w:szCs w:val="22"/>
        </w:rPr>
        <w:instrText xml:space="preserve"> ADDIN ZOTERO_ITEM CSL_CITATION {"citationID":"h5NO4FsW","properties":{"formattedCitation":"(EC, 2023a)","plainCitation":"(EC, 2023a)","dontUpdate":true,"noteIndex":0},"citationItems":[{"id":51668,"uris":["http://zotero.org/groups/122386/items/SS6C58UT"],"itemData":{"id":51668,"type":"document","title":"Fourth Annual Report from the European Commission on CO2 Emissions from  Maritime Transport (period 2018-2021)","URL":"https://climate.ec.europa.eu/system/files/2023-03/swd_2023_54_en.pdf","author":[{"family":"EC","given":""}],"accessed":{"date-parts":[["2023",10,11]]},"issued":{"date-parts":[["2023"]]}}}],"schema":"https://github.com/citation-style-language/schema/raw/master/csl-citation.json"} </w:instrText>
      </w:r>
      <w:r w:rsidRPr="00C66C24">
        <w:rPr>
          <w:rFonts w:ascii="Calibri" w:eastAsia="Calibri" w:hAnsi="Calibri" w:cs="Calibri"/>
          <w:color w:val="000000" w:themeColor="text1"/>
          <w:szCs w:val="22"/>
        </w:rPr>
        <w:fldChar w:fldCharType="separate"/>
      </w:r>
      <w:r w:rsidRPr="00C66C24">
        <w:rPr>
          <w:rFonts w:ascii="Calibri" w:hAnsi="Calibri" w:cs="Calibri"/>
          <w:szCs w:val="22"/>
        </w:rPr>
        <w:t xml:space="preserve">(EC, </w:t>
      </w:r>
      <w:r w:rsidR="008D60FA">
        <w:rPr>
          <w:rFonts w:ascii="Calibri" w:hAnsi="Calibri" w:cs="Calibri"/>
          <w:szCs w:val="22"/>
        </w:rPr>
        <w:t>2023c</w:t>
      </w:r>
      <w:r w:rsidRPr="00C66C24">
        <w:rPr>
          <w:rFonts w:ascii="Calibri" w:hAnsi="Calibri" w:cs="Calibri"/>
          <w:szCs w:val="22"/>
        </w:rPr>
        <w:t>)</w:t>
      </w:r>
      <w:r w:rsidRPr="00C66C24">
        <w:rPr>
          <w:rFonts w:ascii="Calibri" w:eastAsia="Calibri" w:hAnsi="Calibri" w:cs="Calibri"/>
          <w:color w:val="000000" w:themeColor="text1"/>
          <w:szCs w:val="22"/>
        </w:rPr>
        <w:fldChar w:fldCharType="end"/>
      </w:r>
      <w:r w:rsidRPr="00C66C24">
        <w:rPr>
          <w:rFonts w:ascii="Calibri" w:eastAsia="Calibri" w:hAnsi="Calibri" w:cs="Calibri"/>
          <w:color w:val="000000" w:themeColor="text1"/>
          <w:szCs w:val="22"/>
        </w:rPr>
        <w:t xml:space="preserve">. </w:t>
      </w:r>
    </w:p>
    <w:p w14:paraId="35FD8751" w14:textId="0BF2FD94" w:rsidR="005E5E17" w:rsidRPr="00C66C24" w:rsidRDefault="005E5E17" w:rsidP="00E57916">
      <w:pPr>
        <w:spacing w:before="0" w:after="0" w:line="257" w:lineRule="auto"/>
      </w:pPr>
      <w:r w:rsidRPr="00C66C24">
        <w:rPr>
          <w:rFonts w:ascii="Calibri" w:eastAsia="Calibri" w:hAnsi="Calibri" w:cs="Calibri"/>
          <w:color w:val="000000" w:themeColor="text1"/>
          <w:szCs w:val="22"/>
        </w:rPr>
        <w:t xml:space="preserve">By analysing MRV data from 2021 (see </w:t>
      </w:r>
      <w:r w:rsidR="00F8749B" w:rsidRPr="00C66C24">
        <w:rPr>
          <w:szCs w:val="22"/>
        </w:rPr>
        <w:fldChar w:fldCharType="begin"/>
      </w:r>
      <w:r w:rsidR="00F8749B" w:rsidRPr="00C66C24">
        <w:rPr>
          <w:rFonts w:ascii="Calibri" w:eastAsia="Calibri" w:hAnsi="Calibri" w:cs="Calibri"/>
          <w:color w:val="000000" w:themeColor="text1"/>
          <w:szCs w:val="22"/>
        </w:rPr>
        <w:instrText xml:space="preserve"> REF _Ref151110566 \h </w:instrText>
      </w:r>
      <w:r w:rsidR="00471B74" w:rsidRPr="00C66C24">
        <w:rPr>
          <w:szCs w:val="22"/>
        </w:rPr>
        <w:instrText xml:space="preserve"> \* MERGEFORMAT </w:instrText>
      </w:r>
      <w:r w:rsidR="00F8749B" w:rsidRPr="00C66C24">
        <w:rPr>
          <w:szCs w:val="22"/>
        </w:rPr>
      </w:r>
      <w:r w:rsidR="00F8749B" w:rsidRPr="00C66C24">
        <w:rPr>
          <w:szCs w:val="22"/>
        </w:rPr>
        <w:fldChar w:fldCharType="separate"/>
      </w:r>
      <w:r w:rsidR="00560403" w:rsidRPr="00C66C24" w:rsidDel="00AE7E1A">
        <w:rPr>
          <w:szCs w:val="22"/>
        </w:rPr>
        <w:t xml:space="preserve">Figure </w:t>
      </w:r>
      <w:r w:rsidR="00471007" w:rsidRPr="00C66C24">
        <w:rPr>
          <w:szCs w:val="22"/>
        </w:rPr>
        <w:t>2</w:t>
      </w:r>
      <w:r w:rsidR="00560403" w:rsidRPr="00C66C24" w:rsidDel="00AE7E1A">
        <w:rPr>
          <w:szCs w:val="22"/>
        </w:rPr>
        <w:t>.1</w:t>
      </w:r>
      <w:r w:rsidR="00F8749B" w:rsidRPr="00C66C24">
        <w:rPr>
          <w:szCs w:val="22"/>
        </w:rPr>
        <w:fldChar w:fldCharType="end"/>
      </w:r>
      <w:r w:rsidRPr="00C66C24">
        <w:rPr>
          <w:rFonts w:ascii="Calibri" w:eastAsia="Calibri" w:hAnsi="Calibri" w:cs="Calibri"/>
          <w:color w:val="000000" w:themeColor="text1"/>
          <w:szCs w:val="22"/>
        </w:rPr>
        <w:t>), it is possible to note that of the total emissions of CO</w:t>
      </w:r>
      <w:r w:rsidRPr="00C66C24">
        <w:rPr>
          <w:rFonts w:ascii="Calibri" w:eastAsia="Calibri" w:hAnsi="Calibri" w:cs="Calibri"/>
          <w:color w:val="000000" w:themeColor="text1"/>
          <w:szCs w:val="22"/>
          <w:vertAlign w:val="subscript"/>
        </w:rPr>
        <w:t>2</w:t>
      </w:r>
      <w:r w:rsidRPr="00C66C24">
        <w:rPr>
          <w:rFonts w:ascii="Calibri" w:eastAsia="Calibri" w:hAnsi="Calibri" w:cs="Calibri"/>
          <w:color w:val="000000" w:themeColor="text1"/>
          <w:szCs w:val="22"/>
        </w:rPr>
        <w:t>, voyages towards ports in the European</w:t>
      </w:r>
      <w:r w:rsidRPr="00C66C24">
        <w:rPr>
          <w:rFonts w:ascii="Calibri" w:eastAsia="Calibri" w:hAnsi="Calibri" w:cs="Calibri"/>
          <w:color w:val="000000" w:themeColor="text1"/>
        </w:rPr>
        <w:t xml:space="preserve"> Economic Area (EEA) contribute</w:t>
      </w:r>
      <w:r w:rsidR="00A254B7" w:rsidRPr="00C66C24">
        <w:rPr>
          <w:rFonts w:ascii="Calibri" w:eastAsia="Calibri" w:hAnsi="Calibri" w:cs="Calibri"/>
          <w:color w:val="000000" w:themeColor="text1"/>
        </w:rPr>
        <w:t>s</w:t>
      </w:r>
      <w:r w:rsidRPr="00C66C24">
        <w:rPr>
          <w:rFonts w:ascii="Calibri" w:eastAsia="Calibri" w:hAnsi="Calibri" w:cs="Calibri"/>
          <w:color w:val="000000" w:themeColor="text1"/>
        </w:rPr>
        <w:t xml:space="preserve"> 34%, while voyages departing from EEA ports </w:t>
      </w:r>
      <w:r w:rsidR="00A254B7" w:rsidRPr="00C66C24">
        <w:rPr>
          <w:rFonts w:ascii="Calibri" w:eastAsia="Calibri" w:hAnsi="Calibri" w:cs="Calibri"/>
          <w:color w:val="000000" w:themeColor="text1"/>
        </w:rPr>
        <w:t xml:space="preserve">represent </w:t>
      </w:r>
      <w:r w:rsidRPr="00C66C24">
        <w:rPr>
          <w:rFonts w:ascii="Calibri" w:eastAsia="Calibri" w:hAnsi="Calibri" w:cs="Calibri"/>
          <w:color w:val="000000" w:themeColor="text1"/>
        </w:rPr>
        <w:t xml:space="preserve">32%. </w:t>
      </w:r>
      <w:r w:rsidR="007C0792" w:rsidRPr="00C66C24">
        <w:rPr>
          <w:rFonts w:ascii="Calibri" w:eastAsia="Calibri" w:hAnsi="Calibri" w:cs="Calibri"/>
          <w:color w:val="000000" w:themeColor="text1"/>
        </w:rPr>
        <w:t>v</w:t>
      </w:r>
      <w:r w:rsidRPr="00C66C24">
        <w:rPr>
          <w:rFonts w:ascii="Calibri" w:eastAsia="Calibri" w:hAnsi="Calibri" w:cs="Calibri"/>
          <w:color w:val="000000" w:themeColor="text1"/>
        </w:rPr>
        <w:t xml:space="preserve">oyages between EEA ports represent 26%, while around 6% of the emissions </w:t>
      </w:r>
      <w:r w:rsidR="00AA6694" w:rsidRPr="00C66C24">
        <w:rPr>
          <w:rFonts w:ascii="Calibri" w:eastAsia="Calibri" w:hAnsi="Calibri" w:cs="Calibri"/>
          <w:color w:val="000000" w:themeColor="text1"/>
        </w:rPr>
        <w:t>comes</w:t>
      </w:r>
      <w:r w:rsidRPr="00C66C24">
        <w:rPr>
          <w:rFonts w:ascii="Calibri" w:eastAsia="Calibri" w:hAnsi="Calibri" w:cs="Calibri"/>
          <w:color w:val="000000" w:themeColor="text1"/>
        </w:rPr>
        <w:t xml:space="preserve"> from ships at berth</w:t>
      </w:r>
      <w:r w:rsidR="00DC0D8C" w:rsidRPr="00C66C24">
        <w:rPr>
          <w:rFonts w:ascii="Calibri" w:eastAsia="Calibri" w:hAnsi="Calibri" w:cs="Calibri"/>
          <w:color w:val="000000" w:themeColor="text1"/>
        </w:rPr>
        <w:t xml:space="preserve"> </w:t>
      </w:r>
      <w:r w:rsidR="00966645"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{"citationID":"aelfe20k7a","properties":{"formattedCitation":"(EC, 2023b)","plainCitation":"(EC, 2023b)","noteIndex":0},"citationItems":[{"id":51668,"uris":["http://zotero.org/groups/122386/items/SS6C58UT"],"itemData":{"id":51668,"type":"document","title":"Fourth Annual Report from the European Commission on CO2 Emissions from  Maritime Transport (period 2018-2021)","URL":"https://climate.ec.europa.eu/system/files/2023-03/swd_2023_54_en.pdf","author":[{"family":"EC","given":""}],"accessed":{"date-parts":[["2023",10,11]]},"issued":{"date-parts":[["2023"]]}}}],"schema":"https://github.com/citation-style-language/schema/raw/master/csl-citation.json"} </w:instrText>
      </w:r>
      <w:r w:rsidR="00966645" w:rsidRPr="00C66C24">
        <w:rPr>
          <w:rFonts w:ascii="Calibri" w:eastAsia="Calibri" w:hAnsi="Calibri" w:cs="Calibri"/>
          <w:color w:val="000000" w:themeColor="text1"/>
        </w:rPr>
        <w:fldChar w:fldCharType="separate"/>
      </w:r>
      <w:r w:rsidR="001855E3" w:rsidRPr="00C66C24">
        <w:rPr>
          <w:rFonts w:ascii="Calibri" w:hAnsi="Calibri" w:cs="Calibri"/>
        </w:rPr>
        <w:t xml:space="preserve">(EC, </w:t>
      </w:r>
      <w:r w:rsidR="008D60FA">
        <w:rPr>
          <w:rFonts w:ascii="Calibri" w:hAnsi="Calibri" w:cs="Calibri"/>
        </w:rPr>
        <w:t>2023c</w:t>
      </w:r>
      <w:r w:rsidR="001855E3" w:rsidRPr="00C66C24">
        <w:rPr>
          <w:rFonts w:ascii="Calibri" w:hAnsi="Calibri" w:cs="Calibri"/>
        </w:rPr>
        <w:t>)</w:t>
      </w:r>
      <w:r w:rsidR="00966645"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p>
    <w:bookmarkEnd w:id="63"/>
    <w:p w14:paraId="5A3D0DE2" w14:textId="77777777" w:rsidR="005E5E17" w:rsidRPr="00C66C24" w:rsidRDefault="005E5E17" w:rsidP="008C6A9C">
      <w:pPr>
        <w:keepNext/>
        <w:spacing w:before="0" w:after="0" w:line="257" w:lineRule="auto"/>
        <w:jc w:val="center"/>
      </w:pPr>
      <w:r w:rsidRPr="00C66C24">
        <w:rPr>
          <w:rFonts w:ascii="Calibri" w:hAnsi="Calibri"/>
          <w:b/>
          <w:noProof/>
          <w:color w:val="44546A" w:themeColor="text2"/>
        </w:rPr>
        <w:drawing>
          <wp:inline distT="0" distB="0" distL="0" distR="0" wp14:anchorId="42B9CFB0" wp14:editId="61E95A10">
            <wp:extent cx="4734000" cy="3322800"/>
            <wp:effectExtent l="0" t="0" r="0" b="0"/>
            <wp:docPr id="885398474" name="Picture 885398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34000" cy="3322800"/>
                    </a:xfrm>
                    <a:prstGeom prst="rect">
                      <a:avLst/>
                    </a:prstGeom>
                    <a:noFill/>
                    <a:ln>
                      <a:noFill/>
                    </a:ln>
                  </pic:spPr>
                </pic:pic>
              </a:graphicData>
            </a:graphic>
          </wp:inline>
        </w:drawing>
      </w:r>
    </w:p>
    <w:p w14:paraId="734A80AC" w14:textId="7B7424BC" w:rsidR="005E5E17" w:rsidRPr="00C66C24" w:rsidRDefault="005E5E17" w:rsidP="008C6A9C">
      <w:pPr>
        <w:pStyle w:val="Caption"/>
        <w:spacing w:after="0" w:line="257" w:lineRule="auto"/>
        <w:jc w:val="center"/>
        <w:rPr>
          <w:sz w:val="20"/>
          <w:szCs w:val="20"/>
        </w:rPr>
      </w:pPr>
      <w:bookmarkStart w:id="64" w:name="_Ref151110566"/>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w:t>
      </w:r>
      <w:r w:rsidR="00A81F61" w:rsidRPr="00C66C24">
        <w:rPr>
          <w:sz w:val="20"/>
          <w:szCs w:val="20"/>
        </w:rPr>
        <w:fldChar w:fldCharType="end"/>
      </w:r>
      <w:bookmarkEnd w:id="64"/>
      <w:r w:rsidRPr="00C66C24">
        <w:rPr>
          <w:sz w:val="20"/>
          <w:szCs w:val="20"/>
        </w:rPr>
        <w:t xml:space="preserve"> CO</w:t>
      </w:r>
      <w:r w:rsidRPr="00C66C24">
        <w:rPr>
          <w:sz w:val="20"/>
          <w:szCs w:val="20"/>
          <w:vertAlign w:val="subscript"/>
        </w:rPr>
        <w:t>2</w:t>
      </w:r>
      <w:r w:rsidRPr="00C66C24">
        <w:rPr>
          <w:sz w:val="20"/>
          <w:szCs w:val="20"/>
        </w:rPr>
        <w:t xml:space="preserve"> emissions from the maritime sector (Mt) in 2021 according to data reported under: UNFCCC GHG inventories (left column), MRV regulation (central column), STEAM (right column)</w:t>
      </w:r>
      <w:r w:rsidRPr="00C66C24">
        <w:rPr>
          <w:rStyle w:val="FootnoteReference"/>
        </w:rPr>
        <w:footnoteReference w:id="7"/>
      </w:r>
      <w:r w:rsidRPr="00C66C24">
        <w:rPr>
          <w:sz w:val="20"/>
          <w:szCs w:val="20"/>
        </w:rPr>
        <w:t>.</w:t>
      </w:r>
      <w:r w:rsidRPr="00C66C24">
        <w:rPr>
          <w:rFonts w:cstheme="minorHAnsi"/>
          <w:sz w:val="20"/>
          <w:szCs w:val="20"/>
          <w:shd w:val="clear" w:color="auto" w:fill="FFFFFF"/>
        </w:rPr>
        <w:t xml:space="preserve"> </w:t>
      </w:r>
    </w:p>
    <w:p w14:paraId="0C374411" w14:textId="77777777" w:rsidR="005E5E17" w:rsidRPr="00C66C24" w:rsidRDefault="005E5E17" w:rsidP="008C6A9C">
      <w:pPr>
        <w:spacing w:before="0" w:after="0" w:line="257" w:lineRule="auto"/>
        <w:jc w:val="center"/>
        <w:rPr>
          <w:rFonts w:eastAsia="Calibri" w:cstheme="minorHAnsi"/>
          <w:color w:val="000000" w:themeColor="text1"/>
          <w:sz w:val="20"/>
          <w:szCs w:val="20"/>
        </w:rPr>
      </w:pPr>
      <w:r w:rsidRPr="00C66C24">
        <w:rPr>
          <w:rFonts w:eastAsia="Calibri" w:cstheme="minorHAnsi"/>
          <w:color w:val="000000" w:themeColor="text1"/>
          <w:sz w:val="20"/>
          <w:szCs w:val="20"/>
        </w:rPr>
        <w:t>Source: UNFCCC, MRV, STEAM.</w:t>
      </w:r>
    </w:p>
    <w:p w14:paraId="3F3B0423" w14:textId="77777777" w:rsidR="005E5E17" w:rsidRPr="00C66C24" w:rsidRDefault="005E5E17" w:rsidP="008C6A9C">
      <w:pPr>
        <w:spacing w:line="257" w:lineRule="auto"/>
        <w:rPr>
          <w:rFonts w:ascii="Calibri" w:eastAsia="Calibri" w:hAnsi="Calibri" w:cs="Calibri"/>
          <w:color w:val="000000" w:themeColor="text1"/>
        </w:rPr>
      </w:pPr>
      <w:bookmarkStart w:id="65" w:name="_Hlk157179922"/>
    </w:p>
    <w:tbl>
      <w:tblPr>
        <w:tblW w:w="5000" w:type="pct"/>
        <w:tblLayout w:type="fixed"/>
        <w:tblCellMar>
          <w:top w:w="15" w:type="dxa"/>
          <w:bottom w:w="15" w:type="dxa"/>
        </w:tblCellMar>
        <w:tblLook w:val="04A0" w:firstRow="1" w:lastRow="0" w:firstColumn="1" w:lastColumn="0" w:noHBand="0" w:noVBand="1"/>
      </w:tblPr>
      <w:tblGrid>
        <w:gridCol w:w="416"/>
        <w:gridCol w:w="1276"/>
        <w:gridCol w:w="1843"/>
        <w:gridCol w:w="2409"/>
        <w:gridCol w:w="2540"/>
      </w:tblGrid>
      <w:tr w:rsidR="005E5E17" w:rsidRPr="00C66C24" w14:paraId="2E24A589" w14:textId="77777777" w:rsidTr="00D45759">
        <w:trPr>
          <w:trHeight w:val="300"/>
        </w:trPr>
        <w:tc>
          <w:tcPr>
            <w:tcW w:w="997" w:type="pct"/>
            <w:gridSpan w:val="2"/>
            <w:tcBorders>
              <w:top w:val="single" w:sz="8" w:space="0" w:color="auto"/>
              <w:left w:val="single" w:sz="8" w:space="0" w:color="auto"/>
              <w:bottom w:val="nil"/>
              <w:right w:val="single" w:sz="8" w:space="0" w:color="auto"/>
            </w:tcBorders>
            <w:shd w:val="clear" w:color="000000" w:fill="FFFFFF"/>
            <w:noWrap/>
            <w:vAlign w:val="bottom"/>
            <w:hideMark/>
          </w:tcPr>
          <w:p w14:paraId="561A82E3" w14:textId="77777777" w:rsidR="005E5E17" w:rsidRPr="00C66C24" w:rsidRDefault="005E5E17" w:rsidP="008C6A9C">
            <w:pPr>
              <w:spacing w:line="257" w:lineRule="auto"/>
              <w:rPr>
                <w:b/>
                <w:bCs/>
                <w:sz w:val="18"/>
                <w:szCs w:val="18"/>
              </w:rPr>
            </w:pPr>
            <w:r w:rsidRPr="00C66C24">
              <w:rPr>
                <w:b/>
                <w:bCs/>
                <w:sz w:val="18"/>
                <w:szCs w:val="18"/>
              </w:rPr>
              <w:t> </w:t>
            </w:r>
          </w:p>
          <w:p w14:paraId="521C25F1" w14:textId="77777777" w:rsidR="005E5E17" w:rsidRPr="00C66C24" w:rsidRDefault="005E5E17" w:rsidP="008C6A9C">
            <w:pPr>
              <w:spacing w:line="257" w:lineRule="auto"/>
              <w:rPr>
                <w:b/>
                <w:bCs/>
                <w:sz w:val="18"/>
                <w:szCs w:val="18"/>
              </w:rPr>
            </w:pPr>
            <w:r w:rsidRPr="00C66C24">
              <w:rPr>
                <w:b/>
                <w:bCs/>
                <w:sz w:val="18"/>
                <w:szCs w:val="18"/>
              </w:rPr>
              <w:t> </w:t>
            </w:r>
          </w:p>
        </w:tc>
        <w:tc>
          <w:tcPr>
            <w:tcW w:w="1086"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1CE86279" w14:textId="77777777" w:rsidR="005E5E17" w:rsidRPr="00C66C24" w:rsidRDefault="005E5E17" w:rsidP="008C6A9C">
            <w:pPr>
              <w:spacing w:line="257" w:lineRule="auto"/>
              <w:jc w:val="center"/>
              <w:rPr>
                <w:b/>
                <w:bCs/>
                <w:sz w:val="18"/>
                <w:szCs w:val="18"/>
              </w:rPr>
            </w:pPr>
            <w:r w:rsidRPr="00C66C24">
              <w:rPr>
                <w:b/>
                <w:bCs/>
                <w:sz w:val="18"/>
                <w:szCs w:val="18"/>
              </w:rPr>
              <w:t>MRV</w:t>
            </w:r>
          </w:p>
        </w:tc>
        <w:tc>
          <w:tcPr>
            <w:tcW w:w="1420"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1A168038" w14:textId="77777777" w:rsidR="005E5E17" w:rsidRPr="00C66C24" w:rsidRDefault="005E5E17" w:rsidP="008C6A9C">
            <w:pPr>
              <w:spacing w:line="257" w:lineRule="auto"/>
              <w:jc w:val="center"/>
              <w:rPr>
                <w:b/>
                <w:bCs/>
                <w:sz w:val="18"/>
                <w:szCs w:val="18"/>
              </w:rPr>
            </w:pPr>
            <w:r w:rsidRPr="00C66C24">
              <w:rPr>
                <w:b/>
                <w:bCs/>
                <w:sz w:val="18"/>
                <w:szCs w:val="18"/>
              </w:rPr>
              <w:t>GHG INVENTORIES</w:t>
            </w:r>
          </w:p>
        </w:tc>
        <w:tc>
          <w:tcPr>
            <w:tcW w:w="1497"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6C41AA06" w14:textId="7E9D0063" w:rsidR="005E5E17" w:rsidRPr="00C66C24" w:rsidRDefault="005E5E17" w:rsidP="008C6A9C">
            <w:pPr>
              <w:spacing w:line="257" w:lineRule="auto"/>
              <w:jc w:val="center"/>
              <w:rPr>
                <w:b/>
                <w:bCs/>
                <w:sz w:val="18"/>
                <w:szCs w:val="18"/>
              </w:rPr>
            </w:pPr>
            <w:r w:rsidRPr="00C66C24">
              <w:rPr>
                <w:b/>
                <w:bCs/>
                <w:sz w:val="18"/>
                <w:szCs w:val="18"/>
              </w:rPr>
              <w:t>STEAM</w:t>
            </w:r>
          </w:p>
        </w:tc>
      </w:tr>
      <w:tr w:rsidR="005E5E17" w:rsidRPr="00C66C24" w14:paraId="0C72D6DC" w14:textId="77777777" w:rsidTr="00A02FE8">
        <w:trPr>
          <w:trHeight w:val="1525"/>
        </w:trPr>
        <w:tc>
          <w:tcPr>
            <w:tcW w:w="245" w:type="pct"/>
            <w:vMerge w:val="restart"/>
            <w:tcBorders>
              <w:top w:val="single" w:sz="8" w:space="0" w:color="auto"/>
              <w:left w:val="single" w:sz="8" w:space="0" w:color="auto"/>
              <w:bottom w:val="nil"/>
              <w:right w:val="single" w:sz="8" w:space="0" w:color="auto"/>
            </w:tcBorders>
            <w:shd w:val="clear" w:color="000000" w:fill="FFFFFF"/>
            <w:textDirection w:val="btLr"/>
            <w:vAlign w:val="center"/>
            <w:hideMark/>
          </w:tcPr>
          <w:p w14:paraId="4EEF4E43" w14:textId="77777777" w:rsidR="005E5E17" w:rsidRPr="00C66C24" w:rsidRDefault="005E5E17" w:rsidP="008C6A9C">
            <w:pPr>
              <w:spacing w:line="257" w:lineRule="auto"/>
              <w:jc w:val="center"/>
              <w:rPr>
                <w:b/>
                <w:bCs/>
                <w:sz w:val="18"/>
                <w:szCs w:val="18"/>
              </w:rPr>
            </w:pPr>
            <w:r w:rsidRPr="00C66C24">
              <w:rPr>
                <w:b/>
                <w:bCs/>
                <w:sz w:val="18"/>
                <w:szCs w:val="18"/>
              </w:rPr>
              <w:t>Scope</w:t>
            </w:r>
          </w:p>
        </w:tc>
        <w:tc>
          <w:tcPr>
            <w:tcW w:w="752"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4D9A43D8" w14:textId="77777777" w:rsidR="005E5E17" w:rsidRPr="00C66C24" w:rsidRDefault="005E5E17" w:rsidP="008C6A9C">
            <w:pPr>
              <w:spacing w:line="257" w:lineRule="auto"/>
              <w:rPr>
                <w:b/>
                <w:bCs/>
                <w:sz w:val="18"/>
                <w:szCs w:val="18"/>
              </w:rPr>
            </w:pPr>
            <w:r w:rsidRPr="00C66C24">
              <w:rPr>
                <w:b/>
                <w:bCs/>
                <w:sz w:val="18"/>
                <w:szCs w:val="18"/>
              </w:rPr>
              <w:t>Vessel</w:t>
            </w:r>
          </w:p>
        </w:tc>
        <w:tc>
          <w:tcPr>
            <w:tcW w:w="1086" w:type="pct"/>
            <w:tcBorders>
              <w:top w:val="single" w:sz="8" w:space="0" w:color="auto"/>
              <w:left w:val="single" w:sz="8" w:space="0" w:color="auto"/>
              <w:bottom w:val="dashed" w:sz="4" w:space="0" w:color="auto"/>
              <w:right w:val="dashed" w:sz="4" w:space="0" w:color="auto"/>
            </w:tcBorders>
            <w:shd w:val="clear" w:color="000000" w:fill="FFFFFF"/>
            <w:hideMark/>
          </w:tcPr>
          <w:p w14:paraId="322997B3" w14:textId="77777777" w:rsidR="005E5E17" w:rsidRPr="00C66C24" w:rsidRDefault="005E5E17" w:rsidP="008C6A9C">
            <w:pPr>
              <w:spacing w:line="257" w:lineRule="auto"/>
              <w:jc w:val="left"/>
              <w:rPr>
                <w:sz w:val="18"/>
                <w:szCs w:val="18"/>
              </w:rPr>
            </w:pPr>
            <w:r w:rsidRPr="00C66C24">
              <w:rPr>
                <w:sz w:val="18"/>
                <w:szCs w:val="18"/>
              </w:rPr>
              <w:t>&gt; 5000 GT cargo/passenger ships</w:t>
            </w:r>
            <w:r w:rsidRPr="00C66C24">
              <w:rPr>
                <w:sz w:val="18"/>
                <w:szCs w:val="18"/>
              </w:rPr>
              <w:br/>
            </w:r>
            <w:r w:rsidRPr="00C66C24">
              <w:rPr>
                <w:i/>
                <w:sz w:val="18"/>
                <w:szCs w:val="18"/>
              </w:rPr>
              <w:t>Exceptions applies (military, fishing vessels, …)</w:t>
            </w:r>
          </w:p>
        </w:tc>
        <w:tc>
          <w:tcPr>
            <w:tcW w:w="1420" w:type="pct"/>
            <w:tcBorders>
              <w:top w:val="single" w:sz="8" w:space="0" w:color="auto"/>
              <w:left w:val="nil"/>
              <w:bottom w:val="dashed" w:sz="4" w:space="0" w:color="auto"/>
              <w:right w:val="dashed" w:sz="4" w:space="0" w:color="auto"/>
            </w:tcBorders>
            <w:shd w:val="clear" w:color="000000" w:fill="FFFFFF"/>
            <w:hideMark/>
          </w:tcPr>
          <w:p w14:paraId="00AD8CE4" w14:textId="074839E4" w:rsidR="005E5E17" w:rsidRPr="00C66C24" w:rsidRDefault="00A90102" w:rsidP="008C6A9C">
            <w:pPr>
              <w:spacing w:line="257" w:lineRule="auto"/>
              <w:jc w:val="left"/>
              <w:rPr>
                <w:i/>
                <w:iCs w:val="0"/>
                <w:sz w:val="18"/>
                <w:szCs w:val="18"/>
              </w:rPr>
            </w:pPr>
            <w:r w:rsidRPr="00C66C24">
              <w:rPr>
                <w:i/>
                <w:iCs w:val="0"/>
                <w:sz w:val="18"/>
                <w:szCs w:val="18"/>
              </w:rPr>
              <w:t>A</w:t>
            </w:r>
            <w:r w:rsidR="005E5E17" w:rsidRPr="00C66C24">
              <w:rPr>
                <w:i/>
                <w:iCs w:val="0"/>
                <w:sz w:val="18"/>
                <w:szCs w:val="18"/>
              </w:rPr>
              <w:t>ny waterborne vessel</w:t>
            </w:r>
            <w:r w:rsidR="005E5E17" w:rsidRPr="00C66C24">
              <w:rPr>
                <w:i/>
                <w:iCs w:val="0"/>
                <w:sz w:val="18"/>
                <w:szCs w:val="18"/>
              </w:rPr>
              <w:br/>
              <w:t>includes navigation on lakes and inland waterways</w:t>
            </w:r>
            <w:r w:rsidR="005E5E17" w:rsidRPr="00C66C24">
              <w:rPr>
                <w:i/>
                <w:iCs w:val="0"/>
                <w:sz w:val="18"/>
                <w:szCs w:val="18"/>
              </w:rPr>
              <w:br/>
              <w:t>fishing and military vessels are reported as separate categories</w:t>
            </w:r>
          </w:p>
        </w:tc>
        <w:tc>
          <w:tcPr>
            <w:tcW w:w="1497" w:type="pct"/>
            <w:tcBorders>
              <w:top w:val="single" w:sz="8" w:space="0" w:color="auto"/>
              <w:left w:val="nil"/>
              <w:bottom w:val="dashed" w:sz="4" w:space="0" w:color="auto"/>
              <w:right w:val="single" w:sz="8" w:space="0" w:color="auto"/>
            </w:tcBorders>
            <w:shd w:val="clear" w:color="auto" w:fill="FFFFFF" w:themeFill="background1"/>
            <w:hideMark/>
          </w:tcPr>
          <w:p w14:paraId="1D02B8A8" w14:textId="06305554" w:rsidR="005E5E17" w:rsidRPr="00C66C24" w:rsidRDefault="007060C3" w:rsidP="008C6A9C">
            <w:pPr>
              <w:spacing w:line="257" w:lineRule="auto"/>
              <w:jc w:val="left"/>
              <w:rPr>
                <w:i/>
                <w:iCs w:val="0"/>
                <w:sz w:val="18"/>
                <w:szCs w:val="18"/>
              </w:rPr>
            </w:pPr>
            <w:r w:rsidRPr="00C66C24">
              <w:rPr>
                <w:i/>
                <w:iCs w:val="0"/>
                <w:sz w:val="18"/>
                <w:szCs w:val="18"/>
              </w:rPr>
              <w:t>A</w:t>
            </w:r>
            <w:r w:rsidR="005E5E17" w:rsidRPr="00C66C24">
              <w:rPr>
                <w:i/>
                <w:iCs w:val="0"/>
                <w:sz w:val="18"/>
                <w:szCs w:val="18"/>
              </w:rPr>
              <w:t>ll vessels entering the scope of the AIS system</w:t>
            </w:r>
            <w:r w:rsidR="00407C90" w:rsidRPr="00C66C24">
              <w:rPr>
                <w:i/>
                <w:iCs w:val="0"/>
                <w:sz w:val="18"/>
                <w:szCs w:val="18"/>
              </w:rPr>
              <w:t xml:space="preserve"> regardless </w:t>
            </w:r>
            <w:r w:rsidR="00092A4C" w:rsidRPr="00C66C24">
              <w:rPr>
                <w:i/>
                <w:iCs w:val="0"/>
                <w:sz w:val="18"/>
                <w:szCs w:val="18"/>
              </w:rPr>
              <w:t>of location.</w:t>
            </w:r>
          </w:p>
        </w:tc>
      </w:tr>
      <w:tr w:rsidR="005E5E17" w:rsidRPr="00C66C24" w14:paraId="53096878" w14:textId="77777777" w:rsidTr="00A717F7">
        <w:trPr>
          <w:trHeight w:val="1351"/>
        </w:trPr>
        <w:tc>
          <w:tcPr>
            <w:tcW w:w="245" w:type="pct"/>
            <w:vMerge/>
            <w:tcBorders>
              <w:top w:val="dashed" w:sz="4" w:space="0" w:color="auto"/>
              <w:left w:val="single" w:sz="8" w:space="0" w:color="auto"/>
              <w:bottom w:val="nil"/>
              <w:right w:val="single" w:sz="8" w:space="0" w:color="auto"/>
            </w:tcBorders>
            <w:vAlign w:val="center"/>
            <w:hideMark/>
          </w:tcPr>
          <w:p w14:paraId="2CA95C06" w14:textId="77777777" w:rsidR="005E5E17" w:rsidRPr="00C66C24" w:rsidRDefault="005E5E17" w:rsidP="008C6A9C">
            <w:pPr>
              <w:spacing w:line="257" w:lineRule="auto"/>
              <w:rPr>
                <w:b/>
                <w:bCs/>
                <w:sz w:val="18"/>
                <w:szCs w:val="18"/>
              </w:rPr>
            </w:pPr>
          </w:p>
        </w:tc>
        <w:tc>
          <w:tcPr>
            <w:tcW w:w="752"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783C26CF" w14:textId="77777777" w:rsidR="005E5E17" w:rsidRPr="00C66C24" w:rsidRDefault="005E5E17" w:rsidP="008C6A9C">
            <w:pPr>
              <w:spacing w:line="257" w:lineRule="auto"/>
              <w:rPr>
                <w:b/>
                <w:bCs/>
                <w:sz w:val="18"/>
                <w:szCs w:val="18"/>
              </w:rPr>
            </w:pPr>
            <w:r w:rsidRPr="00C66C24">
              <w:rPr>
                <w:b/>
                <w:bCs/>
                <w:sz w:val="18"/>
                <w:szCs w:val="18"/>
              </w:rPr>
              <w:t>Geographical</w:t>
            </w:r>
          </w:p>
        </w:tc>
        <w:tc>
          <w:tcPr>
            <w:tcW w:w="1086" w:type="pct"/>
            <w:tcBorders>
              <w:top w:val="nil"/>
              <w:left w:val="single" w:sz="8" w:space="0" w:color="auto"/>
              <w:bottom w:val="dashed" w:sz="4" w:space="0" w:color="auto"/>
              <w:right w:val="dashed" w:sz="4" w:space="0" w:color="auto"/>
            </w:tcBorders>
            <w:shd w:val="clear" w:color="000000" w:fill="FFFFFF"/>
            <w:hideMark/>
          </w:tcPr>
          <w:p w14:paraId="36A9C67A" w14:textId="1EC86B45" w:rsidR="005E5E17" w:rsidRPr="00C66C24" w:rsidRDefault="005E5E17" w:rsidP="008C6A9C">
            <w:pPr>
              <w:spacing w:line="257" w:lineRule="auto"/>
              <w:jc w:val="left"/>
              <w:rPr>
                <w:i/>
                <w:iCs w:val="0"/>
                <w:sz w:val="18"/>
                <w:szCs w:val="18"/>
              </w:rPr>
            </w:pPr>
            <w:r w:rsidRPr="00C66C24">
              <w:rPr>
                <w:i/>
                <w:iCs w:val="0"/>
                <w:sz w:val="18"/>
                <w:szCs w:val="18"/>
              </w:rPr>
              <w:t>European Economic Area</w:t>
            </w:r>
            <w:r w:rsidRPr="00C66C24">
              <w:rPr>
                <w:i/>
                <w:iCs w:val="0"/>
                <w:sz w:val="18"/>
                <w:szCs w:val="18"/>
              </w:rPr>
              <w:br/>
              <w:t>EU27 + Iceland, Liechtenstein</w:t>
            </w:r>
            <w:r w:rsidR="002A182F" w:rsidRPr="00C66C24">
              <w:rPr>
                <w:i/>
                <w:iCs w:val="0"/>
                <w:sz w:val="18"/>
                <w:szCs w:val="18"/>
              </w:rPr>
              <w:t>,</w:t>
            </w:r>
            <w:r w:rsidRPr="00C66C24">
              <w:rPr>
                <w:i/>
                <w:iCs w:val="0"/>
                <w:sz w:val="18"/>
                <w:szCs w:val="18"/>
              </w:rPr>
              <w:t xml:space="preserve"> and Norway</w:t>
            </w:r>
          </w:p>
        </w:tc>
        <w:tc>
          <w:tcPr>
            <w:tcW w:w="1420" w:type="pct"/>
            <w:tcBorders>
              <w:top w:val="nil"/>
              <w:left w:val="nil"/>
              <w:bottom w:val="dashed" w:sz="4" w:space="0" w:color="auto"/>
              <w:right w:val="dashed" w:sz="4" w:space="0" w:color="auto"/>
            </w:tcBorders>
            <w:shd w:val="clear" w:color="000000" w:fill="FFFFFF"/>
            <w:hideMark/>
          </w:tcPr>
          <w:p w14:paraId="2A300E83" w14:textId="77777777" w:rsidR="005E5E17" w:rsidRPr="00C66C24" w:rsidRDefault="005E5E17" w:rsidP="008C6A9C">
            <w:pPr>
              <w:spacing w:line="257" w:lineRule="auto"/>
              <w:jc w:val="left"/>
              <w:rPr>
                <w:sz w:val="18"/>
                <w:szCs w:val="18"/>
              </w:rPr>
            </w:pPr>
            <w:r w:rsidRPr="00C66C24">
              <w:rPr>
                <w:sz w:val="18"/>
                <w:szCs w:val="18"/>
              </w:rPr>
              <w:t>EU27</w:t>
            </w:r>
            <w:r w:rsidRPr="00C66C24">
              <w:rPr>
                <w:i/>
                <w:sz w:val="18"/>
                <w:szCs w:val="18"/>
              </w:rPr>
              <w:br/>
              <w:t>Difference between EU inventory and UNFCCC inventory due to differences in territory accounted for Denmark and France</w:t>
            </w:r>
          </w:p>
        </w:tc>
        <w:tc>
          <w:tcPr>
            <w:tcW w:w="1497" w:type="pct"/>
            <w:tcBorders>
              <w:top w:val="nil"/>
              <w:left w:val="nil"/>
              <w:bottom w:val="dashed" w:sz="4" w:space="0" w:color="auto"/>
              <w:right w:val="single" w:sz="8" w:space="0" w:color="auto"/>
            </w:tcBorders>
            <w:shd w:val="clear" w:color="auto" w:fill="FFFFFF" w:themeFill="background1"/>
            <w:hideMark/>
          </w:tcPr>
          <w:p w14:paraId="10A9896A" w14:textId="1B3CF847" w:rsidR="005E5E17" w:rsidRPr="00C66C24" w:rsidRDefault="0056075A" w:rsidP="008C6A9C">
            <w:pPr>
              <w:spacing w:line="257" w:lineRule="auto"/>
              <w:jc w:val="left"/>
              <w:rPr>
                <w:i/>
                <w:iCs w:val="0"/>
                <w:sz w:val="18"/>
                <w:szCs w:val="18"/>
              </w:rPr>
            </w:pPr>
            <w:r w:rsidRPr="00C66C24">
              <w:rPr>
                <w:i/>
                <w:iCs w:val="0"/>
                <w:sz w:val="18"/>
                <w:szCs w:val="18"/>
              </w:rPr>
              <w:t>Global</w:t>
            </w:r>
          </w:p>
        </w:tc>
      </w:tr>
      <w:tr w:rsidR="005E5E17" w:rsidRPr="00C66C24" w14:paraId="012CC6A9" w14:textId="77777777" w:rsidTr="00A717F7">
        <w:trPr>
          <w:trHeight w:val="300"/>
        </w:trPr>
        <w:tc>
          <w:tcPr>
            <w:tcW w:w="245" w:type="pct"/>
            <w:vMerge/>
            <w:tcBorders>
              <w:top w:val="dashed" w:sz="4" w:space="0" w:color="auto"/>
              <w:left w:val="single" w:sz="8" w:space="0" w:color="auto"/>
              <w:bottom w:val="nil"/>
              <w:right w:val="single" w:sz="8" w:space="0" w:color="auto"/>
            </w:tcBorders>
            <w:vAlign w:val="center"/>
            <w:hideMark/>
          </w:tcPr>
          <w:p w14:paraId="2AF9AFF1" w14:textId="77777777" w:rsidR="005E5E17" w:rsidRPr="00C66C24" w:rsidRDefault="005E5E17" w:rsidP="008C6A9C">
            <w:pPr>
              <w:spacing w:line="257" w:lineRule="auto"/>
              <w:rPr>
                <w:b/>
                <w:bCs/>
                <w:sz w:val="18"/>
                <w:szCs w:val="18"/>
              </w:rPr>
            </w:pPr>
          </w:p>
        </w:tc>
        <w:tc>
          <w:tcPr>
            <w:tcW w:w="752" w:type="pct"/>
            <w:tcBorders>
              <w:top w:val="single" w:sz="8" w:space="0" w:color="auto"/>
              <w:left w:val="single" w:sz="8" w:space="0" w:color="auto"/>
              <w:bottom w:val="dashed" w:sz="4" w:space="0" w:color="auto"/>
              <w:right w:val="single" w:sz="8" w:space="0" w:color="auto"/>
            </w:tcBorders>
            <w:shd w:val="clear" w:color="000000" w:fill="FFFFFF"/>
            <w:noWrap/>
            <w:vAlign w:val="center"/>
            <w:hideMark/>
          </w:tcPr>
          <w:p w14:paraId="47DF7D0D" w14:textId="77777777" w:rsidR="005E5E17" w:rsidRPr="00C66C24" w:rsidRDefault="005E5E17" w:rsidP="008C6A9C">
            <w:pPr>
              <w:spacing w:line="257" w:lineRule="auto"/>
              <w:rPr>
                <w:b/>
                <w:bCs/>
                <w:sz w:val="18"/>
                <w:szCs w:val="18"/>
              </w:rPr>
            </w:pPr>
            <w:r w:rsidRPr="00C66C24">
              <w:rPr>
                <w:b/>
                <w:bCs/>
                <w:sz w:val="18"/>
                <w:szCs w:val="18"/>
              </w:rPr>
              <w:t>Emissions</w:t>
            </w:r>
          </w:p>
        </w:tc>
        <w:tc>
          <w:tcPr>
            <w:tcW w:w="1086" w:type="pct"/>
            <w:tcBorders>
              <w:top w:val="nil"/>
              <w:left w:val="single" w:sz="8" w:space="0" w:color="auto"/>
              <w:bottom w:val="dashed" w:sz="4" w:space="0" w:color="auto"/>
              <w:right w:val="dashed" w:sz="4" w:space="0" w:color="auto"/>
            </w:tcBorders>
            <w:shd w:val="clear" w:color="000000" w:fill="FFFFFF"/>
            <w:vAlign w:val="center"/>
            <w:hideMark/>
          </w:tcPr>
          <w:p w14:paraId="63CD4705" w14:textId="77777777" w:rsidR="005E5E17" w:rsidRPr="00C66C24" w:rsidRDefault="005E5E17" w:rsidP="008C6A9C">
            <w:pPr>
              <w:spacing w:line="257" w:lineRule="auto"/>
              <w:rPr>
                <w:i/>
                <w:iCs w:val="0"/>
                <w:sz w:val="18"/>
                <w:szCs w:val="18"/>
              </w:rPr>
            </w:pPr>
            <w:proofErr w:type="spellStart"/>
            <w:r w:rsidRPr="00C66C24">
              <w:rPr>
                <w:i/>
                <w:iCs w:val="0"/>
                <w:sz w:val="18"/>
                <w:szCs w:val="18"/>
              </w:rPr>
              <w:t>TtW</w:t>
            </w:r>
            <w:proofErr w:type="spellEnd"/>
          </w:p>
        </w:tc>
        <w:tc>
          <w:tcPr>
            <w:tcW w:w="1420" w:type="pct"/>
            <w:tcBorders>
              <w:top w:val="nil"/>
              <w:left w:val="nil"/>
              <w:bottom w:val="dashed" w:sz="4" w:space="0" w:color="auto"/>
              <w:right w:val="dashed" w:sz="4" w:space="0" w:color="auto"/>
            </w:tcBorders>
            <w:shd w:val="clear" w:color="000000" w:fill="FFFFFF"/>
            <w:vAlign w:val="center"/>
            <w:hideMark/>
          </w:tcPr>
          <w:p w14:paraId="552A68DA" w14:textId="77777777" w:rsidR="005E5E17" w:rsidRPr="00C66C24" w:rsidRDefault="005E5E17" w:rsidP="008C6A9C">
            <w:pPr>
              <w:spacing w:line="257" w:lineRule="auto"/>
              <w:rPr>
                <w:i/>
                <w:iCs w:val="0"/>
                <w:sz w:val="18"/>
                <w:szCs w:val="18"/>
              </w:rPr>
            </w:pPr>
            <w:proofErr w:type="spellStart"/>
            <w:r w:rsidRPr="00C66C24">
              <w:rPr>
                <w:i/>
                <w:iCs w:val="0"/>
                <w:sz w:val="18"/>
                <w:szCs w:val="18"/>
              </w:rPr>
              <w:t>TtW</w:t>
            </w:r>
            <w:proofErr w:type="spellEnd"/>
          </w:p>
        </w:tc>
        <w:tc>
          <w:tcPr>
            <w:tcW w:w="1497" w:type="pct"/>
            <w:tcBorders>
              <w:top w:val="nil"/>
              <w:left w:val="nil"/>
              <w:bottom w:val="dashed" w:sz="4" w:space="0" w:color="auto"/>
              <w:right w:val="single" w:sz="8" w:space="0" w:color="auto"/>
            </w:tcBorders>
            <w:shd w:val="clear" w:color="auto" w:fill="FFFFFF" w:themeFill="background1"/>
            <w:noWrap/>
            <w:vAlign w:val="center"/>
            <w:hideMark/>
          </w:tcPr>
          <w:p w14:paraId="57054B76" w14:textId="77777777" w:rsidR="005E5E17" w:rsidRPr="00C66C24" w:rsidRDefault="005E5E17" w:rsidP="008C6A9C">
            <w:pPr>
              <w:spacing w:line="257" w:lineRule="auto"/>
              <w:rPr>
                <w:i/>
                <w:iCs w:val="0"/>
                <w:sz w:val="18"/>
                <w:szCs w:val="18"/>
              </w:rPr>
            </w:pPr>
            <w:proofErr w:type="spellStart"/>
            <w:r w:rsidRPr="00C66C24">
              <w:rPr>
                <w:i/>
                <w:iCs w:val="0"/>
                <w:sz w:val="18"/>
                <w:szCs w:val="18"/>
              </w:rPr>
              <w:t>TtW</w:t>
            </w:r>
            <w:proofErr w:type="spellEnd"/>
          </w:p>
        </w:tc>
      </w:tr>
      <w:tr w:rsidR="005E5E17" w:rsidRPr="00C66C24" w14:paraId="321F292A" w14:textId="77777777" w:rsidTr="00D45759">
        <w:trPr>
          <w:trHeight w:val="1520"/>
        </w:trPr>
        <w:tc>
          <w:tcPr>
            <w:tcW w:w="997" w:type="pct"/>
            <w:gridSpan w:val="2"/>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DCDFE3D" w14:textId="2B2AB978" w:rsidR="005E5E17" w:rsidRPr="00C66C24" w:rsidRDefault="005E5E17" w:rsidP="008C6A9C">
            <w:pPr>
              <w:spacing w:line="257" w:lineRule="auto"/>
              <w:rPr>
                <w:b/>
                <w:bCs/>
                <w:sz w:val="18"/>
                <w:szCs w:val="18"/>
              </w:rPr>
            </w:pPr>
            <w:r w:rsidRPr="00C66C24">
              <w:rPr>
                <w:b/>
                <w:bCs/>
                <w:sz w:val="18"/>
                <w:szCs w:val="18"/>
              </w:rPr>
              <w:t>Categori</w:t>
            </w:r>
            <w:r w:rsidR="002A182F" w:rsidRPr="00C66C24">
              <w:rPr>
                <w:b/>
                <w:bCs/>
                <w:sz w:val="18"/>
                <w:szCs w:val="18"/>
              </w:rPr>
              <w:t>s</w:t>
            </w:r>
            <w:r w:rsidRPr="00C66C24">
              <w:rPr>
                <w:b/>
                <w:bCs/>
                <w:sz w:val="18"/>
                <w:szCs w:val="18"/>
              </w:rPr>
              <w:t>ation</w:t>
            </w:r>
          </w:p>
        </w:tc>
        <w:tc>
          <w:tcPr>
            <w:tcW w:w="1086" w:type="pct"/>
            <w:tcBorders>
              <w:top w:val="nil"/>
              <w:left w:val="single" w:sz="8" w:space="0" w:color="auto"/>
              <w:bottom w:val="dashed" w:sz="4" w:space="0" w:color="auto"/>
              <w:right w:val="dashed" w:sz="4" w:space="0" w:color="auto"/>
            </w:tcBorders>
            <w:shd w:val="clear" w:color="000000" w:fill="FFFFFF"/>
            <w:hideMark/>
          </w:tcPr>
          <w:p w14:paraId="529F3085" w14:textId="77777777" w:rsidR="005E5E17" w:rsidRPr="00C66C24" w:rsidRDefault="005E5E17" w:rsidP="008C6A9C">
            <w:pPr>
              <w:spacing w:line="257" w:lineRule="auto"/>
              <w:jc w:val="left"/>
              <w:rPr>
                <w:i/>
                <w:iCs w:val="0"/>
                <w:sz w:val="18"/>
                <w:szCs w:val="18"/>
              </w:rPr>
            </w:pPr>
            <w:r w:rsidRPr="00C66C24">
              <w:rPr>
                <w:i/>
                <w:iCs w:val="0"/>
                <w:sz w:val="18"/>
                <w:szCs w:val="18"/>
              </w:rPr>
              <w:t>Intra EEA/extra EEA/at berth</w:t>
            </w:r>
          </w:p>
        </w:tc>
        <w:tc>
          <w:tcPr>
            <w:tcW w:w="1420" w:type="pct"/>
            <w:tcBorders>
              <w:top w:val="nil"/>
              <w:left w:val="nil"/>
              <w:bottom w:val="dashed" w:sz="4" w:space="0" w:color="auto"/>
              <w:right w:val="dashed" w:sz="4" w:space="0" w:color="auto"/>
            </w:tcBorders>
            <w:shd w:val="clear" w:color="000000" w:fill="FFFFFF"/>
            <w:hideMark/>
          </w:tcPr>
          <w:p w14:paraId="401532CC" w14:textId="3AE8782F" w:rsidR="005E5E17" w:rsidRPr="00C66C24" w:rsidRDefault="00315B49" w:rsidP="008C6A9C">
            <w:pPr>
              <w:spacing w:line="257" w:lineRule="auto"/>
              <w:jc w:val="left"/>
              <w:rPr>
                <w:i/>
                <w:iCs w:val="0"/>
                <w:sz w:val="18"/>
                <w:szCs w:val="18"/>
              </w:rPr>
            </w:pPr>
            <w:r w:rsidRPr="00C66C24">
              <w:rPr>
                <w:i/>
                <w:iCs w:val="0"/>
                <w:sz w:val="18"/>
                <w:szCs w:val="18"/>
              </w:rPr>
              <w:t>D</w:t>
            </w:r>
            <w:r w:rsidR="005E5E17" w:rsidRPr="00C66C24">
              <w:rPr>
                <w:i/>
                <w:iCs w:val="0"/>
                <w:sz w:val="18"/>
                <w:szCs w:val="18"/>
              </w:rPr>
              <w:t>omestic/international</w:t>
            </w:r>
            <w:r w:rsidR="005E5E17" w:rsidRPr="00C66C24">
              <w:rPr>
                <w:i/>
                <w:iCs w:val="0"/>
                <w:sz w:val="18"/>
                <w:szCs w:val="18"/>
              </w:rPr>
              <w:br/>
              <w:t>based on port of departure/arrival (for each segment of a trip)</w:t>
            </w:r>
            <w:r w:rsidR="005E5E17" w:rsidRPr="00C66C24">
              <w:rPr>
                <w:i/>
                <w:iCs w:val="0"/>
                <w:sz w:val="18"/>
                <w:szCs w:val="18"/>
              </w:rPr>
              <w:br/>
              <w:t>EU-27 results are obtained summing MS contributions</w:t>
            </w:r>
          </w:p>
        </w:tc>
        <w:tc>
          <w:tcPr>
            <w:tcW w:w="1497" w:type="pct"/>
            <w:tcBorders>
              <w:top w:val="nil"/>
              <w:left w:val="nil"/>
              <w:bottom w:val="dashed" w:sz="4" w:space="0" w:color="auto"/>
              <w:right w:val="single" w:sz="8" w:space="0" w:color="auto"/>
            </w:tcBorders>
            <w:shd w:val="clear" w:color="000000" w:fill="FFFFFF"/>
            <w:hideMark/>
          </w:tcPr>
          <w:p w14:paraId="084AA16B" w14:textId="3C3172C8" w:rsidR="005E5E17" w:rsidRPr="00C66C24" w:rsidRDefault="005E5E17" w:rsidP="008C6A9C">
            <w:pPr>
              <w:spacing w:line="257" w:lineRule="auto"/>
              <w:jc w:val="left"/>
              <w:rPr>
                <w:i/>
                <w:iCs w:val="0"/>
                <w:sz w:val="18"/>
                <w:szCs w:val="18"/>
              </w:rPr>
            </w:pPr>
            <w:r w:rsidRPr="00C66C24">
              <w:rPr>
                <w:i/>
                <w:iCs w:val="0"/>
                <w:sz w:val="18"/>
                <w:szCs w:val="18"/>
              </w:rPr>
              <w:t xml:space="preserve">Total/Domestic/ International. International - ship movements which occur between two different countries; Domestic - between </w:t>
            </w:r>
            <w:r w:rsidR="00E335DD" w:rsidRPr="00C66C24">
              <w:rPr>
                <w:i/>
                <w:iCs w:val="0"/>
                <w:sz w:val="18"/>
                <w:szCs w:val="18"/>
              </w:rPr>
              <w:t>ports</w:t>
            </w:r>
            <w:r w:rsidRPr="00C66C24">
              <w:rPr>
                <w:i/>
                <w:iCs w:val="0"/>
                <w:sz w:val="18"/>
                <w:szCs w:val="18"/>
              </w:rPr>
              <w:t xml:space="preserve"> belonging to the same country</w:t>
            </w:r>
            <w:r w:rsidR="00E335DD" w:rsidRPr="00C66C24">
              <w:rPr>
                <w:i/>
                <w:iCs w:val="0"/>
                <w:sz w:val="18"/>
                <w:szCs w:val="18"/>
              </w:rPr>
              <w:t>.</w:t>
            </w:r>
          </w:p>
        </w:tc>
      </w:tr>
      <w:tr w:rsidR="005E5E17" w:rsidRPr="00C66C24" w14:paraId="1DDD5E80" w14:textId="77777777" w:rsidTr="00D45759">
        <w:trPr>
          <w:trHeight w:val="300"/>
        </w:trPr>
        <w:tc>
          <w:tcPr>
            <w:tcW w:w="997" w:type="pct"/>
            <w:gridSpan w:val="2"/>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707AF8F0" w14:textId="6931921E" w:rsidR="005E5E17" w:rsidRPr="00C66C24" w:rsidRDefault="005E5E17" w:rsidP="008C6A9C">
            <w:pPr>
              <w:spacing w:line="257" w:lineRule="auto"/>
              <w:rPr>
                <w:b/>
                <w:bCs/>
                <w:sz w:val="18"/>
                <w:szCs w:val="18"/>
              </w:rPr>
            </w:pPr>
            <w:r w:rsidRPr="00C66C24">
              <w:rPr>
                <w:b/>
                <w:bCs/>
                <w:sz w:val="18"/>
                <w:szCs w:val="18"/>
              </w:rPr>
              <w:t xml:space="preserve">Main </w:t>
            </w:r>
            <w:r w:rsidR="00FB4947" w:rsidRPr="00C66C24">
              <w:rPr>
                <w:b/>
                <w:bCs/>
                <w:sz w:val="18"/>
                <w:szCs w:val="18"/>
              </w:rPr>
              <w:t>approach</w:t>
            </w:r>
          </w:p>
        </w:tc>
        <w:tc>
          <w:tcPr>
            <w:tcW w:w="1086" w:type="pct"/>
            <w:tcBorders>
              <w:top w:val="nil"/>
              <w:left w:val="single" w:sz="8" w:space="0" w:color="auto"/>
              <w:bottom w:val="dashed" w:sz="4" w:space="0" w:color="auto"/>
              <w:right w:val="dashed" w:sz="4" w:space="0" w:color="auto"/>
            </w:tcBorders>
            <w:shd w:val="clear" w:color="000000" w:fill="FFFFFF"/>
            <w:noWrap/>
            <w:hideMark/>
          </w:tcPr>
          <w:p w14:paraId="38ACF05F" w14:textId="6F4AB59B" w:rsidR="005E5E17" w:rsidRPr="00C66C24" w:rsidRDefault="00E335DD" w:rsidP="008C6A9C">
            <w:pPr>
              <w:spacing w:line="257" w:lineRule="auto"/>
              <w:jc w:val="left"/>
              <w:rPr>
                <w:i/>
                <w:iCs w:val="0"/>
                <w:sz w:val="18"/>
                <w:szCs w:val="18"/>
              </w:rPr>
            </w:pPr>
            <w:r w:rsidRPr="00C66C24">
              <w:rPr>
                <w:i/>
                <w:iCs w:val="0"/>
                <w:sz w:val="18"/>
                <w:szCs w:val="18"/>
              </w:rPr>
              <w:t>F</w:t>
            </w:r>
            <w:r w:rsidR="005E5E17" w:rsidRPr="00C66C24">
              <w:rPr>
                <w:i/>
                <w:iCs w:val="0"/>
                <w:sz w:val="18"/>
                <w:szCs w:val="18"/>
              </w:rPr>
              <w:t>uel consumed on board</w:t>
            </w:r>
          </w:p>
        </w:tc>
        <w:tc>
          <w:tcPr>
            <w:tcW w:w="1420" w:type="pct"/>
            <w:tcBorders>
              <w:top w:val="nil"/>
              <w:left w:val="nil"/>
              <w:bottom w:val="dashed" w:sz="4" w:space="0" w:color="auto"/>
              <w:right w:val="dashed" w:sz="4" w:space="0" w:color="auto"/>
            </w:tcBorders>
            <w:shd w:val="clear" w:color="000000" w:fill="FFFFFF"/>
            <w:noWrap/>
            <w:hideMark/>
          </w:tcPr>
          <w:p w14:paraId="5D8E369D" w14:textId="751B78E8" w:rsidR="005E5E17" w:rsidRPr="00C66C24" w:rsidRDefault="00E335DD" w:rsidP="008C6A9C">
            <w:pPr>
              <w:spacing w:line="257" w:lineRule="auto"/>
              <w:jc w:val="left"/>
              <w:rPr>
                <w:i/>
                <w:iCs w:val="0"/>
                <w:sz w:val="18"/>
                <w:szCs w:val="18"/>
              </w:rPr>
            </w:pPr>
            <w:r w:rsidRPr="00C66C24">
              <w:rPr>
                <w:i/>
                <w:iCs w:val="0"/>
                <w:sz w:val="18"/>
                <w:szCs w:val="18"/>
              </w:rPr>
              <w:t>F</w:t>
            </w:r>
            <w:r w:rsidR="005E5E17" w:rsidRPr="00C66C24">
              <w:rPr>
                <w:i/>
                <w:iCs w:val="0"/>
                <w:sz w:val="18"/>
                <w:szCs w:val="18"/>
              </w:rPr>
              <w:t xml:space="preserve">uel sold </w:t>
            </w:r>
          </w:p>
        </w:tc>
        <w:tc>
          <w:tcPr>
            <w:tcW w:w="1497" w:type="pct"/>
            <w:tcBorders>
              <w:top w:val="nil"/>
              <w:left w:val="nil"/>
              <w:bottom w:val="dashed" w:sz="4" w:space="0" w:color="auto"/>
              <w:right w:val="single" w:sz="8" w:space="0" w:color="auto"/>
            </w:tcBorders>
            <w:shd w:val="clear" w:color="000000" w:fill="FFFFFF"/>
            <w:noWrap/>
            <w:hideMark/>
          </w:tcPr>
          <w:p w14:paraId="33D21787" w14:textId="576F6686" w:rsidR="005E5E17" w:rsidRPr="00C66C24" w:rsidRDefault="002E06A8" w:rsidP="008C6A9C">
            <w:pPr>
              <w:spacing w:line="257" w:lineRule="auto"/>
              <w:jc w:val="left"/>
              <w:rPr>
                <w:i/>
                <w:iCs w:val="0"/>
                <w:sz w:val="18"/>
                <w:szCs w:val="18"/>
              </w:rPr>
            </w:pPr>
            <w:r w:rsidRPr="00C66C24">
              <w:rPr>
                <w:i/>
                <w:iCs w:val="0"/>
                <w:sz w:val="18"/>
                <w:szCs w:val="18"/>
              </w:rPr>
              <w:t>Vessel a</w:t>
            </w:r>
            <w:r w:rsidR="005E5E17" w:rsidRPr="00C66C24">
              <w:rPr>
                <w:i/>
                <w:iCs w:val="0"/>
                <w:sz w:val="18"/>
                <w:szCs w:val="18"/>
              </w:rPr>
              <w:t>ctivity through AIS data</w:t>
            </w:r>
          </w:p>
        </w:tc>
      </w:tr>
      <w:tr w:rsidR="005E5E17" w:rsidRPr="00C66C24" w14:paraId="7275DEEF" w14:textId="77777777" w:rsidTr="00C151A2">
        <w:trPr>
          <w:trHeight w:val="300"/>
        </w:trPr>
        <w:tc>
          <w:tcPr>
            <w:tcW w:w="997" w:type="pct"/>
            <w:gridSpan w:val="2"/>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507F20C7" w14:textId="77777777" w:rsidR="005E5E17" w:rsidRPr="00C66C24" w:rsidRDefault="005E5E17" w:rsidP="008C6A9C">
            <w:pPr>
              <w:spacing w:line="257" w:lineRule="auto"/>
              <w:rPr>
                <w:b/>
                <w:bCs/>
                <w:sz w:val="18"/>
                <w:szCs w:val="18"/>
              </w:rPr>
            </w:pPr>
            <w:r w:rsidRPr="00C66C24">
              <w:rPr>
                <w:b/>
                <w:bCs/>
                <w:sz w:val="18"/>
                <w:szCs w:val="18"/>
              </w:rPr>
              <w:t>Main output</w:t>
            </w:r>
          </w:p>
        </w:tc>
        <w:tc>
          <w:tcPr>
            <w:tcW w:w="1086" w:type="pct"/>
            <w:tcBorders>
              <w:top w:val="nil"/>
              <w:left w:val="single" w:sz="8" w:space="0" w:color="auto"/>
              <w:bottom w:val="dashed" w:sz="4" w:space="0" w:color="auto"/>
              <w:right w:val="dashed" w:sz="4" w:space="0" w:color="auto"/>
            </w:tcBorders>
            <w:shd w:val="clear" w:color="000000" w:fill="FFFFFF"/>
            <w:noWrap/>
            <w:hideMark/>
          </w:tcPr>
          <w:p w14:paraId="381948B0" w14:textId="77777777" w:rsidR="005E5E17" w:rsidRPr="00C66C24" w:rsidRDefault="005E5E17" w:rsidP="008C6A9C">
            <w:pPr>
              <w:spacing w:line="257" w:lineRule="auto"/>
              <w:jc w:val="left"/>
              <w:rPr>
                <w:i/>
                <w:iCs w:val="0"/>
                <w:sz w:val="18"/>
                <w:szCs w:val="18"/>
              </w:rPr>
            </w:pPr>
            <w:r w:rsidRPr="00C66C24">
              <w:rPr>
                <w:i/>
                <w:iCs w:val="0"/>
                <w:sz w:val="18"/>
                <w:szCs w:val="18"/>
              </w:rPr>
              <w:t>CO</w:t>
            </w:r>
            <w:r w:rsidRPr="00C66C24">
              <w:rPr>
                <w:i/>
                <w:iCs w:val="0"/>
                <w:sz w:val="18"/>
                <w:szCs w:val="18"/>
                <w:vertAlign w:val="subscript"/>
              </w:rPr>
              <w:t>2</w:t>
            </w:r>
            <w:r w:rsidRPr="00C66C24">
              <w:rPr>
                <w:i/>
                <w:iCs w:val="0"/>
                <w:sz w:val="18"/>
                <w:szCs w:val="18"/>
              </w:rPr>
              <w:t xml:space="preserve"> emissions</w:t>
            </w:r>
          </w:p>
        </w:tc>
        <w:tc>
          <w:tcPr>
            <w:tcW w:w="1420" w:type="pct"/>
            <w:tcBorders>
              <w:top w:val="nil"/>
              <w:left w:val="nil"/>
              <w:bottom w:val="dashed" w:sz="4" w:space="0" w:color="auto"/>
              <w:right w:val="dashed" w:sz="4" w:space="0" w:color="auto"/>
            </w:tcBorders>
            <w:shd w:val="clear" w:color="000000" w:fill="FFFFFF"/>
            <w:noWrap/>
            <w:hideMark/>
          </w:tcPr>
          <w:p w14:paraId="3D064BF9" w14:textId="77777777" w:rsidR="005E5E17" w:rsidRPr="00FF6CA4" w:rsidRDefault="005E5E17" w:rsidP="008C6A9C">
            <w:pPr>
              <w:spacing w:line="257" w:lineRule="auto"/>
              <w:jc w:val="left"/>
              <w:rPr>
                <w:i/>
                <w:sz w:val="18"/>
                <w:szCs w:val="18"/>
                <w:lang w:val="pt-PT"/>
              </w:rPr>
            </w:pPr>
            <w:r w:rsidRPr="00FF6CA4">
              <w:rPr>
                <w:i/>
                <w:sz w:val="18"/>
                <w:szCs w:val="18"/>
                <w:lang w:val="pt-PT"/>
              </w:rPr>
              <w:t>GHG (CO</w:t>
            </w:r>
            <w:r w:rsidRPr="00FF6CA4">
              <w:rPr>
                <w:i/>
                <w:sz w:val="18"/>
                <w:szCs w:val="18"/>
                <w:vertAlign w:val="subscript"/>
                <w:lang w:val="pt-PT"/>
              </w:rPr>
              <w:t>2</w:t>
            </w:r>
            <w:r w:rsidRPr="00FF6CA4">
              <w:rPr>
                <w:i/>
                <w:sz w:val="18"/>
                <w:szCs w:val="18"/>
                <w:lang w:val="pt-PT"/>
              </w:rPr>
              <w:t>, CH</w:t>
            </w:r>
            <w:r w:rsidRPr="00FF6CA4">
              <w:rPr>
                <w:i/>
                <w:sz w:val="18"/>
                <w:szCs w:val="18"/>
                <w:vertAlign w:val="subscript"/>
                <w:lang w:val="pt-PT"/>
              </w:rPr>
              <w:t>4</w:t>
            </w:r>
            <w:r w:rsidRPr="00FF6CA4">
              <w:rPr>
                <w:i/>
                <w:sz w:val="18"/>
                <w:szCs w:val="18"/>
                <w:lang w:val="pt-PT"/>
              </w:rPr>
              <w:t>, N</w:t>
            </w:r>
            <w:r w:rsidRPr="00FF6CA4">
              <w:rPr>
                <w:i/>
                <w:sz w:val="18"/>
                <w:szCs w:val="18"/>
                <w:vertAlign w:val="subscript"/>
                <w:lang w:val="pt-PT"/>
              </w:rPr>
              <w:t>2</w:t>
            </w:r>
            <w:r w:rsidRPr="00FF6CA4">
              <w:rPr>
                <w:i/>
                <w:sz w:val="18"/>
                <w:szCs w:val="18"/>
                <w:lang w:val="pt-PT"/>
              </w:rPr>
              <w:t xml:space="preserve">O) </w:t>
            </w:r>
            <w:proofErr w:type="spellStart"/>
            <w:r w:rsidRPr="00FF6CA4">
              <w:rPr>
                <w:i/>
                <w:sz w:val="18"/>
                <w:szCs w:val="18"/>
                <w:lang w:val="pt-PT"/>
              </w:rPr>
              <w:t>emissions</w:t>
            </w:r>
            <w:proofErr w:type="spellEnd"/>
          </w:p>
        </w:tc>
        <w:tc>
          <w:tcPr>
            <w:tcW w:w="1497" w:type="pct"/>
            <w:tcBorders>
              <w:top w:val="nil"/>
              <w:left w:val="nil"/>
              <w:bottom w:val="dashed" w:sz="4" w:space="0" w:color="auto"/>
              <w:right w:val="single" w:sz="8" w:space="0" w:color="auto"/>
            </w:tcBorders>
            <w:shd w:val="clear" w:color="000000" w:fill="FFFFFF"/>
            <w:noWrap/>
            <w:hideMark/>
          </w:tcPr>
          <w:p w14:paraId="359D6699" w14:textId="77777777" w:rsidR="005E5E17" w:rsidRPr="00C66C24" w:rsidRDefault="005E5E17" w:rsidP="008C6A9C">
            <w:pPr>
              <w:spacing w:line="257" w:lineRule="auto"/>
              <w:jc w:val="left"/>
              <w:rPr>
                <w:i/>
                <w:iCs w:val="0"/>
                <w:sz w:val="18"/>
                <w:szCs w:val="18"/>
              </w:rPr>
            </w:pPr>
            <w:r w:rsidRPr="00C66C24">
              <w:rPr>
                <w:i/>
                <w:iCs w:val="0"/>
                <w:sz w:val="18"/>
                <w:szCs w:val="18"/>
              </w:rPr>
              <w:t>GHG, AP, contaminants</w:t>
            </w:r>
          </w:p>
        </w:tc>
      </w:tr>
      <w:tr w:rsidR="005E5E17" w:rsidRPr="00C66C24" w14:paraId="469D5B4F" w14:textId="77777777" w:rsidTr="00C151A2">
        <w:trPr>
          <w:trHeight w:val="300"/>
        </w:trPr>
        <w:tc>
          <w:tcPr>
            <w:tcW w:w="997" w:type="pct"/>
            <w:gridSpan w:val="2"/>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EF6717C" w14:textId="77777777" w:rsidR="005E5E17" w:rsidRPr="00C66C24" w:rsidRDefault="005E5E17" w:rsidP="008C6A9C">
            <w:pPr>
              <w:spacing w:line="257" w:lineRule="auto"/>
              <w:rPr>
                <w:b/>
                <w:bCs/>
                <w:sz w:val="18"/>
                <w:szCs w:val="18"/>
              </w:rPr>
            </w:pPr>
            <w:r w:rsidRPr="00C66C24">
              <w:rPr>
                <w:b/>
                <w:bCs/>
                <w:sz w:val="18"/>
                <w:szCs w:val="18"/>
              </w:rPr>
              <w:t>Reporting cycle/timeliness</w:t>
            </w:r>
          </w:p>
        </w:tc>
        <w:tc>
          <w:tcPr>
            <w:tcW w:w="1086" w:type="pct"/>
            <w:tcBorders>
              <w:top w:val="nil"/>
              <w:left w:val="single" w:sz="8" w:space="0" w:color="auto"/>
              <w:bottom w:val="single" w:sz="8" w:space="0" w:color="auto"/>
              <w:right w:val="dashed" w:sz="4" w:space="0" w:color="auto"/>
            </w:tcBorders>
            <w:shd w:val="clear" w:color="000000" w:fill="FFFFFF"/>
            <w:noWrap/>
            <w:hideMark/>
          </w:tcPr>
          <w:p w14:paraId="3F6C62DC" w14:textId="47615391" w:rsidR="005E5E17" w:rsidRPr="00C66C24" w:rsidRDefault="005E5E17" w:rsidP="008C6A9C">
            <w:pPr>
              <w:spacing w:line="257" w:lineRule="auto"/>
              <w:jc w:val="left"/>
              <w:rPr>
                <w:i/>
                <w:iCs w:val="0"/>
                <w:sz w:val="18"/>
                <w:szCs w:val="18"/>
              </w:rPr>
            </w:pPr>
            <w:r w:rsidRPr="00C66C24">
              <w:rPr>
                <w:i/>
                <w:iCs w:val="0"/>
                <w:sz w:val="18"/>
                <w:szCs w:val="18"/>
              </w:rPr>
              <w:t> </w:t>
            </w:r>
            <w:r w:rsidR="00315B49" w:rsidRPr="00C66C24">
              <w:rPr>
                <w:i/>
                <w:iCs w:val="0"/>
                <w:sz w:val="18"/>
                <w:szCs w:val="18"/>
              </w:rPr>
              <w:t>Y</w:t>
            </w:r>
            <w:r w:rsidRPr="00C66C24">
              <w:rPr>
                <w:i/>
                <w:iCs w:val="0"/>
                <w:sz w:val="18"/>
                <w:szCs w:val="18"/>
              </w:rPr>
              <w:t>early</w:t>
            </w:r>
            <w:r w:rsidR="00BE6415" w:rsidRPr="00C66C24">
              <w:rPr>
                <w:i/>
                <w:iCs w:val="0"/>
                <w:sz w:val="18"/>
                <w:szCs w:val="18"/>
              </w:rPr>
              <w:t>, T-1</w:t>
            </w:r>
          </w:p>
        </w:tc>
        <w:tc>
          <w:tcPr>
            <w:tcW w:w="1420" w:type="pct"/>
            <w:tcBorders>
              <w:top w:val="nil"/>
              <w:left w:val="nil"/>
              <w:bottom w:val="single" w:sz="8" w:space="0" w:color="auto"/>
              <w:right w:val="dashed" w:sz="4" w:space="0" w:color="auto"/>
            </w:tcBorders>
            <w:shd w:val="clear" w:color="000000" w:fill="FFFFFF"/>
            <w:noWrap/>
            <w:hideMark/>
          </w:tcPr>
          <w:p w14:paraId="3C197055" w14:textId="5A1DEACE" w:rsidR="005E5E17" w:rsidRPr="00C66C24" w:rsidRDefault="00315B49" w:rsidP="008C6A9C">
            <w:pPr>
              <w:spacing w:line="257" w:lineRule="auto"/>
              <w:jc w:val="left"/>
              <w:rPr>
                <w:i/>
                <w:iCs w:val="0"/>
                <w:sz w:val="18"/>
                <w:szCs w:val="18"/>
              </w:rPr>
            </w:pPr>
            <w:r w:rsidRPr="00C66C24">
              <w:rPr>
                <w:i/>
                <w:iCs w:val="0"/>
                <w:sz w:val="18"/>
                <w:szCs w:val="18"/>
              </w:rPr>
              <w:t>Y</w:t>
            </w:r>
            <w:r w:rsidR="005E5E17" w:rsidRPr="00C66C24">
              <w:rPr>
                <w:i/>
                <w:iCs w:val="0"/>
                <w:sz w:val="18"/>
                <w:szCs w:val="18"/>
              </w:rPr>
              <w:t>early, T-2</w:t>
            </w:r>
          </w:p>
        </w:tc>
        <w:tc>
          <w:tcPr>
            <w:tcW w:w="1497" w:type="pct"/>
            <w:tcBorders>
              <w:top w:val="nil"/>
              <w:left w:val="nil"/>
              <w:bottom w:val="single" w:sz="8" w:space="0" w:color="auto"/>
              <w:right w:val="single" w:sz="8" w:space="0" w:color="auto"/>
            </w:tcBorders>
            <w:shd w:val="clear" w:color="000000" w:fill="FFFFFF"/>
            <w:noWrap/>
            <w:hideMark/>
          </w:tcPr>
          <w:p w14:paraId="36F741A0" w14:textId="4F355146" w:rsidR="005E5E17" w:rsidRPr="00C66C24" w:rsidRDefault="00315B49" w:rsidP="008C6A9C">
            <w:pPr>
              <w:spacing w:line="257" w:lineRule="auto"/>
              <w:jc w:val="left"/>
              <w:rPr>
                <w:i/>
                <w:iCs w:val="0"/>
                <w:sz w:val="18"/>
                <w:szCs w:val="18"/>
              </w:rPr>
            </w:pPr>
            <w:r w:rsidRPr="00C66C24">
              <w:rPr>
                <w:i/>
                <w:iCs w:val="0"/>
                <w:sz w:val="18"/>
                <w:szCs w:val="18"/>
              </w:rPr>
              <w:t>Y</w:t>
            </w:r>
            <w:r w:rsidR="005E5E17" w:rsidRPr="00C66C24">
              <w:rPr>
                <w:i/>
                <w:iCs w:val="0"/>
                <w:sz w:val="18"/>
                <w:szCs w:val="18"/>
              </w:rPr>
              <w:t>early</w:t>
            </w:r>
            <w:r w:rsidR="00092A4C" w:rsidRPr="00C66C24">
              <w:rPr>
                <w:i/>
                <w:iCs w:val="0"/>
                <w:sz w:val="18"/>
                <w:szCs w:val="18"/>
              </w:rPr>
              <w:t>, T-1</w:t>
            </w:r>
          </w:p>
        </w:tc>
      </w:tr>
    </w:tbl>
    <w:p w14:paraId="1DC4CAC8" w14:textId="46FA1085" w:rsidR="005E5E17" w:rsidRPr="00C66C24" w:rsidRDefault="005E5E17" w:rsidP="00E8555D">
      <w:pPr>
        <w:pStyle w:val="Caption"/>
        <w:spacing w:after="0"/>
        <w:jc w:val="center"/>
        <w:rPr>
          <w:sz w:val="20"/>
          <w:szCs w:val="20"/>
        </w:rPr>
      </w:pPr>
      <w:bookmarkStart w:id="66" w:name="_Ref157518670"/>
      <w:bookmarkStart w:id="67" w:name="_Ref157185664"/>
      <w:bookmarkStart w:id="68" w:name="_Ref157518639"/>
      <w:r w:rsidRPr="00C66C24">
        <w:rPr>
          <w:sz w:val="20"/>
          <w:szCs w:val="20"/>
        </w:rPr>
        <w:t xml:space="preserve">Table </w:t>
      </w:r>
      <w:r w:rsidR="00C6330B" w:rsidRPr="00C66C24">
        <w:rPr>
          <w:sz w:val="20"/>
          <w:szCs w:val="20"/>
        </w:rPr>
        <w:fldChar w:fldCharType="begin"/>
      </w:r>
      <w:r w:rsidR="00C6330B" w:rsidRPr="00C66C24">
        <w:rPr>
          <w:sz w:val="20"/>
          <w:szCs w:val="20"/>
        </w:rPr>
        <w:instrText xml:space="preserve"> STYLEREF 1 \s </w:instrText>
      </w:r>
      <w:r w:rsidR="00C6330B" w:rsidRPr="00C66C24">
        <w:rPr>
          <w:sz w:val="20"/>
          <w:szCs w:val="20"/>
        </w:rPr>
        <w:fldChar w:fldCharType="separate"/>
      </w:r>
      <w:r w:rsidR="00C6330B" w:rsidRPr="00C66C24">
        <w:rPr>
          <w:noProof/>
          <w:sz w:val="20"/>
          <w:szCs w:val="20"/>
        </w:rPr>
        <w:t>2</w:t>
      </w:r>
      <w:r w:rsidR="00C6330B" w:rsidRPr="00C66C24">
        <w:rPr>
          <w:sz w:val="20"/>
          <w:szCs w:val="20"/>
        </w:rPr>
        <w:fldChar w:fldCharType="end"/>
      </w:r>
      <w:r w:rsidR="00C6330B" w:rsidRPr="00C66C24">
        <w:rPr>
          <w:sz w:val="20"/>
          <w:szCs w:val="20"/>
        </w:rPr>
        <w:t>.</w:t>
      </w:r>
      <w:r w:rsidR="00C6330B" w:rsidRPr="00C66C24">
        <w:rPr>
          <w:sz w:val="20"/>
          <w:szCs w:val="20"/>
        </w:rPr>
        <w:fldChar w:fldCharType="begin"/>
      </w:r>
      <w:r w:rsidR="00C6330B" w:rsidRPr="00C66C24">
        <w:rPr>
          <w:sz w:val="20"/>
          <w:szCs w:val="20"/>
        </w:rPr>
        <w:instrText xml:space="preserve"> SEQ Table \* ARABIC \s 1 </w:instrText>
      </w:r>
      <w:r w:rsidR="00C6330B" w:rsidRPr="00C66C24">
        <w:rPr>
          <w:sz w:val="20"/>
          <w:szCs w:val="20"/>
        </w:rPr>
        <w:fldChar w:fldCharType="separate"/>
      </w:r>
      <w:r w:rsidR="00C6330B" w:rsidRPr="00C66C24">
        <w:rPr>
          <w:noProof/>
          <w:sz w:val="20"/>
          <w:szCs w:val="20"/>
        </w:rPr>
        <w:t>1</w:t>
      </w:r>
      <w:r w:rsidR="00C6330B" w:rsidRPr="00C66C24">
        <w:rPr>
          <w:sz w:val="20"/>
          <w:szCs w:val="20"/>
        </w:rPr>
        <w:fldChar w:fldCharType="end"/>
      </w:r>
      <w:bookmarkEnd w:id="66"/>
      <w:r w:rsidR="00C6330B" w:rsidRPr="00C66C24">
        <w:rPr>
          <w:sz w:val="20"/>
          <w:szCs w:val="20"/>
        </w:rPr>
        <w:t xml:space="preserve"> -</w:t>
      </w:r>
      <w:r w:rsidRPr="00C66C24">
        <w:rPr>
          <w:sz w:val="20"/>
          <w:szCs w:val="20"/>
        </w:rPr>
        <w:t xml:space="preserve"> Data used in the report and the differences between UNFCCC inventories, STEAM model and EU MRV</w:t>
      </w:r>
      <w:bookmarkEnd w:id="67"/>
      <w:r w:rsidR="00D22CB8" w:rsidRPr="00C66C24">
        <w:rPr>
          <w:sz w:val="20"/>
          <w:szCs w:val="20"/>
        </w:rPr>
        <w:t>.</w:t>
      </w:r>
      <w:bookmarkEnd w:id="68"/>
    </w:p>
    <w:p w14:paraId="443A81BD" w14:textId="25508D02" w:rsidR="00E8555D" w:rsidRPr="00C66C24" w:rsidRDefault="00F01D05" w:rsidP="00E8555D">
      <w:pPr>
        <w:spacing w:before="0" w:after="120"/>
        <w:jc w:val="center"/>
        <w:rPr>
          <w:sz w:val="20"/>
          <w:szCs w:val="20"/>
        </w:rPr>
      </w:pPr>
      <w:r w:rsidRPr="00C66C24">
        <w:rPr>
          <w:sz w:val="20"/>
          <w:szCs w:val="20"/>
        </w:rPr>
        <w:t>Source: EMSA, EEA</w:t>
      </w:r>
      <w:r w:rsidR="00E8555D" w:rsidRPr="00C66C24">
        <w:rPr>
          <w:sz w:val="20"/>
          <w:szCs w:val="20"/>
        </w:rPr>
        <w:t>.</w:t>
      </w:r>
    </w:p>
    <w:p w14:paraId="2DEFDDD4" w14:textId="6EB5E1ED" w:rsidR="005E5E17" w:rsidRPr="00C66C24" w:rsidRDefault="005E5E17" w:rsidP="008C6A9C">
      <w:pPr>
        <w:spacing w:line="257" w:lineRule="auto"/>
        <w:rPr>
          <w:rFonts w:ascii="Calibri" w:eastAsia="Calibri" w:hAnsi="Calibri" w:cs="Calibri"/>
          <w:color w:val="000000" w:themeColor="text1"/>
        </w:rPr>
      </w:pP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REF _Ref151110566 \h </w:instrText>
      </w:r>
      <w:r w:rsidR="00C6330B" w:rsidRPr="00C66C24">
        <w:rPr>
          <w:rFonts w:ascii="Calibri" w:eastAsia="Calibri" w:hAnsi="Calibri" w:cs="Calibri"/>
          <w:color w:val="000000" w:themeColor="text1"/>
        </w:rPr>
        <w:instrText xml:space="preserve"> \* MERGEFORMAT </w:instrText>
      </w:r>
      <w:r w:rsidRPr="00C66C24">
        <w:rPr>
          <w:rFonts w:ascii="Calibri" w:eastAsia="Calibri" w:hAnsi="Calibri" w:cs="Calibri"/>
          <w:color w:val="000000" w:themeColor="text1"/>
        </w:rPr>
      </w:r>
      <w:r w:rsidRPr="00C66C24">
        <w:rPr>
          <w:rFonts w:ascii="Calibri" w:eastAsia="Calibri" w:hAnsi="Calibri" w:cs="Calibri"/>
          <w:color w:val="000000" w:themeColor="text1"/>
        </w:rPr>
        <w:fldChar w:fldCharType="separate"/>
      </w:r>
      <w:r w:rsidR="00C6330B" w:rsidRPr="00C66C24">
        <w:rPr>
          <w:rFonts w:ascii="Calibri" w:eastAsia="Calibri" w:hAnsi="Calibri" w:cs="Calibri"/>
          <w:color w:val="000000" w:themeColor="text1"/>
        </w:rPr>
        <w:t>Figure 2.1</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illustrates</w:t>
      </w:r>
      <w:r w:rsidRPr="00C66C24">
        <w:t xml:space="preserve">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from the shipping sector according to three distinct datasets with different scopes of application and methodolog</w:t>
      </w:r>
      <w:r w:rsidR="00FB4947" w:rsidRPr="00C66C24">
        <w:rPr>
          <w:rFonts w:ascii="Calibri" w:eastAsia="Calibri" w:hAnsi="Calibri" w:cs="Calibri"/>
          <w:color w:val="000000" w:themeColor="text1"/>
        </w:rPr>
        <w:t>ies</w:t>
      </w:r>
      <w:r w:rsidRPr="00C66C24">
        <w:rPr>
          <w:rFonts w:ascii="Calibri" w:eastAsia="Calibri" w:hAnsi="Calibri" w:cs="Calibri"/>
          <w:color w:val="000000" w:themeColor="text1"/>
        </w:rPr>
        <w:t xml:space="preserve">, the United Nations Framework Convention on Climate Change (UNFCCC) GHG inventories, the European Union MRV system, and the Ship Traffic Emissions Assessment Model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{"citationID":"a91gpe80cg","properties":{"formattedCitation":"(FMI, 2023)","plainCitation":"(FMI, 2023)","noteIndex":0},"citationItems":[{"id":21742,"uris":["http://zotero.org/groups/122386/items/BM4LDZSI"],"itemData":{"id":21742,"type":"dataset","publisher":"Finnish Meteorological Institute","title":"Ship Traffic Emission Assessment Model (STEAM)","URL":"ilmatieteenlaitos.fi","author":[{"family":"FMI","given":""}],"issued":{"date-parts":[["2023"]]}}}],"schema":"https://github.com/citation-style-language/schema/raw/master/csl-citation.json"}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(FMI, 2023)</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It is important to highlight that the presented sets of data are not directly comparable</w:t>
      </w:r>
      <w:r w:rsidR="00476587"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w:t>
      </w:r>
      <w:r w:rsidR="002E0A0F" w:rsidRPr="00C66C24">
        <w:rPr>
          <w:rFonts w:ascii="Calibri" w:eastAsia="Calibri" w:hAnsi="Calibri" w:cs="Calibri"/>
          <w:color w:val="000000" w:themeColor="text1"/>
        </w:rPr>
        <w:t>n</w:t>
      </w:r>
      <w:r w:rsidRPr="00C66C24">
        <w:rPr>
          <w:rFonts w:ascii="Calibri" w:eastAsia="Calibri" w:hAnsi="Calibri" w:cs="Calibri"/>
          <w:color w:val="000000" w:themeColor="text1"/>
        </w:rPr>
        <w:t xml:space="preserve">or it is the scope of the figure to compare them. This is due to fundamental differences in underlying methodologies to calculate emissions, as also summarised in </w:t>
      </w:r>
      <w:r w:rsidR="008E55A1" w:rsidRPr="00C66C24">
        <w:rPr>
          <w:rFonts w:ascii="Calibri" w:eastAsia="Calibri" w:hAnsi="Calibri" w:cs="Calibri"/>
          <w:color w:val="000000" w:themeColor="text1"/>
        </w:rPr>
        <w:fldChar w:fldCharType="begin"/>
      </w:r>
      <w:r w:rsidR="008E55A1" w:rsidRPr="00C66C24">
        <w:rPr>
          <w:rFonts w:ascii="Calibri" w:eastAsia="Calibri" w:hAnsi="Calibri" w:cs="Calibri"/>
          <w:color w:val="000000" w:themeColor="text1"/>
        </w:rPr>
        <w:instrText xml:space="preserve"> REF _Ref157185664 \h </w:instrText>
      </w:r>
      <w:r w:rsidR="008E55A1" w:rsidRPr="00C66C24">
        <w:rPr>
          <w:rFonts w:ascii="Calibri" w:eastAsia="Calibri" w:hAnsi="Calibri" w:cs="Calibri"/>
          <w:color w:val="000000" w:themeColor="text1"/>
        </w:rPr>
      </w:r>
      <w:r w:rsidR="008E55A1" w:rsidRPr="00C66C24">
        <w:rPr>
          <w:rFonts w:ascii="Calibri" w:eastAsia="Calibri" w:hAnsi="Calibri" w:cs="Calibri"/>
          <w:color w:val="000000" w:themeColor="text1"/>
        </w:rPr>
        <w:fldChar w:fldCharType="separate"/>
      </w:r>
      <w:r w:rsidR="008E55A1" w:rsidRPr="00C66C24">
        <w:t xml:space="preserve">Table </w:t>
      </w:r>
      <w:r w:rsidR="008E55A1" w:rsidRPr="00C66C24">
        <w:rPr>
          <w:noProof/>
        </w:rPr>
        <w:t>2</w:t>
      </w:r>
      <w:r w:rsidR="008E55A1" w:rsidRPr="00C66C24">
        <w:t>.</w:t>
      </w:r>
      <w:r w:rsidR="008E55A1" w:rsidRPr="00C66C24">
        <w:rPr>
          <w:noProof/>
        </w:rPr>
        <w:t>1</w:t>
      </w:r>
      <w:r w:rsidR="008E55A1" w:rsidRPr="00C66C24">
        <w:t>.</w:t>
      </w:r>
      <w:r w:rsidR="008E55A1"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The three datasets give complementary visions of the sector’s emissions. For example, through STEAM is possible to observe the geographical distribution of emissions at regional level, through the utilisation of Automatic Identification System (AIS) data, while the UNFCCC inventories provide an historical series of data. Despite these differences, it is possible to observe that for the year 2021 the overall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reported under the UNFCCC inventories and the MRV regulation are 143.3 million tonnes and 126.2 million tonnes</w:t>
      </w:r>
      <w:r w:rsidR="004101F4"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respectively.</w:t>
      </w:r>
      <w:r w:rsidRPr="00C66C24">
        <w:rPr>
          <w:rFonts w:ascii="Segoe UI" w:hAnsi="Segoe UI" w:cs="Segoe UI"/>
          <w:sz w:val="18"/>
          <w:szCs w:val="18"/>
        </w:rPr>
        <w:t xml:space="preserve"> </w:t>
      </w:r>
      <w:r w:rsidRPr="00C66C24">
        <w:rPr>
          <w:rFonts w:ascii="Calibri" w:eastAsia="Calibri" w:hAnsi="Calibri" w:cs="Calibri"/>
          <w:color w:val="000000" w:themeColor="text1"/>
        </w:rPr>
        <w:t xml:space="preserve">Despite the above, the datasets are in good agreement providing confidence in the data reported. The domestic navigation definition for the UNFCCC inventories accounts </w:t>
      </w:r>
      <w:r w:rsidR="008E7814" w:rsidRPr="00C66C24">
        <w:rPr>
          <w:rFonts w:ascii="Calibri" w:eastAsia="Calibri" w:hAnsi="Calibri" w:cs="Calibri"/>
          <w:color w:val="000000" w:themeColor="text1"/>
        </w:rPr>
        <w:t xml:space="preserve">for </w:t>
      </w:r>
      <w:r w:rsidRPr="00C66C24">
        <w:rPr>
          <w:rFonts w:ascii="Calibri" w:eastAsia="Calibri" w:hAnsi="Calibri" w:cs="Calibri"/>
          <w:color w:val="000000" w:themeColor="text1"/>
        </w:rPr>
        <w:t>emissions occurring from voyages starting and ending in ports located in the same Member States. According to the inventories, in 2021 domestic emissions amounted to 15.7 million tonnes, approximately 11% of the total. In STEAM, domestic navigation (with a definition similar to the one of inventories) in 2021 was equal to 67.9 million tonnes and accounted for 38% of the total. Finally, in the MRV, the intra EEA plus the at berth emissions accounted for 32% of the total share.</w:t>
      </w:r>
    </w:p>
    <w:bookmarkEnd w:id="65"/>
    <w:p w14:paraId="661DC7B5" w14:textId="77777777" w:rsidR="005E5E17" w:rsidRPr="00C66C24" w:rsidRDefault="005E5E17" w:rsidP="008C6A9C">
      <w:pPr>
        <w:keepNext/>
        <w:spacing w:line="257" w:lineRule="auto"/>
        <w:jc w:val="center"/>
      </w:pPr>
      <w:r w:rsidRPr="00C66C24">
        <w:rPr>
          <w:rFonts w:ascii="Calibri" w:hAnsi="Calibri"/>
          <w:b/>
          <w:noProof/>
          <w:color w:val="445369"/>
        </w:rPr>
        <w:drawing>
          <wp:inline distT="0" distB="0" distL="0" distR="0" wp14:anchorId="4D466396" wp14:editId="658D5136">
            <wp:extent cx="5140800" cy="3326400"/>
            <wp:effectExtent l="0" t="0" r="317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0800" cy="3326400"/>
                    </a:xfrm>
                    <a:prstGeom prst="rect">
                      <a:avLst/>
                    </a:prstGeom>
                    <a:noFill/>
                    <a:ln>
                      <a:noFill/>
                    </a:ln>
                  </pic:spPr>
                </pic:pic>
              </a:graphicData>
            </a:graphic>
          </wp:inline>
        </w:drawing>
      </w:r>
    </w:p>
    <w:p w14:paraId="1F8365B7" w14:textId="72A21175" w:rsidR="005E5E17" w:rsidRPr="00C66C24" w:rsidRDefault="005E5E17" w:rsidP="008C6A9C">
      <w:pPr>
        <w:pStyle w:val="Caption"/>
        <w:spacing w:after="0" w:line="257" w:lineRule="auto"/>
        <w:jc w:val="center"/>
        <w:rPr>
          <w:sz w:val="20"/>
          <w:szCs w:val="20"/>
        </w:rPr>
      </w:pPr>
      <w:bookmarkStart w:id="69" w:name="_Ref157411094"/>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Pr="00C66C24">
        <w:rPr>
          <w:sz w:val="20"/>
          <w:szCs w:val="20"/>
        </w:rPr>
        <w:t xml:space="preserve"> CO</w:t>
      </w:r>
      <w:r w:rsidRPr="00C66C24">
        <w:rPr>
          <w:sz w:val="20"/>
          <w:szCs w:val="20"/>
          <w:vertAlign w:val="subscript"/>
        </w:rPr>
        <w:t>2</w:t>
      </w:r>
      <w:r w:rsidRPr="00C66C24">
        <w:rPr>
          <w:sz w:val="20"/>
          <w:szCs w:val="20"/>
        </w:rPr>
        <w:t xml:space="preserve"> emissions from the maritime sector (Gg) and their share in total transport emissions (%) between 1990 and 2021 in EU-27.</w:t>
      </w:r>
      <w:bookmarkEnd w:id="69"/>
    </w:p>
    <w:p w14:paraId="088473E5" w14:textId="5CA0EF34" w:rsidR="005E5E17" w:rsidRPr="00C66C24" w:rsidRDefault="005E5E17" w:rsidP="00CF7254">
      <w:pPr>
        <w:spacing w:before="0" w:after="120" w:line="257" w:lineRule="auto"/>
        <w:jc w:val="center"/>
        <w:rPr>
          <w:rFonts w:ascii="Calibri" w:eastAsia="Calibri" w:hAnsi="Calibri" w:cs="Calibri"/>
          <w:color w:val="000000" w:themeColor="text1"/>
          <w:sz w:val="20"/>
          <w:szCs w:val="20"/>
        </w:rPr>
      </w:pPr>
      <w:r w:rsidRPr="00C66C24">
        <w:rPr>
          <w:rFonts w:cstheme="minorHAnsi"/>
          <w:sz w:val="20"/>
          <w:szCs w:val="20"/>
          <w:shd w:val="clear" w:color="auto" w:fill="FFFFFF"/>
        </w:rPr>
        <w:t xml:space="preserve">Source: UNFCCC </w:t>
      </w:r>
      <w:r w:rsidRPr="00C66C24">
        <w:rPr>
          <w:rFonts w:eastAsia="Calibri" w:cstheme="minorHAnsi"/>
          <w:color w:val="000000" w:themeColor="text1"/>
          <w:sz w:val="20"/>
          <w:szCs w:val="20"/>
        </w:rPr>
        <w:fldChar w:fldCharType="begin"/>
      </w:r>
      <w:r w:rsidR="001855E3" w:rsidRPr="00C66C24">
        <w:rPr>
          <w:rFonts w:ascii="Calibri" w:eastAsia="Calibri" w:hAnsi="Calibri" w:cs="Calibri"/>
          <w:color w:val="000000" w:themeColor="text1"/>
          <w:szCs w:val="22"/>
        </w:rPr>
        <w:instrText xml:space="preserve"> ADDIN ZOTERO_ITEM CSL_CITATION {"citationID":"k7ysIz0k","properties":{"formattedCitation":"(EEA, 2022b)","plainCitation":"(EEA, 2022b)","dontUpdate":true,"noteIndex":0},"citationItems":[{"id":33267,"uris":["http://zotero.org/groups/122386/items/SIHM9X23"],"itemData":{"id":33267,"type":"report","title":"National emissions reported to the UNFCCC and to the EU Greenhouse Gas Monitoring Mechanism, Dec. 2022","URL":"https://www.eea.europa.eu/en/datahub","author":[{"family":"EEA","given":""}],"issued":{"date-parts":[["2022",9,6]]}}}],"schema":"https://github.com/citation-style-language/schema/raw/master/csl-citation.json"} </w:instrText>
      </w:r>
      <w:r w:rsidRPr="00C66C24">
        <w:rPr>
          <w:rFonts w:eastAsia="Calibri" w:cstheme="minorHAnsi"/>
          <w:color w:val="000000" w:themeColor="text1"/>
          <w:sz w:val="20"/>
          <w:szCs w:val="20"/>
        </w:rPr>
        <w:fldChar w:fldCharType="separate"/>
      </w:r>
      <w:r w:rsidRPr="00C66C24">
        <w:rPr>
          <w:rFonts w:cstheme="minorHAnsi"/>
          <w:sz w:val="20"/>
          <w:szCs w:val="20"/>
        </w:rPr>
        <w:t>(EEA, 2022c)</w:t>
      </w:r>
      <w:r w:rsidRPr="00C66C24">
        <w:rPr>
          <w:rFonts w:eastAsia="Calibri" w:cstheme="minorHAnsi"/>
          <w:color w:val="000000" w:themeColor="text1"/>
          <w:sz w:val="20"/>
          <w:szCs w:val="20"/>
        </w:rPr>
        <w:fldChar w:fldCharType="end"/>
      </w:r>
      <w:r w:rsidRPr="00C66C24">
        <w:rPr>
          <w:rFonts w:eastAsia="Calibri" w:cstheme="minorHAnsi"/>
          <w:color w:val="000000" w:themeColor="text1"/>
          <w:sz w:val="20"/>
          <w:szCs w:val="20"/>
        </w:rPr>
        <w:t>.</w:t>
      </w:r>
    </w:p>
    <w:p w14:paraId="66F1C59C" w14:textId="464FFAE7" w:rsidR="00506B26" w:rsidRPr="00C66C24" w:rsidRDefault="005E5E17" w:rsidP="008C6A9C">
      <w:pPr>
        <w:spacing w:before="0" w:after="0" w:line="257" w:lineRule="auto"/>
        <w:rPr>
          <w:rFonts w:ascii="Calibri" w:eastAsia="Calibri" w:hAnsi="Calibri" w:cs="Calibri"/>
          <w:color w:val="000000" w:themeColor="text1"/>
        </w:rPr>
      </w:pPr>
      <w:bookmarkStart w:id="70" w:name="_Hlk157179963"/>
      <w:r w:rsidRPr="00C66C24">
        <w:rPr>
          <w:rFonts w:ascii="Calibri" w:eastAsia="Calibri" w:hAnsi="Calibri" w:cs="Calibri"/>
          <w:color w:val="000000" w:themeColor="text1"/>
        </w:rPr>
        <w:t>The share of the maritime transport sector to overall transport emissions as reported within the same UNFCCC GHG inventories</w:t>
      </w:r>
      <w:r w:rsidRPr="00C66C24">
        <w:rPr>
          <w:rFonts w:ascii="Calibri" w:hAnsi="Calibri"/>
        </w:rPr>
        <w:t xml:space="preserve"> </w:t>
      </w:r>
      <w:r w:rsidRPr="00C66C24">
        <w:rPr>
          <w:rFonts w:ascii="Calibri" w:eastAsia="Calibri" w:hAnsi="Calibri" w:cs="Calibri"/>
          <w:color w:val="000000" w:themeColor="text1"/>
        </w:rPr>
        <w:t xml:space="preserve">has remained roughly constant </w:t>
      </w:r>
      <w:r w:rsidR="00DC635A">
        <w:rPr>
          <w:rFonts w:ascii="Calibri" w:eastAsia="Calibri" w:hAnsi="Calibri" w:cs="Calibri"/>
          <w:color w:val="000000" w:themeColor="text1"/>
        </w:rPr>
        <w:t xml:space="preserve">in </w:t>
      </w:r>
      <w:r w:rsidRPr="00C66C24">
        <w:rPr>
          <w:rFonts w:ascii="Calibri" w:eastAsia="Calibri" w:hAnsi="Calibri" w:cs="Calibri"/>
          <w:color w:val="000000" w:themeColor="text1"/>
        </w:rPr>
        <w:t>time</w:t>
      </w:r>
      <w:r w:rsidR="004D7253">
        <w:rPr>
          <w:rFonts w:ascii="Calibri" w:eastAsia="Calibri" w:hAnsi="Calibri" w:cs="Calibri"/>
          <w:color w:val="000000" w:themeColor="text1"/>
        </w:rPr>
        <w:t>,</w:t>
      </w:r>
      <w:r w:rsidRPr="00C66C24">
        <w:rPr>
          <w:rFonts w:ascii="Calibri" w:eastAsia="Calibri" w:hAnsi="Calibri" w:cs="Calibri"/>
          <w:color w:val="000000" w:themeColor="text1"/>
        </w:rPr>
        <w:t xml:space="preserve"> reaching approximately 15% in 2021 compared to total transport emission</w:t>
      </w:r>
      <w:r w:rsidR="00476587" w:rsidRPr="00C66C24">
        <w:rPr>
          <w:rFonts w:ascii="Calibri" w:eastAsia="Calibri" w:hAnsi="Calibri" w:cs="Calibri"/>
          <w:color w:val="000000" w:themeColor="text1"/>
        </w:rPr>
        <w:t xml:space="preserve"> </w:t>
      </w:r>
      <w:r w:rsidR="004D7253">
        <w:rPr>
          <w:rFonts w:ascii="Calibri" w:eastAsia="Calibri" w:hAnsi="Calibri" w:cs="Calibri"/>
          <w:color w:val="000000" w:themeColor="text1"/>
        </w:rPr>
        <w:t>(see</w:t>
      </w:r>
      <w:r w:rsidR="00476587" w:rsidRPr="00C66C24">
        <w:rPr>
          <w:rFonts w:ascii="Calibri" w:eastAsia="Calibri" w:hAnsi="Calibri" w:cs="Calibri"/>
          <w:color w:val="000000" w:themeColor="text1"/>
        </w:rPr>
        <w:t xml:space="preserve"> </w:t>
      </w:r>
      <w:r w:rsidR="00476587" w:rsidRPr="00C66C24">
        <w:rPr>
          <w:rFonts w:ascii="Calibri" w:eastAsia="Calibri" w:hAnsi="Calibri" w:cs="Calibri"/>
          <w:color w:val="000000" w:themeColor="text1"/>
        </w:rPr>
        <w:fldChar w:fldCharType="begin"/>
      </w:r>
      <w:r w:rsidR="00476587" w:rsidRPr="00C66C24">
        <w:rPr>
          <w:rFonts w:ascii="Calibri" w:eastAsia="Calibri" w:hAnsi="Calibri" w:cs="Calibri"/>
          <w:color w:val="000000" w:themeColor="text1"/>
        </w:rPr>
        <w:instrText xml:space="preserve"> REF _Ref151110640 \h  \* MERGEFORMAT </w:instrText>
      </w:r>
      <w:r w:rsidR="00476587" w:rsidRPr="00C66C24">
        <w:rPr>
          <w:rFonts w:ascii="Calibri" w:eastAsia="Calibri" w:hAnsi="Calibri" w:cs="Calibri"/>
          <w:color w:val="000000" w:themeColor="text1"/>
        </w:rPr>
      </w:r>
      <w:r w:rsidR="00476587" w:rsidRPr="00C66C24">
        <w:rPr>
          <w:rFonts w:ascii="Calibri" w:eastAsia="Calibri" w:hAnsi="Calibri" w:cs="Calibri"/>
          <w:color w:val="000000" w:themeColor="text1"/>
        </w:rPr>
        <w:fldChar w:fldCharType="separate"/>
      </w:r>
      <w:r w:rsidR="00476587" w:rsidRPr="00C66C24">
        <w:rPr>
          <w:rFonts w:ascii="Calibri" w:eastAsia="Calibri" w:hAnsi="Calibri" w:cs="Calibri"/>
          <w:color w:val="000000" w:themeColor="text1"/>
        </w:rPr>
        <w:t>Figure 2.2</w:t>
      </w:r>
      <w:r w:rsidR="00476587" w:rsidRPr="00C66C24">
        <w:rPr>
          <w:rFonts w:ascii="Calibri" w:eastAsia="Calibri" w:hAnsi="Calibri" w:cs="Calibri"/>
          <w:color w:val="000000" w:themeColor="text1"/>
        </w:rPr>
        <w:fldChar w:fldCharType="end"/>
      </w:r>
      <w:r w:rsidR="004D7253">
        <w:rPr>
          <w:rFonts w:ascii="Calibri" w:eastAsia="Calibri" w:hAnsi="Calibri" w:cs="Calibri"/>
          <w:color w:val="000000" w:themeColor="text1"/>
        </w:rPr>
        <w:t>)</w:t>
      </w:r>
      <w:r w:rsidRPr="00C66C24">
        <w:rPr>
          <w:rFonts w:ascii="Calibri" w:eastAsia="Calibri" w:hAnsi="Calibri" w:cs="Calibri"/>
          <w:color w:val="000000" w:themeColor="text1"/>
        </w:rPr>
        <w:t xml:space="preserve">. At the same time (not shown in the graph), between 1995 and 2021, the EU domestic freight maritime transport activity (measured in billion </w:t>
      </w:r>
      <w:proofErr w:type="spellStart"/>
      <w:r w:rsidRPr="00C66C24">
        <w:rPr>
          <w:rFonts w:ascii="Calibri" w:eastAsia="Calibri" w:hAnsi="Calibri" w:cs="Calibri"/>
          <w:color w:val="000000" w:themeColor="text1"/>
        </w:rPr>
        <w:t>tkm</w:t>
      </w:r>
      <w:proofErr w:type="spellEnd"/>
      <w:r w:rsidRPr="00C66C24">
        <w:rPr>
          <w:rStyle w:val="FootnoteReference"/>
        </w:rPr>
        <w:footnoteReference w:id="8"/>
      </w:r>
      <w:r w:rsidRPr="00C66C24">
        <w:rPr>
          <w:rFonts w:ascii="Calibri" w:eastAsia="Calibri" w:hAnsi="Calibri" w:cs="Calibri"/>
          <w:color w:val="000000" w:themeColor="text1"/>
        </w:rPr>
        <w:t xml:space="preserve">) has increased by 39% (despite the impact of COVID-19 pandemic) while the passenger one (in billion </w:t>
      </w:r>
      <w:proofErr w:type="spellStart"/>
      <w:r w:rsidRPr="00C66C24">
        <w:rPr>
          <w:rFonts w:ascii="Calibri" w:eastAsia="Calibri" w:hAnsi="Calibri" w:cs="Calibri"/>
          <w:color w:val="000000" w:themeColor="text1"/>
        </w:rPr>
        <w:t>pkm</w:t>
      </w:r>
      <w:proofErr w:type="spellEnd"/>
      <w:r w:rsidRPr="00C66C24">
        <w:rPr>
          <w:rStyle w:val="FootnoteReference"/>
        </w:rPr>
        <w:footnoteReference w:id="9"/>
      </w:r>
      <w:r w:rsidRPr="00C66C24">
        <w:rPr>
          <w:rFonts w:ascii="Calibri" w:eastAsia="Calibri" w:hAnsi="Calibri" w:cs="Calibri"/>
          <w:color w:val="000000" w:themeColor="text1"/>
        </w:rPr>
        <w:t>) has decreased by 39%</w:t>
      </w:r>
      <w:r w:rsidR="00BF1272" w:rsidRPr="00C66C24">
        <w:rPr>
          <w:rFonts w:ascii="Calibri" w:eastAsia="Calibri" w:hAnsi="Calibri" w:cs="Calibri"/>
          <w:color w:val="000000" w:themeColor="text1"/>
        </w:rPr>
        <w:t xml:space="preserve"> </w:t>
      </w:r>
      <w:r w:rsidR="00931E17"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{"citationID":"a1g1qivrr3o","properties":{"formattedCitation":"(EC, 2023a)","plainCitation":"(EC, 2023a)","noteIndex":0},"citationItems":[{"id":59450,"uris":["http://zotero.org/groups/122386/items/MZC43GHH"],"itemData":{"id":59450,"type":"book","event-place":"LU","language":"eng","publisher":"Directorate General for Mobility and Transport","publisher-place":"LU","source":"DOI.org (CSL JSON)","title":"EU transport in figures: statistical pocketbook 2023","title-short":"EU transport in figures","URL":"https://data.europa.eu/doi/10.2832/319371","author":[{"literal":"EC"}],"accessed":{"date-parts":[["2024",1,30]]},"issued":{"date-parts":[["2023"]]}}}],"schema":"https://github.com/citation-style-language/schema/raw/master/csl-citation.json"} </w:instrText>
      </w:r>
      <w:r w:rsidR="00931E17" w:rsidRPr="00C66C24">
        <w:rPr>
          <w:rFonts w:ascii="Calibri" w:eastAsia="Calibri" w:hAnsi="Calibri" w:cs="Calibri"/>
          <w:color w:val="000000" w:themeColor="text1"/>
        </w:rPr>
        <w:fldChar w:fldCharType="separate"/>
      </w:r>
      <w:r w:rsidR="001855E3" w:rsidRPr="00C66C24">
        <w:rPr>
          <w:rFonts w:ascii="Calibri" w:hAnsi="Calibri" w:cs="Calibri"/>
        </w:rPr>
        <w:t>(EC, 2023</w:t>
      </w:r>
      <w:r w:rsidR="00001465">
        <w:rPr>
          <w:rFonts w:ascii="Calibri" w:hAnsi="Calibri" w:cs="Calibri"/>
        </w:rPr>
        <w:t>b</w:t>
      </w:r>
      <w:r w:rsidR="001855E3" w:rsidRPr="00C66C24">
        <w:rPr>
          <w:rFonts w:ascii="Calibri" w:hAnsi="Calibri" w:cs="Calibri"/>
        </w:rPr>
        <w:t>)</w:t>
      </w:r>
      <w:r w:rsidR="00931E17" w:rsidRPr="00C66C24">
        <w:rPr>
          <w:rFonts w:ascii="Calibri" w:eastAsia="Calibri" w:hAnsi="Calibri" w:cs="Calibri"/>
          <w:color w:val="000000" w:themeColor="text1"/>
        </w:rPr>
        <w:fldChar w:fldCharType="end"/>
      </w:r>
      <w:r w:rsidR="00BF1272" w:rsidRPr="00C66C24">
        <w:rPr>
          <w:rFonts w:ascii="Calibri" w:eastAsia="Calibri" w:hAnsi="Calibri" w:cs="Calibri"/>
          <w:color w:val="000000" w:themeColor="text1"/>
        </w:rPr>
        <w:t>.</w:t>
      </w:r>
      <w:r w:rsidR="009677DA">
        <w:rPr>
          <w:rFonts w:ascii="Calibri" w:eastAsia="Calibri" w:hAnsi="Calibri" w:cs="Calibri"/>
          <w:color w:val="000000" w:themeColor="text1"/>
        </w:rPr>
        <w:t xml:space="preserve"> </w:t>
      </w:r>
      <w:r w:rsidR="009A2190" w:rsidRPr="00C66C24">
        <w:rPr>
          <w:rFonts w:ascii="Calibri" w:eastAsia="Calibri" w:hAnsi="Calibri" w:cs="Calibri"/>
          <w:color w:val="000000" w:themeColor="text1"/>
        </w:rPr>
        <w:t xml:space="preserve">The GHG Inventories data on the impact of COVID on ship activity shows that </w:t>
      </w:r>
      <w:r w:rsidRPr="00C66C24">
        <w:rPr>
          <w:rFonts w:ascii="Calibri" w:eastAsia="Calibri" w:hAnsi="Calibri" w:cs="Calibri"/>
          <w:color w:val="000000" w:themeColor="text1"/>
        </w:rPr>
        <w:t>from 2019 to 2020 the overall emissions from the sector decreased by 11%, despite the share remaining the same, in line with the reduction of activity caused by the COVID-19 pandemic</w:t>
      </w:r>
      <w:r w:rsidR="002B3F19" w:rsidRPr="00C66C24">
        <w:rPr>
          <w:rFonts w:ascii="Calibri" w:eastAsia="Calibri" w:hAnsi="Calibri" w:cs="Calibri"/>
          <w:color w:val="000000" w:themeColor="text1"/>
        </w:rPr>
        <w:t>.</w:t>
      </w:r>
      <w:r w:rsidR="009A2190" w:rsidRPr="00C66C24">
        <w:rPr>
          <w:rFonts w:ascii="Calibri" w:eastAsia="Calibri" w:hAnsi="Calibri" w:cs="Calibri"/>
          <w:color w:val="000000" w:themeColor="text1"/>
        </w:rPr>
        <w:t xml:space="preserve"> </w:t>
      </w:r>
      <w:r w:rsidR="00BF1272" w:rsidRPr="00C66C24">
        <w:rPr>
          <w:rFonts w:ascii="Calibri" w:eastAsia="Calibri" w:hAnsi="Calibri" w:cs="Calibri"/>
          <w:color w:val="000000" w:themeColor="text1"/>
        </w:rPr>
        <w:t>Indeed,</w:t>
      </w:r>
      <w:r w:rsidR="009A2190" w:rsidRPr="00C66C24">
        <w:rPr>
          <w:rFonts w:ascii="Calibri" w:eastAsia="Calibri" w:hAnsi="Calibri" w:cs="Calibri"/>
          <w:color w:val="000000" w:themeColor="text1"/>
        </w:rPr>
        <w:t xml:space="preserve"> in the same period, for the maritime sector, freight activity decreased by 6% while passenger activity by 51%</w:t>
      </w:r>
      <w:r w:rsidR="00931E17" w:rsidRPr="00C66C24">
        <w:rPr>
          <w:rFonts w:ascii="Calibri" w:eastAsia="Calibri" w:hAnsi="Calibri" w:cs="Calibri"/>
          <w:color w:val="000000" w:themeColor="text1"/>
        </w:rPr>
        <w:t xml:space="preserve"> </w:t>
      </w:r>
      <w:r w:rsidR="00931E17"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{"citationID":"14b7b8UG","properties":{"formattedCitation":"(EC, 2023a)","plainCitation":"(EC, 2023a)","noteIndex":0},"citationItems":[{"id":59450,"uris":["http://zotero.org/groups/122386/items/MZC43GHH"],"itemData":{"id":59450,"type":"book","event-place":"LU","language":"eng","publisher":"Directorate General for Mobility and Transport","publisher-place":"LU","source":"DOI.org (CSL JSON)","title":"EU transport in figures: statistical pocketbook 2023","title-short":"EU transport in figures","URL":"https://data.europa.eu/doi/10.2832/319371","author":[{"literal":"EC"}],"accessed":{"date-parts":[["2024",1,30]]},"issued":{"date-parts":[["2023"]]}}}],"schema":"https://github.com/citation-style-language/schema/raw/master/csl-citation.json"} </w:instrText>
      </w:r>
      <w:r w:rsidR="00931E17" w:rsidRPr="00C66C24">
        <w:rPr>
          <w:rFonts w:ascii="Calibri" w:eastAsia="Calibri" w:hAnsi="Calibri" w:cs="Calibri"/>
          <w:color w:val="000000" w:themeColor="text1"/>
        </w:rPr>
        <w:fldChar w:fldCharType="separate"/>
      </w:r>
      <w:r w:rsidR="001855E3" w:rsidRPr="00C66C24">
        <w:rPr>
          <w:rFonts w:ascii="Calibri" w:hAnsi="Calibri" w:cs="Calibri"/>
        </w:rPr>
        <w:t>(EC, 2023</w:t>
      </w:r>
      <w:r w:rsidR="00001465">
        <w:rPr>
          <w:rFonts w:ascii="Calibri" w:hAnsi="Calibri" w:cs="Calibri"/>
        </w:rPr>
        <w:t>b</w:t>
      </w:r>
      <w:r w:rsidR="001855E3" w:rsidRPr="00C66C24">
        <w:rPr>
          <w:rFonts w:ascii="Calibri" w:hAnsi="Calibri" w:cs="Calibri"/>
        </w:rPr>
        <w:t>)</w:t>
      </w:r>
      <w:r w:rsidR="00931E17" w:rsidRPr="00C66C24">
        <w:rPr>
          <w:rFonts w:ascii="Calibri" w:eastAsia="Calibri" w:hAnsi="Calibri" w:cs="Calibri"/>
          <w:color w:val="000000" w:themeColor="text1"/>
        </w:rPr>
        <w:fldChar w:fldCharType="end"/>
      </w:r>
      <w:r w:rsidR="009A2190" w:rsidRPr="00C66C24">
        <w:rPr>
          <w:rFonts w:ascii="Calibri" w:eastAsia="Calibri" w:hAnsi="Calibri" w:cs="Calibri"/>
          <w:color w:val="000000" w:themeColor="text1"/>
        </w:rPr>
        <w:t>.</w:t>
      </w:r>
    </w:p>
    <w:p w14:paraId="3BCC4FE3" w14:textId="4762F64C" w:rsidR="005E5E17" w:rsidRPr="00C66C24" w:rsidRDefault="002B3F19" w:rsidP="008C6A9C">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S</w:t>
      </w:r>
      <w:r w:rsidR="005E5E17" w:rsidRPr="00C66C24">
        <w:rPr>
          <w:rFonts w:ascii="Calibri" w:eastAsia="Calibri" w:hAnsi="Calibri" w:cs="Calibri"/>
          <w:color w:val="000000" w:themeColor="text1"/>
        </w:rPr>
        <w:t xml:space="preserve">hip calls at EU ports declined by </w:t>
      </w:r>
      <w:r w:rsidR="004F283C" w:rsidRPr="00C66C24">
        <w:rPr>
          <w:rFonts w:ascii="Calibri" w:eastAsia="Calibri" w:hAnsi="Calibri" w:cs="Calibri"/>
          <w:color w:val="000000" w:themeColor="text1"/>
        </w:rPr>
        <w:t>3.5</w:t>
      </w:r>
      <w:r w:rsidR="005E5E17" w:rsidRPr="00C66C24">
        <w:rPr>
          <w:rFonts w:ascii="Calibri" w:eastAsia="Calibri" w:hAnsi="Calibri" w:cs="Calibri"/>
          <w:color w:val="000000" w:themeColor="text1"/>
        </w:rPr>
        <w:t>% in 2020 compared to 2019</w:t>
      </w:r>
      <w:r w:rsidR="00FF2BAD" w:rsidRPr="00C66C24">
        <w:rPr>
          <w:rFonts w:ascii="Calibri" w:eastAsia="Calibri" w:hAnsi="Calibri" w:cs="Calibri"/>
          <w:color w:val="000000" w:themeColor="text1"/>
        </w:rPr>
        <w:t xml:space="preserve"> an</w:t>
      </w:r>
      <w:r w:rsidR="00FE79FE" w:rsidRPr="00C66C24">
        <w:rPr>
          <w:rFonts w:ascii="Calibri" w:eastAsia="Calibri" w:hAnsi="Calibri" w:cs="Calibri"/>
          <w:color w:val="000000" w:themeColor="text1"/>
        </w:rPr>
        <w:t>d</w:t>
      </w:r>
      <w:r w:rsidR="00FF2BAD" w:rsidRPr="00C66C24">
        <w:rPr>
          <w:rFonts w:ascii="Calibri" w:eastAsia="Calibri" w:hAnsi="Calibri" w:cs="Calibri"/>
          <w:color w:val="000000" w:themeColor="text1"/>
        </w:rPr>
        <w:t xml:space="preserve"> increased 3.7% comparing 2019 with 2021</w:t>
      </w:r>
      <w:r w:rsidR="00C72F35" w:rsidRPr="00C66C24">
        <w:rPr>
          <w:rFonts w:ascii="Calibri" w:eastAsia="Calibri" w:hAnsi="Calibri" w:cs="Calibri"/>
          <w:color w:val="000000" w:themeColor="text1"/>
        </w:rPr>
        <w:t>, while</w:t>
      </w:r>
      <w:r w:rsidR="00B10699" w:rsidRPr="00C66C24">
        <w:rPr>
          <w:rFonts w:ascii="Calibri" w:eastAsia="Calibri" w:hAnsi="Calibri" w:cs="Calibri"/>
          <w:color w:val="000000" w:themeColor="text1"/>
        </w:rPr>
        <w:t xml:space="preserve"> total G</w:t>
      </w:r>
      <w:r w:rsidR="008F5F2D">
        <w:rPr>
          <w:rFonts w:ascii="Calibri" w:eastAsia="Calibri" w:hAnsi="Calibri" w:cs="Calibri"/>
          <w:color w:val="000000" w:themeColor="text1"/>
        </w:rPr>
        <w:t xml:space="preserve">ross </w:t>
      </w:r>
      <w:r w:rsidR="00B10699" w:rsidRPr="00C66C24">
        <w:rPr>
          <w:rFonts w:ascii="Calibri" w:eastAsia="Calibri" w:hAnsi="Calibri" w:cs="Calibri"/>
          <w:color w:val="000000" w:themeColor="text1"/>
        </w:rPr>
        <w:t>T</w:t>
      </w:r>
      <w:r w:rsidR="008F5F2D">
        <w:rPr>
          <w:rFonts w:ascii="Calibri" w:eastAsia="Calibri" w:hAnsi="Calibri" w:cs="Calibri"/>
          <w:color w:val="000000" w:themeColor="text1"/>
        </w:rPr>
        <w:t>onnage</w:t>
      </w:r>
      <w:r w:rsidR="00B10699" w:rsidRPr="00C66C24">
        <w:rPr>
          <w:rFonts w:ascii="Calibri" w:eastAsia="Calibri" w:hAnsi="Calibri" w:cs="Calibri"/>
          <w:color w:val="000000" w:themeColor="text1"/>
        </w:rPr>
        <w:t xml:space="preserve"> </w:t>
      </w:r>
      <w:r w:rsidR="008F5F2D">
        <w:rPr>
          <w:rFonts w:ascii="Calibri" w:eastAsia="Calibri" w:hAnsi="Calibri" w:cs="Calibri"/>
          <w:color w:val="000000" w:themeColor="text1"/>
        </w:rPr>
        <w:t xml:space="preserve">(GT) </w:t>
      </w:r>
      <w:r w:rsidR="00B10699" w:rsidRPr="00C66C24">
        <w:rPr>
          <w:rFonts w:ascii="Calibri" w:eastAsia="Calibri" w:hAnsi="Calibri" w:cs="Calibri"/>
          <w:color w:val="000000" w:themeColor="text1"/>
        </w:rPr>
        <w:t>decreased by 11.1% and 9.1%, respectively. It</w:t>
      </w:r>
      <w:r w:rsidRPr="00C66C24">
        <w:rPr>
          <w:rFonts w:ascii="Calibri" w:eastAsia="Calibri" w:hAnsi="Calibri" w:cs="Calibri"/>
          <w:color w:val="000000" w:themeColor="text1"/>
        </w:rPr>
        <w:t xml:space="preserve"> is also important to note that from 2019 to June 2022 there </w:t>
      </w:r>
      <w:r w:rsidR="00FE79FE" w:rsidRPr="00C66C24">
        <w:rPr>
          <w:rFonts w:ascii="Calibri" w:eastAsia="Calibri" w:hAnsi="Calibri" w:cs="Calibri"/>
          <w:color w:val="000000" w:themeColor="text1"/>
        </w:rPr>
        <w:t>was</w:t>
      </w:r>
      <w:r w:rsidRPr="00C66C24">
        <w:rPr>
          <w:rFonts w:ascii="Calibri" w:eastAsia="Calibri" w:hAnsi="Calibri" w:cs="Calibri"/>
          <w:color w:val="000000" w:themeColor="text1"/>
        </w:rPr>
        <w:t xml:space="preserve"> an increase of 4.2% on port calls, that in GT terms represents a reduction of 16.2% compared with the 2019 values, which is </w:t>
      </w:r>
      <w:r w:rsidR="00C325E1" w:rsidRPr="00C66C24">
        <w:rPr>
          <w:rFonts w:ascii="Calibri" w:eastAsia="Calibri" w:hAnsi="Calibri" w:cs="Calibri"/>
          <w:color w:val="000000" w:themeColor="text1"/>
        </w:rPr>
        <w:t>a result</w:t>
      </w:r>
      <w:r w:rsidRPr="00C66C24">
        <w:rPr>
          <w:rFonts w:ascii="Calibri" w:eastAsia="Calibri" w:hAnsi="Calibri" w:cs="Calibri"/>
          <w:color w:val="000000" w:themeColor="text1"/>
        </w:rPr>
        <w:t xml:space="preserve"> </w:t>
      </w:r>
      <w:r w:rsidR="00FE79FE" w:rsidRPr="00C66C24">
        <w:rPr>
          <w:rFonts w:ascii="Calibri" w:eastAsia="Calibri" w:hAnsi="Calibri" w:cs="Calibri"/>
          <w:color w:val="000000" w:themeColor="text1"/>
        </w:rPr>
        <w:t>of</w:t>
      </w:r>
      <w:r w:rsidRPr="00C66C24">
        <w:rPr>
          <w:rFonts w:ascii="Calibri" w:eastAsia="Calibri" w:hAnsi="Calibri" w:cs="Calibri"/>
          <w:color w:val="000000" w:themeColor="text1"/>
        </w:rPr>
        <w:t xml:space="preserve"> the current crisis in Ukraine</w:t>
      </w:r>
      <w:r w:rsidR="00161A57" w:rsidRPr="00C66C24">
        <w:rPr>
          <w:rFonts w:ascii="Calibri" w:eastAsia="Calibri" w:hAnsi="Calibri" w:cs="Calibri"/>
          <w:color w:val="000000" w:themeColor="text1"/>
        </w:rPr>
        <w:t xml:space="preserve"> </w:t>
      </w:r>
      <w:r w:rsidR="00CE196D"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{"citationID":"a2bmmn8cm1b","properties":{"formattedCitation":"(EMSA, 2022)","plainCitation":"(EMSA, 2022)","noteIndex":0},"citationItems":[{"id":59451,"uris":["http://zotero.org/groups/122386/items/4V2KK3XC"],"itemData":{"id":59451,"type":"report","publisher":"European Maritime Safety Agency","title":"July 2022 - COVID-19 Impact on Shipping Report","URL":"https://www.emsa.europa.eu/newsroom/covid19-impact/item/4795-july-2022-covid-19-impact-on-shipping-report.html","author":[{"literal":"EMSA"}],"issued":{"date-parts":[["2022"]]}}}],"schema":"https://github.com/citation-style-language/schema/raw/master/csl-citation.json"} </w:instrText>
      </w:r>
      <w:r w:rsidR="00CE196D" w:rsidRPr="00C66C24">
        <w:rPr>
          <w:rFonts w:ascii="Calibri" w:eastAsia="Calibri" w:hAnsi="Calibri" w:cs="Calibri"/>
          <w:color w:val="000000" w:themeColor="text1"/>
        </w:rPr>
        <w:fldChar w:fldCharType="separate"/>
      </w:r>
      <w:r w:rsidR="001855E3" w:rsidRPr="00C66C24">
        <w:rPr>
          <w:rFonts w:ascii="Calibri" w:hAnsi="Calibri" w:cs="Calibri"/>
        </w:rPr>
        <w:t>(EMSA, 2022)</w:t>
      </w:r>
      <w:r w:rsidR="00CE196D" w:rsidRPr="00C66C24">
        <w:rPr>
          <w:rFonts w:ascii="Calibri" w:eastAsia="Calibri" w:hAnsi="Calibri" w:cs="Calibri"/>
          <w:color w:val="000000" w:themeColor="text1"/>
        </w:rPr>
        <w:fldChar w:fldCharType="end"/>
      </w:r>
      <w:r w:rsidR="005E5E17" w:rsidRPr="00C66C24">
        <w:rPr>
          <w:rFonts w:ascii="Calibri" w:eastAsia="Calibri" w:hAnsi="Calibri" w:cs="Calibri"/>
          <w:color w:val="000000" w:themeColor="text1"/>
        </w:rPr>
        <w:t>.</w:t>
      </w:r>
    </w:p>
    <w:p w14:paraId="28219A5F" w14:textId="77777777" w:rsidR="005E5E17" w:rsidRPr="00C66C24" w:rsidRDefault="005E5E17" w:rsidP="008C6A9C">
      <w:pPr>
        <w:keepNext/>
        <w:spacing w:before="0" w:after="0" w:line="257" w:lineRule="auto"/>
        <w:jc w:val="center"/>
      </w:pPr>
      <w:r w:rsidRPr="00C66C24">
        <w:rPr>
          <w:noProof/>
        </w:rPr>
        <w:drawing>
          <wp:inline distT="0" distB="0" distL="0" distR="0" wp14:anchorId="35C1CD8D" wp14:editId="3AAF6469">
            <wp:extent cx="3978000" cy="3333600"/>
            <wp:effectExtent l="0" t="0" r="381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23">
                      <a:extLst>
                        <a:ext uri="{28A0092B-C50C-407E-A947-70E740481C1C}">
                          <a14:useLocalDpi xmlns:a14="http://schemas.microsoft.com/office/drawing/2010/main" val="0"/>
                        </a:ext>
                      </a:extLst>
                    </a:blip>
                    <a:stretch>
                      <a:fillRect/>
                    </a:stretch>
                  </pic:blipFill>
                  <pic:spPr>
                    <a:xfrm>
                      <a:off x="0" y="0"/>
                      <a:ext cx="3978000" cy="3333600"/>
                    </a:xfrm>
                    <a:prstGeom prst="rect">
                      <a:avLst/>
                    </a:prstGeom>
                  </pic:spPr>
                </pic:pic>
              </a:graphicData>
            </a:graphic>
          </wp:inline>
        </w:drawing>
      </w:r>
    </w:p>
    <w:p w14:paraId="2C2BFF5C" w14:textId="55AF1EC1" w:rsidR="005E5E17" w:rsidRPr="00C66C24" w:rsidRDefault="005E5E17" w:rsidP="008C6A9C">
      <w:pPr>
        <w:pStyle w:val="Caption"/>
        <w:spacing w:after="0" w:line="257" w:lineRule="auto"/>
        <w:jc w:val="center"/>
        <w:rPr>
          <w:sz w:val="20"/>
          <w:szCs w:val="20"/>
        </w:rPr>
      </w:pPr>
      <w:bookmarkStart w:id="71" w:name="_Ref151110688"/>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w:t>
      </w:r>
      <w:r w:rsidR="00A81F61" w:rsidRPr="00C66C24">
        <w:rPr>
          <w:sz w:val="20"/>
          <w:szCs w:val="20"/>
        </w:rPr>
        <w:fldChar w:fldCharType="end"/>
      </w:r>
      <w:bookmarkEnd w:id="71"/>
      <w:r w:rsidRPr="00C66C24">
        <w:rPr>
          <w:sz w:val="20"/>
          <w:szCs w:val="20"/>
        </w:rPr>
        <w:t xml:space="preserve"> Distribution of CO</w:t>
      </w:r>
      <w:r w:rsidRPr="00C66C24">
        <w:rPr>
          <w:sz w:val="20"/>
          <w:szCs w:val="20"/>
          <w:vertAlign w:val="subscript"/>
        </w:rPr>
        <w:t>2</w:t>
      </w:r>
      <w:r w:rsidRPr="00C66C24">
        <w:rPr>
          <w:sz w:val="20"/>
          <w:szCs w:val="20"/>
        </w:rPr>
        <w:t xml:space="preserve"> emissions from freight and passenger vessels (Gg) between 2018 and 2022 in the EEA (2021 onwards without UK).</w:t>
      </w:r>
    </w:p>
    <w:p w14:paraId="2EF045E3" w14:textId="77777777" w:rsidR="005E5E17" w:rsidRPr="00C66C24" w:rsidRDefault="005E5E17" w:rsidP="008C6A9C">
      <w:pPr>
        <w:spacing w:before="0" w:after="120" w:line="257" w:lineRule="auto"/>
        <w:jc w:val="center"/>
        <w:rPr>
          <w:rFonts w:ascii="Calibri" w:eastAsia="Calibri" w:hAnsi="Calibri" w:cs="Calibri"/>
          <w:color w:val="000000" w:themeColor="text1"/>
          <w:sz w:val="20"/>
          <w:szCs w:val="20"/>
        </w:rPr>
      </w:pPr>
      <w:r w:rsidRPr="00C66C24">
        <w:rPr>
          <w:rFonts w:ascii="Calibri" w:eastAsia="Calibri" w:hAnsi="Calibri" w:cs="Calibri"/>
          <w:color w:val="000000" w:themeColor="text1"/>
          <w:sz w:val="20"/>
          <w:szCs w:val="20"/>
        </w:rPr>
        <w:t>Source: EMSA, THETIS-MRV.</w:t>
      </w:r>
    </w:p>
    <w:p w14:paraId="27F81D07" w14:textId="372C23A7" w:rsidR="005E5E17" w:rsidRPr="00C66C24" w:rsidRDefault="005E5E17" w:rsidP="008C6A9C">
      <w:pPr>
        <w:spacing w:before="0" w:after="0" w:line="257" w:lineRule="auto"/>
      </w:pPr>
      <w:r w:rsidRPr="00C66C24">
        <w:rPr>
          <w:rFonts w:ascii="Calibri" w:eastAsia="Calibri" w:hAnsi="Calibri" w:cs="Calibri"/>
          <w:color w:val="000000" w:themeColor="text1"/>
        </w:rPr>
        <w:t xml:space="preserve">Overall freight emissions in 2022 were equal to 105.5 million tonnes, approximately </w:t>
      </w:r>
      <w:r w:rsidR="007F12FB">
        <w:rPr>
          <w:rFonts w:ascii="Calibri" w:eastAsia="Calibri" w:hAnsi="Calibri" w:cs="Calibri"/>
          <w:color w:val="000000" w:themeColor="text1"/>
        </w:rPr>
        <w:t>four</w:t>
      </w:r>
      <w:r w:rsidRPr="00C66C24">
        <w:rPr>
          <w:rFonts w:ascii="Calibri" w:eastAsia="Calibri" w:hAnsi="Calibri" w:cs="Calibri"/>
          <w:color w:val="000000" w:themeColor="text1"/>
        </w:rPr>
        <w:t xml:space="preserve"> times higher compared to passenger emissions</w:t>
      </w:r>
      <w:r w:rsidR="00F1002F" w:rsidRPr="00C66C24">
        <w:rPr>
          <w:rFonts w:ascii="Calibri" w:eastAsia="Calibri" w:hAnsi="Calibri" w:cs="Calibri"/>
          <w:color w:val="000000" w:themeColor="text1"/>
        </w:rPr>
        <w:t xml:space="preserve"> </w:t>
      </w:r>
      <w:r w:rsidR="00107ED7" w:rsidRPr="00C66C24">
        <w:rPr>
          <w:rFonts w:ascii="Calibri" w:eastAsia="Calibri" w:hAnsi="Calibri" w:cs="Calibri"/>
          <w:color w:val="000000" w:themeColor="text1"/>
        </w:rPr>
        <w:t>(</w:t>
      </w:r>
      <w:r w:rsidR="00F1002F" w:rsidRPr="00C66C24">
        <w:rPr>
          <w:rFonts w:ascii="Calibri" w:eastAsia="Calibri" w:hAnsi="Calibri" w:cs="Calibri"/>
          <w:color w:val="000000" w:themeColor="text1"/>
        </w:rPr>
        <w:t>s</w:t>
      </w:r>
      <w:r w:rsidR="00F1002F" w:rsidRPr="00C66C24">
        <w:t>ee</w:t>
      </w:r>
      <w:r w:rsidR="00107ED7" w:rsidRPr="00C66C24">
        <w:t xml:space="preserve"> </w:t>
      </w:r>
      <w:r w:rsidR="00107ED7" w:rsidRPr="00C66C24">
        <w:fldChar w:fldCharType="begin"/>
      </w:r>
      <w:r w:rsidR="00107ED7" w:rsidRPr="00C66C24">
        <w:instrText xml:space="preserve"> REF _Ref151110688 \h </w:instrText>
      </w:r>
      <w:r w:rsidR="00107ED7" w:rsidRPr="00C66C24">
        <w:fldChar w:fldCharType="separate"/>
      </w:r>
      <w:r w:rsidR="00107ED7" w:rsidRPr="00C66C24">
        <w:t>Figure 2.3</w:t>
      </w:r>
      <w:r w:rsidR="00107ED7" w:rsidRPr="00C66C24">
        <w:fldChar w:fldCharType="end"/>
      </w:r>
      <w:r w:rsidR="00107ED7" w:rsidRPr="00C66C24">
        <w:t>)</w:t>
      </w:r>
      <w:r w:rsidRPr="00C66C24">
        <w:rPr>
          <w:rFonts w:ascii="Calibri" w:eastAsia="Calibri" w:hAnsi="Calibri" w:cs="Calibri"/>
          <w:color w:val="000000" w:themeColor="text1"/>
        </w:rPr>
        <w:t xml:space="preserve">. Focussing on </w:t>
      </w:r>
      <w:r w:rsidR="00DE6BEC" w:rsidRPr="00C66C24">
        <w:rPr>
          <w:rFonts w:ascii="Calibri" w:eastAsia="Calibri" w:hAnsi="Calibri" w:cs="Calibri"/>
          <w:color w:val="000000" w:themeColor="text1"/>
        </w:rPr>
        <w:t>intra-European</w:t>
      </w:r>
      <w:r w:rsidRPr="00C66C24">
        <w:rPr>
          <w:rFonts w:ascii="Calibri" w:eastAsia="Calibri" w:hAnsi="Calibri" w:cs="Calibri"/>
          <w:color w:val="000000" w:themeColor="text1"/>
        </w:rPr>
        <w:t xml:space="preserve"> Economic Area voyages, in absolute terms, the difference of emissions from the two modes have decreased. The total emissions from freight transport have decreased by 20% in the 2018-2022 period, while passenger transport emissions seem to have fluctuated due to the impact of the COVID-19 pandemic. Emissions at berth for freight remained rather stable over the period considered and equal to approximately 6% of the total. For passenger transport this value oscillated between 8% and 15%, depending on the year considered.</w:t>
      </w:r>
    </w:p>
    <w:p w14:paraId="1FF0E6A7" w14:textId="08DDAE11" w:rsidR="005E5E17" w:rsidRPr="00C66C24" w:rsidRDefault="005E5E17" w:rsidP="008C175F">
      <w:pPr>
        <w:spacing w:before="0" w:after="0" w:line="257" w:lineRule="auto"/>
      </w:pPr>
      <w:r w:rsidRPr="00C66C24">
        <w:rPr>
          <w:rFonts w:ascii="Calibri" w:eastAsia="Calibri" w:hAnsi="Calibri" w:cs="Calibri"/>
          <w:color w:val="000000" w:themeColor="text1"/>
        </w:rPr>
        <w:t xml:space="preserve">From 2018 until 2022 five ship types represent the majority of ships reporting under the </w:t>
      </w:r>
      <w:r w:rsidRPr="00C66C24">
        <w:rPr>
          <w:rFonts w:ascii="Calibri" w:eastAsia="Calibri" w:hAnsi="Calibri" w:cs="Calibri"/>
          <w:color w:val="000000" w:themeColor="text1"/>
          <w:szCs w:val="22"/>
        </w:rPr>
        <w:t>MRV, submitting 81% of the total MRV emission reports (see</w:t>
      </w:r>
      <w:r w:rsidR="001D28CA" w:rsidRPr="00C66C24">
        <w:rPr>
          <w:rFonts w:ascii="Calibri" w:eastAsia="Calibri" w:hAnsi="Calibri" w:cs="Calibri"/>
          <w:color w:val="000000" w:themeColor="text1"/>
          <w:szCs w:val="22"/>
        </w:rPr>
        <w:t xml:space="preserve"> </w:t>
      </w:r>
      <w:r w:rsidR="001D28CA" w:rsidRPr="00C66C24">
        <w:rPr>
          <w:rFonts w:ascii="Calibri" w:eastAsia="Calibri" w:hAnsi="Calibri" w:cs="Calibri"/>
          <w:color w:val="000000" w:themeColor="text1"/>
          <w:szCs w:val="22"/>
        </w:rPr>
        <w:fldChar w:fldCharType="begin"/>
      </w:r>
      <w:r w:rsidR="001D28CA" w:rsidRPr="00C66C24">
        <w:rPr>
          <w:rFonts w:ascii="Calibri" w:eastAsia="Calibri" w:hAnsi="Calibri" w:cs="Calibri"/>
          <w:color w:val="000000" w:themeColor="text1"/>
          <w:szCs w:val="22"/>
        </w:rPr>
        <w:instrText xml:space="preserve"> REF _Ref157421944 \h  \* MERGEFORMAT </w:instrText>
      </w:r>
      <w:r w:rsidR="001D28CA" w:rsidRPr="00C66C24">
        <w:rPr>
          <w:rFonts w:ascii="Calibri" w:eastAsia="Calibri" w:hAnsi="Calibri" w:cs="Calibri"/>
          <w:color w:val="000000" w:themeColor="text1"/>
          <w:szCs w:val="22"/>
        </w:rPr>
      </w:r>
      <w:r w:rsidR="001D28CA" w:rsidRPr="00C66C24">
        <w:rPr>
          <w:rFonts w:ascii="Calibri" w:eastAsia="Calibri" w:hAnsi="Calibri" w:cs="Calibri"/>
          <w:color w:val="000000" w:themeColor="text1"/>
          <w:szCs w:val="22"/>
        </w:rPr>
        <w:fldChar w:fldCharType="separate"/>
      </w:r>
      <w:r w:rsidR="002468E6" w:rsidRPr="00C66C24">
        <w:rPr>
          <w:szCs w:val="22"/>
        </w:rPr>
        <w:t xml:space="preserve">Figure </w:t>
      </w:r>
      <w:r w:rsidR="002468E6" w:rsidRPr="00C66C24">
        <w:rPr>
          <w:noProof/>
          <w:szCs w:val="22"/>
        </w:rPr>
        <w:t>2.4</w:t>
      </w:r>
      <w:r w:rsidR="001D28CA" w:rsidRPr="00C66C24">
        <w:rPr>
          <w:rFonts w:ascii="Calibri" w:eastAsia="Calibri" w:hAnsi="Calibri" w:cs="Calibri"/>
          <w:color w:val="000000" w:themeColor="text1"/>
          <w:szCs w:val="22"/>
        </w:rPr>
        <w:fldChar w:fldCharType="end"/>
      </w:r>
      <w:r w:rsidRPr="00C66C24">
        <w:rPr>
          <w:rFonts w:ascii="Calibri" w:eastAsia="Calibri" w:hAnsi="Calibri" w:cs="Calibri"/>
          <w:color w:val="000000" w:themeColor="text1"/>
        </w:rPr>
        <w:t>). Containerships, oil tankers, bulk carriers, chemical tankers, and general cargo ships accounted for 64% of the total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for 2022. Identifying the main contributors serves as starting point to prioritise decarbonisation strategies and identify the sectors requiring urgent investment</w:t>
      </w:r>
      <w:r w:rsidR="00FE79FE" w:rsidRPr="00C66C24">
        <w:rPr>
          <w:rFonts w:ascii="Calibri" w:eastAsia="Calibri" w:hAnsi="Calibri" w:cs="Calibri"/>
          <w:color w:val="000000" w:themeColor="text1"/>
        </w:rPr>
        <w:t>s</w:t>
      </w:r>
      <w:r w:rsidRPr="00C66C24">
        <w:rPr>
          <w:rFonts w:ascii="Calibri" w:eastAsia="Calibri" w:hAnsi="Calibri" w:cs="Calibri"/>
          <w:color w:val="000000" w:themeColor="text1"/>
        </w:rPr>
        <w:t xml:space="preserve"> to accelerate the transition towards cleaner fuel</w:t>
      </w:r>
      <w:r w:rsidR="00FE79FE" w:rsidRPr="00C66C24">
        <w:rPr>
          <w:rFonts w:ascii="Calibri" w:eastAsia="Calibri" w:hAnsi="Calibri" w:cs="Calibri"/>
          <w:color w:val="000000" w:themeColor="text1"/>
        </w:rPr>
        <w:t>s</w:t>
      </w:r>
      <w:r w:rsidRPr="00C66C24">
        <w:rPr>
          <w:rFonts w:ascii="Calibri" w:eastAsia="Calibri" w:hAnsi="Calibri" w:cs="Calibri"/>
          <w:color w:val="000000" w:themeColor="text1"/>
        </w:rPr>
        <w:t xml:space="preserve"> and power solutions alternatives. </w:t>
      </w:r>
    </w:p>
    <w:p w14:paraId="77CD53C1" w14:textId="10BFF218" w:rsidR="005E5E17" w:rsidRPr="00C66C24" w:rsidRDefault="005E5E17" w:rsidP="00AB711A">
      <w:pPr>
        <w:keepNext/>
        <w:spacing w:before="0" w:after="0" w:line="257" w:lineRule="auto"/>
        <w:jc w:val="center"/>
      </w:pPr>
      <w:r w:rsidRPr="00C66C24">
        <w:rPr>
          <w:rFonts w:ascii="Calibri" w:hAnsi="Calibri" w:cs="Calibri"/>
          <w:noProof/>
          <w:szCs w:val="22"/>
        </w:rPr>
        <w:drawing>
          <wp:inline distT="0" distB="0" distL="0" distR="0" wp14:anchorId="3E1B1C43" wp14:editId="42F35998">
            <wp:extent cx="4881600" cy="54936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81600" cy="5493600"/>
                    </a:xfrm>
                    <a:prstGeom prst="rect">
                      <a:avLst/>
                    </a:prstGeom>
                    <a:noFill/>
                    <a:ln>
                      <a:noFill/>
                    </a:ln>
                  </pic:spPr>
                </pic:pic>
              </a:graphicData>
            </a:graphic>
          </wp:inline>
        </w:drawing>
      </w:r>
    </w:p>
    <w:p w14:paraId="1B131112" w14:textId="6754C302" w:rsidR="005E5E17" w:rsidRPr="00C66C24" w:rsidRDefault="005E5E17" w:rsidP="008C6A9C">
      <w:pPr>
        <w:pStyle w:val="Caption"/>
        <w:spacing w:after="0" w:line="257" w:lineRule="auto"/>
        <w:jc w:val="center"/>
        <w:rPr>
          <w:rFonts w:ascii="Times New Roman" w:eastAsia="Times New Roman" w:hAnsi="Times New Roman"/>
          <w:sz w:val="20"/>
          <w:szCs w:val="20"/>
          <w:lang w:eastAsia="en-IE"/>
        </w:rPr>
      </w:pPr>
      <w:bookmarkStart w:id="72" w:name="_Ref157421944"/>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w:t>
      </w:r>
      <w:r w:rsidR="00A81F61" w:rsidRPr="00C66C24">
        <w:rPr>
          <w:sz w:val="20"/>
          <w:szCs w:val="20"/>
        </w:rPr>
        <w:fldChar w:fldCharType="end"/>
      </w:r>
      <w:bookmarkEnd w:id="72"/>
      <w:r w:rsidRPr="00C66C24">
        <w:rPr>
          <w:sz w:val="20"/>
          <w:szCs w:val="20"/>
        </w:rPr>
        <w:t xml:space="preserve"> Shares in total fleet CO</w:t>
      </w:r>
      <w:r w:rsidRPr="00C66C24">
        <w:rPr>
          <w:sz w:val="20"/>
          <w:szCs w:val="20"/>
          <w:vertAlign w:val="subscript"/>
        </w:rPr>
        <w:t>2</w:t>
      </w:r>
      <w:r w:rsidRPr="00C66C24">
        <w:rPr>
          <w:sz w:val="20"/>
          <w:szCs w:val="20"/>
        </w:rPr>
        <w:t xml:space="preserve"> emissions by ship type; 2018 – 2022.</w:t>
      </w:r>
    </w:p>
    <w:p w14:paraId="3F42FB9F" w14:textId="52E60FAE" w:rsidR="005E5E17" w:rsidRPr="00C66C24" w:rsidRDefault="005E5E17" w:rsidP="002A44DD">
      <w:pPr>
        <w:spacing w:before="0" w:after="120" w:line="257" w:lineRule="auto"/>
        <w:jc w:val="center"/>
        <w:rPr>
          <w:rFonts w:ascii="Calibri" w:eastAsia="Calibri" w:hAnsi="Calibri" w:cs="Calibri"/>
          <w:color w:val="000000" w:themeColor="text1"/>
          <w:sz w:val="20"/>
          <w:szCs w:val="20"/>
        </w:rPr>
      </w:pPr>
      <w:r w:rsidRPr="00C66C24">
        <w:rPr>
          <w:rFonts w:ascii="Calibri" w:eastAsia="Calibri" w:hAnsi="Calibri" w:cs="Calibri"/>
          <w:color w:val="000000" w:themeColor="text1"/>
          <w:sz w:val="20"/>
          <w:szCs w:val="20"/>
        </w:rPr>
        <w:t>Source: EMSA, THETIS-MRV (2021 and 2022 UK is not included).</w:t>
      </w:r>
    </w:p>
    <w:p w14:paraId="416E796E" w14:textId="77777777" w:rsidR="005E5E17" w:rsidRPr="00C66C24" w:rsidRDefault="005E5E17" w:rsidP="008C6A9C">
      <w:pPr>
        <w:keepNext/>
        <w:spacing w:after="160" w:line="257" w:lineRule="auto"/>
        <w:jc w:val="center"/>
      </w:pPr>
      <w:r w:rsidRPr="00C66C24">
        <w:rPr>
          <w:noProof/>
        </w:rPr>
        <w:drawing>
          <wp:inline distT="0" distB="0" distL="0" distR="0" wp14:anchorId="01151EB3" wp14:editId="2247738C">
            <wp:extent cx="3323646" cy="2766517"/>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rotWithShape="1">
                    <a:blip r:embed="rId25">
                      <a:extLst>
                        <a:ext uri="{28A0092B-C50C-407E-A947-70E740481C1C}">
                          <a14:useLocalDpi xmlns:a14="http://schemas.microsoft.com/office/drawing/2010/main" val="0"/>
                        </a:ext>
                      </a:extLst>
                    </a:blip>
                    <a:srcRect l="27538" t="7952" r="10901" b="15182"/>
                    <a:stretch/>
                  </pic:blipFill>
                  <pic:spPr bwMode="auto">
                    <a:xfrm>
                      <a:off x="0" y="0"/>
                      <a:ext cx="3324265" cy="2767033"/>
                    </a:xfrm>
                    <a:prstGeom prst="rect">
                      <a:avLst/>
                    </a:prstGeom>
                    <a:noFill/>
                    <a:ln>
                      <a:noFill/>
                    </a:ln>
                    <a:extLst>
                      <a:ext uri="{53640926-AAD7-44D8-BBD7-CCE9431645EC}">
                        <a14:shadowObscured xmlns:a14="http://schemas.microsoft.com/office/drawing/2010/main"/>
                      </a:ext>
                    </a:extLst>
                  </pic:spPr>
                </pic:pic>
              </a:graphicData>
            </a:graphic>
          </wp:inline>
        </w:drawing>
      </w:r>
    </w:p>
    <w:p w14:paraId="46353E83" w14:textId="016C29F1" w:rsidR="005E5E17" w:rsidRPr="00C66C24" w:rsidRDefault="005E5E17" w:rsidP="008C6A9C">
      <w:pPr>
        <w:pStyle w:val="Caption"/>
        <w:spacing w:after="0" w:line="257" w:lineRule="auto"/>
        <w:jc w:val="center"/>
        <w:rPr>
          <w:rFonts w:ascii="Calibri" w:eastAsia="Calibri" w:hAnsi="Calibri" w:cs="Calibri"/>
          <w:color w:val="000000" w:themeColor="text1"/>
          <w:sz w:val="20"/>
          <w:szCs w:val="20"/>
        </w:rPr>
      </w:pPr>
      <w:bookmarkStart w:id="73" w:name="Map_31"/>
      <w:r w:rsidRPr="00C66C24">
        <w:rPr>
          <w:sz w:val="20"/>
          <w:szCs w:val="20"/>
        </w:rPr>
        <w:t xml:space="preserve">Map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00F85104" w:rsidRPr="00C66C24">
        <w:rPr>
          <w:noProof/>
          <w:sz w:val="20"/>
          <w:szCs w:val="20"/>
        </w:rPr>
        <w:t>2</w:t>
      </w:r>
      <w:r w:rsidRPr="00C66C24">
        <w:rPr>
          <w:sz w:val="20"/>
          <w:szCs w:val="20"/>
        </w:rPr>
        <w:fldChar w:fldCharType="end"/>
      </w:r>
      <w:r w:rsidRPr="00C66C24">
        <w:rPr>
          <w:sz w:val="20"/>
          <w:szCs w:val="20"/>
        </w:rPr>
        <w:t>.</w:t>
      </w:r>
      <w:r w:rsidRPr="00C66C24">
        <w:rPr>
          <w:sz w:val="20"/>
          <w:szCs w:val="20"/>
        </w:rPr>
        <w:fldChar w:fldCharType="begin"/>
      </w:r>
      <w:r w:rsidRPr="00C66C24">
        <w:rPr>
          <w:sz w:val="20"/>
          <w:szCs w:val="20"/>
        </w:rPr>
        <w:instrText xml:space="preserve"> SEQ Map \* ARABIC \s 1 </w:instrText>
      </w:r>
      <w:r w:rsidRPr="00C66C24">
        <w:rPr>
          <w:sz w:val="20"/>
          <w:szCs w:val="20"/>
        </w:rPr>
        <w:fldChar w:fldCharType="separate"/>
      </w:r>
      <w:r w:rsidRPr="00C66C24">
        <w:rPr>
          <w:noProof/>
          <w:sz w:val="20"/>
          <w:szCs w:val="20"/>
        </w:rPr>
        <w:t>1</w:t>
      </w:r>
      <w:r w:rsidRPr="00C66C24">
        <w:rPr>
          <w:sz w:val="20"/>
          <w:szCs w:val="20"/>
        </w:rPr>
        <w:fldChar w:fldCharType="end"/>
      </w:r>
      <w:bookmarkEnd w:id="73"/>
      <w:r w:rsidRPr="00C66C24">
        <w:rPr>
          <w:sz w:val="20"/>
          <w:szCs w:val="20"/>
        </w:rPr>
        <w:t xml:space="preserve"> Difference in CO</w:t>
      </w:r>
      <w:r w:rsidRPr="00C66C24">
        <w:rPr>
          <w:sz w:val="20"/>
          <w:szCs w:val="20"/>
          <w:vertAlign w:val="subscript"/>
        </w:rPr>
        <w:t>2</w:t>
      </w:r>
      <w:r w:rsidRPr="00C66C24">
        <w:rPr>
          <w:sz w:val="20"/>
          <w:szCs w:val="20"/>
        </w:rPr>
        <w:t xml:space="preserve"> emissions in European shipping areas between 2015 and 2022.</w:t>
      </w:r>
    </w:p>
    <w:p w14:paraId="03AC015C" w14:textId="77777777" w:rsidR="005E5E17" w:rsidRPr="00C66C24" w:rsidRDefault="005E5E17" w:rsidP="00AB711A">
      <w:pPr>
        <w:spacing w:before="0" w:after="120" w:line="257" w:lineRule="auto"/>
        <w:jc w:val="center"/>
        <w:rPr>
          <w:rFonts w:ascii="Calibri" w:eastAsia="Calibri" w:hAnsi="Calibri" w:cs="Calibri"/>
          <w:color w:val="000000" w:themeColor="text1"/>
          <w:sz w:val="20"/>
          <w:szCs w:val="20"/>
        </w:rPr>
      </w:pPr>
      <w:r w:rsidRPr="00C66C24">
        <w:rPr>
          <w:rFonts w:ascii="Calibri" w:eastAsia="Calibri" w:hAnsi="Calibri" w:cs="Calibri"/>
          <w:color w:val="000000" w:themeColor="text1"/>
          <w:sz w:val="20"/>
          <w:szCs w:val="20"/>
        </w:rPr>
        <w:t>Source: STEAM, FMI.</w:t>
      </w:r>
    </w:p>
    <w:p w14:paraId="78BCCAC2" w14:textId="35D19F23" w:rsidR="005E5E17" w:rsidRPr="00C66C24" w:rsidRDefault="005E5E17" w:rsidP="00AB711A">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 xml:space="preserve">The STEAM modelled data allows </w:t>
      </w:r>
      <w:r w:rsidR="008F3111" w:rsidRPr="00C66C24">
        <w:rPr>
          <w:rFonts w:ascii="Calibri" w:eastAsia="Calibri" w:hAnsi="Calibri" w:cs="Calibri"/>
          <w:color w:val="000000" w:themeColor="text1"/>
        </w:rPr>
        <w:t>to</w:t>
      </w:r>
      <w:r w:rsidRPr="00C66C24">
        <w:rPr>
          <w:rFonts w:ascii="Calibri" w:eastAsia="Calibri" w:hAnsi="Calibri" w:cs="Calibri"/>
          <w:color w:val="000000" w:themeColor="text1"/>
        </w:rPr>
        <w:t xml:space="preserve"> visual</w:t>
      </w:r>
      <w:r w:rsidR="008F3111" w:rsidRPr="00C66C24">
        <w:rPr>
          <w:rFonts w:ascii="Calibri" w:eastAsia="Calibri" w:hAnsi="Calibri" w:cs="Calibri"/>
          <w:color w:val="000000" w:themeColor="text1"/>
        </w:rPr>
        <w:t>ise</w:t>
      </w:r>
      <w:r w:rsidRPr="00C66C24">
        <w:rPr>
          <w:rFonts w:ascii="Calibri" w:eastAsia="Calibri" w:hAnsi="Calibri" w:cs="Calibri"/>
          <w:color w:val="000000" w:themeColor="text1"/>
        </w:rPr>
        <w:t xml:space="preserve"> the uneven distribution of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in the different regions of Europe</w:t>
      </w:r>
      <w:r w:rsidR="002655D3" w:rsidRPr="00C66C24">
        <w:rPr>
          <w:rFonts w:ascii="Calibri" w:eastAsia="Calibri" w:hAnsi="Calibri" w:cs="Calibri"/>
          <w:color w:val="000000" w:themeColor="text1"/>
        </w:rPr>
        <w:t xml:space="preserve"> </w:t>
      </w:r>
      <w:r w:rsidR="00C94CFC">
        <w:rPr>
          <w:rFonts w:ascii="Calibri" w:eastAsia="Calibri" w:hAnsi="Calibri" w:cs="Calibri"/>
          <w:color w:val="000000" w:themeColor="text1"/>
        </w:rPr>
        <w:t>(see</w:t>
      </w:r>
      <w:r w:rsidR="002655D3" w:rsidRPr="00C66C24">
        <w:rPr>
          <w:rFonts w:ascii="Calibri" w:eastAsia="Calibri" w:hAnsi="Calibri" w:cs="Calibri"/>
          <w:color w:val="000000" w:themeColor="text1"/>
        </w:rPr>
        <w:t xml:space="preserve"> </w:t>
      </w:r>
      <w:r w:rsidR="00AF4EE1" w:rsidRPr="00C66C24">
        <w:rPr>
          <w:rFonts w:ascii="Calibri" w:eastAsia="Calibri" w:hAnsi="Calibri" w:cs="Calibri"/>
          <w:color w:val="000000" w:themeColor="text1"/>
        </w:rPr>
        <w:fldChar w:fldCharType="begin"/>
      </w:r>
      <w:r w:rsidR="00AF4EE1" w:rsidRPr="00C66C24">
        <w:rPr>
          <w:rFonts w:ascii="Calibri" w:eastAsia="Calibri" w:hAnsi="Calibri" w:cs="Calibri"/>
          <w:color w:val="000000" w:themeColor="text1"/>
        </w:rPr>
        <w:instrText xml:space="preserve"> REF Map_31 \h  \* MERGEFORMAT </w:instrText>
      </w:r>
      <w:r w:rsidR="00AF4EE1" w:rsidRPr="00C66C24">
        <w:rPr>
          <w:rFonts w:ascii="Calibri" w:eastAsia="Calibri" w:hAnsi="Calibri" w:cs="Calibri"/>
          <w:color w:val="000000" w:themeColor="text1"/>
        </w:rPr>
      </w:r>
      <w:r w:rsidR="00AF4EE1" w:rsidRPr="00C66C24">
        <w:rPr>
          <w:rFonts w:ascii="Calibri" w:eastAsia="Calibri" w:hAnsi="Calibri" w:cs="Calibri"/>
          <w:color w:val="000000" w:themeColor="text1"/>
        </w:rPr>
        <w:fldChar w:fldCharType="separate"/>
      </w:r>
      <w:r w:rsidR="00AF4EE1" w:rsidRPr="00C66C24">
        <w:rPr>
          <w:rFonts w:ascii="Calibri" w:eastAsia="Calibri" w:hAnsi="Calibri" w:cs="Calibri"/>
          <w:color w:val="000000" w:themeColor="text1"/>
        </w:rPr>
        <w:t>Map 2.1</w:t>
      </w:r>
      <w:r w:rsidR="00AF4EE1" w:rsidRPr="00C66C24">
        <w:rPr>
          <w:rFonts w:ascii="Calibri" w:eastAsia="Calibri" w:hAnsi="Calibri" w:cs="Calibri"/>
          <w:color w:val="000000" w:themeColor="text1"/>
        </w:rPr>
        <w:fldChar w:fldCharType="end"/>
      </w:r>
      <w:r w:rsidR="00C94CFC">
        <w:rPr>
          <w:rFonts w:ascii="Calibri" w:eastAsia="Calibri" w:hAnsi="Calibri" w:cs="Calibri"/>
          <w:color w:val="000000" w:themeColor="text1"/>
        </w:rPr>
        <w:t>)</w:t>
      </w:r>
      <w:r w:rsidR="00AF4EE1"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w:t>
      </w:r>
      <w:r w:rsidR="00B035DB" w:rsidRPr="00C66C24">
        <w:rPr>
          <w:rFonts w:ascii="Calibri" w:eastAsia="Calibri" w:hAnsi="Calibri" w:cs="Calibri"/>
          <w:iCs w:val="0"/>
          <w:color w:val="000000" w:themeColor="text1"/>
        </w:rPr>
        <w:t>It is important to consider that variables such as the traffic volume (in absolute number of vessel position messages) will influence the total emissions</w:t>
      </w:r>
      <w:r w:rsidRPr="00C66C24">
        <w:rPr>
          <w:rFonts w:ascii="Calibri" w:eastAsia="Calibri" w:hAnsi="Calibri" w:cs="Calibri"/>
          <w:color w:val="000000" w:themeColor="text1"/>
        </w:rPr>
        <w:t>. In the period considered, STEAM data shows that the Mediterranean had the higher average yearly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equal to 65.2 million tonnes/year, followed by the Atlantic with 33.3 million tonnes/year and the North Sea with 27.3 million tonnes/year.</w:t>
      </w:r>
    </w:p>
    <w:p w14:paraId="7DBB7859" w14:textId="3D6AF695" w:rsidR="005E5E17" w:rsidRDefault="005E5E17" w:rsidP="002A44DD">
      <w:pPr>
        <w:spacing w:before="0" w:after="120" w:line="257" w:lineRule="auto"/>
        <w:rPr>
          <w:rFonts w:ascii="Calibri" w:eastAsia="Calibri" w:hAnsi="Calibri" w:cs="Calibri"/>
          <w:color w:val="000000" w:themeColor="text1"/>
        </w:rPr>
      </w:pPr>
      <w:r w:rsidRPr="00C66C24">
        <w:rPr>
          <w:rFonts w:ascii="Calibri" w:eastAsia="Calibri" w:hAnsi="Calibri" w:cs="Calibri"/>
          <w:color w:val="000000" w:themeColor="text1"/>
        </w:rPr>
        <w:t>In the 2015-2022 timeframe,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have increased by respectively 127% in the Atlantic, 35% in the Mediterranean, 30% in the North Sea, 7% in the Baltic and 5% in the Black Sea. In the same timeframe, the cumulative distance travelled by ships on a per region basis increased by 208%, 20%, 23%, 13%, and 7%</w:t>
      </w:r>
      <w:r w:rsidR="008C175F"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respectively. In the Arctic region,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have grown around six times, together with an increase in the distance travelled in the area, around five times.</w:t>
      </w:r>
    </w:p>
    <w:p w14:paraId="53092E87" w14:textId="77777777" w:rsidR="00FB025B" w:rsidRDefault="00FB025B" w:rsidP="002A44DD">
      <w:pPr>
        <w:spacing w:before="0" w:after="120" w:line="257" w:lineRule="auto"/>
        <w:rPr>
          <w:rFonts w:ascii="Calibri" w:eastAsia="Calibri" w:hAnsi="Calibri" w:cs="Calibri"/>
          <w:color w:val="000000" w:themeColor="text1"/>
        </w:rPr>
      </w:pPr>
    </w:p>
    <w:p w14:paraId="2DC2CA55" w14:textId="77777777" w:rsidR="00FB025B" w:rsidRDefault="00FB025B" w:rsidP="002A44DD">
      <w:pPr>
        <w:spacing w:before="0" w:after="120" w:line="257" w:lineRule="auto"/>
        <w:rPr>
          <w:rFonts w:ascii="Calibri" w:eastAsia="Calibri" w:hAnsi="Calibri" w:cs="Calibri"/>
          <w:color w:val="000000" w:themeColor="text1"/>
        </w:rPr>
      </w:pPr>
    </w:p>
    <w:p w14:paraId="2E554FDC" w14:textId="77777777" w:rsidR="00FB025B" w:rsidRDefault="00FB025B" w:rsidP="002A44DD">
      <w:pPr>
        <w:spacing w:before="0" w:after="120" w:line="257" w:lineRule="auto"/>
        <w:rPr>
          <w:rFonts w:ascii="Calibri" w:eastAsia="Calibri" w:hAnsi="Calibri" w:cs="Calibri"/>
          <w:color w:val="000000" w:themeColor="text1"/>
        </w:rPr>
      </w:pPr>
    </w:p>
    <w:p w14:paraId="130976B3" w14:textId="77777777" w:rsidR="00FB025B" w:rsidRDefault="00FB025B" w:rsidP="002A44DD">
      <w:pPr>
        <w:spacing w:before="0" w:after="120" w:line="257" w:lineRule="auto"/>
        <w:rPr>
          <w:rFonts w:ascii="Calibri" w:eastAsia="Calibri" w:hAnsi="Calibri" w:cs="Calibri"/>
          <w:color w:val="000000" w:themeColor="text1"/>
        </w:rPr>
      </w:pPr>
    </w:p>
    <w:p w14:paraId="4F5B957E" w14:textId="77777777" w:rsidR="00FB025B" w:rsidRDefault="00FB025B" w:rsidP="002A44DD">
      <w:pPr>
        <w:spacing w:before="0" w:after="120" w:line="257" w:lineRule="auto"/>
        <w:rPr>
          <w:rFonts w:ascii="Calibri" w:eastAsia="Calibri" w:hAnsi="Calibri" w:cs="Calibri"/>
          <w:color w:val="000000" w:themeColor="text1"/>
        </w:rPr>
      </w:pPr>
    </w:p>
    <w:p w14:paraId="413111E6" w14:textId="77777777" w:rsidR="00FB025B" w:rsidRDefault="00FB025B" w:rsidP="002A44DD">
      <w:pPr>
        <w:spacing w:before="0" w:after="120" w:line="257" w:lineRule="auto"/>
        <w:rPr>
          <w:rFonts w:ascii="Calibri" w:eastAsia="Calibri" w:hAnsi="Calibri" w:cs="Calibri"/>
          <w:color w:val="000000" w:themeColor="text1"/>
        </w:rPr>
      </w:pPr>
    </w:p>
    <w:p w14:paraId="19153DFD" w14:textId="77777777" w:rsidR="00FB025B" w:rsidRDefault="00FB025B" w:rsidP="002A44DD">
      <w:pPr>
        <w:spacing w:before="0" w:after="120" w:line="257" w:lineRule="auto"/>
        <w:rPr>
          <w:rFonts w:ascii="Calibri" w:eastAsia="Calibri" w:hAnsi="Calibri" w:cs="Calibri"/>
          <w:color w:val="000000" w:themeColor="text1"/>
        </w:rPr>
      </w:pPr>
    </w:p>
    <w:p w14:paraId="627CD5E5" w14:textId="77777777" w:rsidR="00FB025B" w:rsidRDefault="00FB025B" w:rsidP="002A44DD">
      <w:pPr>
        <w:spacing w:before="0" w:after="120" w:line="257" w:lineRule="auto"/>
        <w:rPr>
          <w:rFonts w:ascii="Calibri" w:eastAsia="Calibri" w:hAnsi="Calibri" w:cs="Calibri"/>
          <w:color w:val="000000" w:themeColor="text1"/>
        </w:rPr>
      </w:pPr>
    </w:p>
    <w:p w14:paraId="6501D320" w14:textId="77777777" w:rsidR="00FB025B" w:rsidRDefault="00FB025B" w:rsidP="002A44DD">
      <w:pPr>
        <w:spacing w:before="0" w:after="120" w:line="257" w:lineRule="auto"/>
        <w:rPr>
          <w:rFonts w:ascii="Calibri" w:eastAsia="Calibri" w:hAnsi="Calibri" w:cs="Calibri"/>
          <w:color w:val="000000" w:themeColor="text1"/>
        </w:rPr>
      </w:pPr>
    </w:p>
    <w:p w14:paraId="27ECCCD9" w14:textId="77777777" w:rsidR="00FB025B" w:rsidRDefault="00FB025B" w:rsidP="002A44DD">
      <w:pPr>
        <w:spacing w:before="0" w:after="120" w:line="257" w:lineRule="auto"/>
        <w:rPr>
          <w:rFonts w:ascii="Calibri" w:eastAsia="Calibri" w:hAnsi="Calibri" w:cs="Calibri"/>
          <w:color w:val="000000" w:themeColor="text1"/>
        </w:rPr>
      </w:pPr>
    </w:p>
    <w:p w14:paraId="10DCA6AF" w14:textId="77777777" w:rsidR="00FB025B" w:rsidRDefault="00FB025B" w:rsidP="002A44DD">
      <w:pPr>
        <w:spacing w:before="0" w:after="120" w:line="257" w:lineRule="auto"/>
        <w:rPr>
          <w:rFonts w:ascii="Calibri" w:eastAsia="Calibri" w:hAnsi="Calibri" w:cs="Calibri"/>
          <w:color w:val="000000" w:themeColor="text1"/>
        </w:rPr>
      </w:pPr>
    </w:p>
    <w:p w14:paraId="420A6D1E" w14:textId="77777777" w:rsidR="001B38B3" w:rsidRPr="00C66C24" w:rsidRDefault="001B38B3" w:rsidP="002A44DD">
      <w:pPr>
        <w:spacing w:before="0" w:after="120" w:line="257" w:lineRule="auto"/>
        <w:rPr>
          <w:rFonts w:ascii="Calibri" w:eastAsia="Calibri" w:hAnsi="Calibri" w:cs="Calibri"/>
          <w:color w:val="000000" w:themeColor="text1"/>
        </w:rPr>
      </w:pPr>
    </w:p>
    <w:p w14:paraId="3306ACCE" w14:textId="67813589" w:rsidR="005E5E17" w:rsidRPr="00C66C24" w:rsidRDefault="005E5E17" w:rsidP="008C6A9C">
      <w:pPr>
        <w:spacing w:line="257" w:lineRule="auto"/>
        <w:rPr>
          <w:rFonts w:ascii="Calibri" w:eastAsia="Calibri" w:hAnsi="Calibri" w:cs="Calibri"/>
          <w:b/>
          <w:color w:val="000000" w:themeColor="text1"/>
        </w:rPr>
      </w:pPr>
      <w:r w:rsidRPr="00C66C24">
        <w:rPr>
          <w:rFonts w:ascii="Calibri" w:eastAsia="Calibri" w:hAnsi="Calibri" w:cs="Calibri"/>
          <w:b/>
          <w:bCs/>
          <w:color w:val="000000" w:themeColor="text1"/>
        </w:rPr>
        <w:t>CO</w:t>
      </w:r>
      <w:r w:rsidRPr="00C66C24">
        <w:rPr>
          <w:rFonts w:ascii="Calibri" w:eastAsia="Calibri" w:hAnsi="Calibri" w:cs="Calibri"/>
          <w:b/>
          <w:bCs/>
          <w:color w:val="000000" w:themeColor="text1"/>
          <w:vertAlign w:val="subscript"/>
        </w:rPr>
        <w:t>2</w:t>
      </w:r>
      <w:r w:rsidRPr="00C66C24">
        <w:rPr>
          <w:rFonts w:ascii="Calibri" w:eastAsia="Calibri" w:hAnsi="Calibri" w:cs="Calibri"/>
          <w:b/>
          <w:bCs/>
          <w:color w:val="000000" w:themeColor="text1"/>
        </w:rPr>
        <w:t xml:space="preserve"> emissions and ship types</w:t>
      </w:r>
      <w:bookmarkEnd w:id="70"/>
    </w:p>
    <w:p w14:paraId="222035BA" w14:textId="77777777" w:rsidR="005E5E17" w:rsidRPr="00C66C24" w:rsidRDefault="005E5E17" w:rsidP="008C6A9C">
      <w:pPr>
        <w:keepNext/>
        <w:spacing w:line="257" w:lineRule="auto"/>
      </w:pPr>
      <w:r w:rsidRPr="00C66C24">
        <w:rPr>
          <w:rFonts w:ascii="Calibri" w:hAnsi="Calibri"/>
          <w:noProof/>
          <w:color w:val="000000" w:themeColor="text1"/>
        </w:rPr>
        <w:drawing>
          <wp:inline distT="0" distB="0" distL="0" distR="0" wp14:anchorId="2A289662" wp14:editId="721DE861">
            <wp:extent cx="5391785" cy="27260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91785" cy="2726055"/>
                    </a:xfrm>
                    <a:prstGeom prst="rect">
                      <a:avLst/>
                    </a:prstGeom>
                    <a:noFill/>
                    <a:ln>
                      <a:noFill/>
                    </a:ln>
                  </pic:spPr>
                </pic:pic>
              </a:graphicData>
            </a:graphic>
          </wp:inline>
        </w:drawing>
      </w:r>
    </w:p>
    <w:p w14:paraId="48B9F7B6" w14:textId="33A46F3A" w:rsidR="005E5E17" w:rsidRPr="00C66C24" w:rsidRDefault="005E5E17" w:rsidP="008C6A9C">
      <w:pPr>
        <w:pStyle w:val="Caption"/>
        <w:spacing w:after="0" w:line="257" w:lineRule="auto"/>
        <w:jc w:val="center"/>
        <w:rPr>
          <w:sz w:val="20"/>
          <w:szCs w:val="20"/>
        </w:rPr>
      </w:pPr>
      <w:bookmarkStart w:id="74" w:name="_Ref151110884"/>
      <w:bookmarkStart w:id="75" w:name="_Ref153875740"/>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5</w:t>
      </w:r>
      <w:r w:rsidR="00A81F61" w:rsidRPr="00C66C24">
        <w:rPr>
          <w:sz w:val="20"/>
          <w:szCs w:val="20"/>
        </w:rPr>
        <w:fldChar w:fldCharType="end"/>
      </w:r>
      <w:bookmarkEnd w:id="74"/>
      <w:r w:rsidRPr="00C66C24">
        <w:rPr>
          <w:sz w:val="20"/>
          <w:szCs w:val="20"/>
        </w:rPr>
        <w:t xml:space="preserve"> CO</w:t>
      </w:r>
      <w:r w:rsidRPr="00C66C24">
        <w:rPr>
          <w:sz w:val="20"/>
          <w:szCs w:val="20"/>
          <w:vertAlign w:val="subscript"/>
        </w:rPr>
        <w:t>2</w:t>
      </w:r>
      <w:r w:rsidRPr="00C66C24">
        <w:rPr>
          <w:sz w:val="20"/>
          <w:szCs w:val="20"/>
        </w:rPr>
        <w:t xml:space="preserve"> specific emissions from selected freight and passenger ship types in (g/</w:t>
      </w:r>
      <w:proofErr w:type="spellStart"/>
      <w:r w:rsidRPr="00C66C24">
        <w:rPr>
          <w:sz w:val="20"/>
          <w:szCs w:val="20"/>
        </w:rPr>
        <w:t>tkm</w:t>
      </w:r>
      <w:proofErr w:type="spellEnd"/>
      <w:r w:rsidRPr="00C66C24">
        <w:rPr>
          <w:sz w:val="20"/>
          <w:szCs w:val="20"/>
        </w:rPr>
        <w:t>) or (kg/km) respectively, between 2015 and 2022 in the EU.</w:t>
      </w:r>
      <w:bookmarkEnd w:id="75"/>
    </w:p>
    <w:p w14:paraId="1D29CA41" w14:textId="26423CC6" w:rsidR="005E5E17" w:rsidRPr="00C66C24" w:rsidRDefault="005E5E17" w:rsidP="002A44DD">
      <w:pPr>
        <w:pStyle w:val="Caption"/>
        <w:spacing w:after="120" w:line="257" w:lineRule="auto"/>
        <w:jc w:val="center"/>
        <w:rPr>
          <w:b w:val="0"/>
          <w:bCs/>
          <w:color w:val="000000" w:themeColor="text1"/>
          <w:sz w:val="20"/>
          <w:szCs w:val="20"/>
        </w:rPr>
      </w:pPr>
      <w:r w:rsidRPr="00C66C24">
        <w:rPr>
          <w:b w:val="0"/>
          <w:bCs/>
          <w:color w:val="000000" w:themeColor="text1"/>
          <w:sz w:val="20"/>
          <w:szCs w:val="20"/>
        </w:rPr>
        <w:t>Source: STEAM, FMI.</w:t>
      </w:r>
    </w:p>
    <w:p w14:paraId="6740E059" w14:textId="179F13BF" w:rsidR="005E5E17" w:rsidRPr="00C66C24" w:rsidRDefault="005E5E17" w:rsidP="008C6A9C">
      <w:pPr>
        <w:spacing w:before="0" w:after="0" w:line="257" w:lineRule="auto"/>
      </w:pPr>
      <w:bookmarkStart w:id="76" w:name="_Hlk157180004"/>
      <w:r w:rsidRPr="00C66C24">
        <w:t xml:space="preserve">Specific emissions have been declining for all the ship types during the period considered as it can be noted in </w:t>
      </w:r>
      <w:r w:rsidRPr="00C66C24">
        <w:fldChar w:fldCharType="begin"/>
      </w:r>
      <w:r w:rsidRPr="00C66C24">
        <w:instrText xml:space="preserve"> REF _Ref151110884 \h  \* MERGEFORMAT </w:instrText>
      </w:r>
      <w:r w:rsidRPr="00C66C24">
        <w:fldChar w:fldCharType="separate"/>
      </w:r>
      <w:r w:rsidR="00E344FC" w:rsidRPr="00C66C24">
        <w:t>Figure 2.5</w:t>
      </w:r>
      <w:r w:rsidRPr="00C66C24">
        <w:fldChar w:fldCharType="end"/>
      </w:r>
      <w:r w:rsidRPr="00C66C24">
        <w:t>. Note that the following figures refers to averages per ship type. In particular, CO</w:t>
      </w:r>
      <w:r w:rsidRPr="00C66C24">
        <w:rPr>
          <w:vertAlign w:val="subscript"/>
        </w:rPr>
        <w:t>2</w:t>
      </w:r>
      <w:r w:rsidRPr="00C66C24">
        <w:t xml:space="preserve"> emissions decreased by 18%, 5%, and 9% for cargo, containers, and tankers respectively, while they increased by 10% for vehicle carrier vessels. For reference, in the same region and timeframe, the payload carried increased respectively by 39%, 22%, 44% and 8%. This, in the first three cases, was enough to overcompensate the absolute emission increase of respectively 13%, 16%, 31% and 19%.</w:t>
      </w:r>
    </w:p>
    <w:p w14:paraId="3EEBB423" w14:textId="724C85F6" w:rsidR="005E5E17" w:rsidRPr="00C66C24" w:rsidRDefault="005E5E17" w:rsidP="008C6A9C">
      <w:pPr>
        <w:spacing w:before="0" w:after="0" w:line="257" w:lineRule="auto"/>
      </w:pPr>
      <w:r w:rsidRPr="00C66C24">
        <w:t>Over the time period considered, cargo ships and tankers had the lowest yearly emission per transport work with 6,537 mg/</w:t>
      </w:r>
      <w:proofErr w:type="spellStart"/>
      <w:r w:rsidRPr="00C66C24">
        <w:t>tkm</w:t>
      </w:r>
      <w:proofErr w:type="spellEnd"/>
      <w:r w:rsidRPr="00C66C24">
        <w:t xml:space="preserve"> and 6,472 mg/</w:t>
      </w:r>
      <w:proofErr w:type="spellStart"/>
      <w:r w:rsidRPr="00C66C24">
        <w:t>tkm</w:t>
      </w:r>
      <w:proofErr w:type="spellEnd"/>
      <w:r w:rsidRPr="00C66C24">
        <w:t>. By comparison, container ships emitted on average 7,628 mg/</w:t>
      </w:r>
      <w:proofErr w:type="spellStart"/>
      <w:r w:rsidRPr="00C66C24">
        <w:t>tkm</w:t>
      </w:r>
      <w:proofErr w:type="spellEnd"/>
      <w:r w:rsidR="00CF636B" w:rsidRPr="00C66C24">
        <w:t>,</w:t>
      </w:r>
      <w:r w:rsidRPr="00C66C24">
        <w:t xml:space="preserve"> while vehicle </w:t>
      </w:r>
      <w:r w:rsidR="00025DB6" w:rsidRPr="00C66C24">
        <w:t>carriers’</w:t>
      </w:r>
      <w:r w:rsidRPr="00C66C24">
        <w:t xml:space="preserve"> </w:t>
      </w:r>
      <w:r w:rsidR="000A057D" w:rsidRPr="00C66C24">
        <w:t>emissions were</w:t>
      </w:r>
      <w:r w:rsidRPr="00C66C24">
        <w:t xml:space="preserve"> up to 23,213 mg/</w:t>
      </w:r>
      <w:proofErr w:type="spellStart"/>
      <w:r w:rsidRPr="00C66C24">
        <w:t>tkm</w:t>
      </w:r>
      <w:proofErr w:type="spellEnd"/>
      <w:r w:rsidRPr="00C66C24">
        <w:t>.</w:t>
      </w:r>
    </w:p>
    <w:p w14:paraId="736A7B94" w14:textId="77777777" w:rsidR="005E5E17" w:rsidRPr="00C66C24" w:rsidRDefault="005E5E17" w:rsidP="008C6A9C">
      <w:pPr>
        <w:spacing w:before="0" w:after="0" w:line="257" w:lineRule="auto"/>
      </w:pPr>
      <w:r w:rsidRPr="00C66C24">
        <w:t>Specific emissions of cruisers in Europe have been decreasing by 9% during the period considered, with an increase in the distance travelled of 21%. Conversely, passenger ships emissions have strongly increased by 111%,</w:t>
      </w:r>
      <w:r w:rsidRPr="00C66C24" w:rsidDel="00557AFB">
        <w:t xml:space="preserve"> </w:t>
      </w:r>
      <w:r w:rsidRPr="00C66C24">
        <w:t>with a relatively modest increase of 3% in the distance travelled. At the same time, absolute CO</w:t>
      </w:r>
      <w:r w:rsidRPr="00C66C24">
        <w:rPr>
          <w:vertAlign w:val="subscript"/>
        </w:rPr>
        <w:t>2</w:t>
      </w:r>
      <w:r w:rsidRPr="00C66C24">
        <w:t xml:space="preserve"> emissions increased by 32% for cruise ships and by 117% for passenger ships.</w:t>
      </w:r>
    </w:p>
    <w:p w14:paraId="6EBD679B" w14:textId="66834805" w:rsidR="005E5E17" w:rsidRPr="00C66C24" w:rsidRDefault="000A057D" w:rsidP="002A44DD">
      <w:pPr>
        <w:spacing w:before="0" w:after="120" w:line="257" w:lineRule="auto"/>
      </w:pPr>
      <w:r w:rsidRPr="00C66C24">
        <w:t>For</w:t>
      </w:r>
      <w:r w:rsidR="005E5E17" w:rsidRPr="00C66C24">
        <w:t xml:space="preserve"> the </w:t>
      </w:r>
      <w:r w:rsidRPr="00C66C24">
        <w:t xml:space="preserve">same considered </w:t>
      </w:r>
      <w:r w:rsidR="005E5E17" w:rsidRPr="00C66C24">
        <w:t>time period, cruiser ships emitted 452 kg/km. This is approximately 11 times higher than conventional passenger ships’ emissions in the same region and period, i.e. 42.6 kg/km. It is</w:t>
      </w:r>
      <w:r w:rsidR="00A22959">
        <w:t>, however,</w:t>
      </w:r>
      <w:r w:rsidR="005E5E17" w:rsidRPr="00C66C24">
        <w:t xml:space="preserve"> important to note that these figures do not </w:t>
      </w:r>
      <w:proofErr w:type="gramStart"/>
      <w:r w:rsidR="005E5E17" w:rsidRPr="00C66C24">
        <w:t>take into account</w:t>
      </w:r>
      <w:proofErr w:type="gramEnd"/>
      <w:r w:rsidR="005E5E17" w:rsidRPr="00C66C24">
        <w:t xml:space="preserve"> the amount of passengers transported.</w:t>
      </w:r>
    </w:p>
    <w:p w14:paraId="733C9AB8" w14:textId="77777777" w:rsidR="005E5E17" w:rsidRPr="00C66C24" w:rsidRDefault="005E5E17" w:rsidP="008C6A9C">
      <w:pPr>
        <w:spacing w:before="0" w:after="0" w:line="257" w:lineRule="auto"/>
        <w:rPr>
          <w:b/>
          <w:bCs/>
        </w:rPr>
      </w:pPr>
      <w:r w:rsidRPr="00C66C24">
        <w:rPr>
          <w:b/>
          <w:bCs/>
        </w:rPr>
        <w:t>Trends in fuel consumption</w:t>
      </w:r>
    </w:p>
    <w:p w14:paraId="770876F5" w14:textId="6EDED927" w:rsidR="005E5E17" w:rsidRPr="00C66C24" w:rsidRDefault="005E5E17" w:rsidP="008C6A9C">
      <w:pPr>
        <w:spacing w:before="0" w:after="0" w:line="257" w:lineRule="auto"/>
        <w:rPr>
          <w:rFonts w:ascii="Calibri" w:eastAsia="Calibri" w:hAnsi="Calibri" w:cs="Calibri"/>
          <w:highlight w:val="yellow"/>
        </w:rPr>
      </w:pPr>
      <w:r w:rsidRPr="00C66C24">
        <w:rPr>
          <w:rFonts w:ascii="Calibri" w:eastAsia="Calibri" w:hAnsi="Calibri" w:cs="Calibri"/>
          <w:color w:val="000000" w:themeColor="text1"/>
        </w:rPr>
        <w:t>Based on reported data under the MRV regulation, is observable that there has been a shift in the share</w:t>
      </w:r>
      <w:r w:rsidRPr="00C66C24">
        <w:rPr>
          <w:rFonts w:ascii="Calibri" w:eastAsia="Calibri" w:hAnsi="Calibri" w:cs="Calibri"/>
          <w:color w:val="000000" w:themeColor="text1"/>
          <w:szCs w:val="22"/>
        </w:rPr>
        <w:t>s of fuel used from 2020 f</w:t>
      </w:r>
      <w:r w:rsidR="00FE79FE" w:rsidRPr="00C66C24">
        <w:rPr>
          <w:rFonts w:ascii="Calibri" w:eastAsia="Calibri" w:hAnsi="Calibri" w:cs="Calibri"/>
          <w:color w:val="000000" w:themeColor="text1"/>
          <w:szCs w:val="22"/>
        </w:rPr>
        <w:t>rom</w:t>
      </w:r>
      <w:r w:rsidRPr="00C66C24">
        <w:rPr>
          <w:rFonts w:ascii="Calibri" w:eastAsia="Calibri" w:hAnsi="Calibri" w:cs="Calibri"/>
          <w:color w:val="000000" w:themeColor="text1"/>
          <w:szCs w:val="22"/>
        </w:rPr>
        <w:t xml:space="preserve"> heavy fuel oil (HFO) to light fuel oil (LFO), as shown in </w:t>
      </w:r>
      <w:r w:rsidRPr="00C66C24">
        <w:rPr>
          <w:szCs w:val="22"/>
        </w:rPr>
        <w:fldChar w:fldCharType="begin"/>
      </w:r>
      <w:r w:rsidRPr="00C66C24">
        <w:rPr>
          <w:szCs w:val="22"/>
        </w:rPr>
        <w:instrText xml:space="preserve"> REF _Ref151110913 \h </w:instrText>
      </w:r>
      <w:r w:rsidR="00E344FC" w:rsidRPr="00C66C24">
        <w:rPr>
          <w:szCs w:val="22"/>
        </w:rPr>
        <w:instrText xml:space="preserve"> \* MERGEFORMAT </w:instrText>
      </w:r>
      <w:r w:rsidRPr="00C66C24">
        <w:rPr>
          <w:szCs w:val="22"/>
        </w:rPr>
      </w:r>
      <w:r w:rsidRPr="00C66C24">
        <w:rPr>
          <w:szCs w:val="22"/>
        </w:rPr>
        <w:fldChar w:fldCharType="separate"/>
      </w:r>
      <w:r w:rsidR="00E344FC" w:rsidRPr="00C66C24">
        <w:rPr>
          <w:szCs w:val="22"/>
        </w:rPr>
        <w:t xml:space="preserve">Figure </w:t>
      </w:r>
      <w:r w:rsidR="00E344FC" w:rsidRPr="00C66C24">
        <w:rPr>
          <w:noProof/>
          <w:szCs w:val="22"/>
        </w:rPr>
        <w:t>2</w:t>
      </w:r>
      <w:r w:rsidR="00E344FC" w:rsidRPr="00C66C24">
        <w:rPr>
          <w:szCs w:val="22"/>
        </w:rPr>
        <w:t>.</w:t>
      </w:r>
      <w:r w:rsidR="00E344FC" w:rsidRPr="00C66C24">
        <w:rPr>
          <w:noProof/>
          <w:szCs w:val="22"/>
        </w:rPr>
        <w:t>6</w:t>
      </w:r>
      <w:r w:rsidRPr="00C66C24">
        <w:rPr>
          <w:szCs w:val="22"/>
        </w:rPr>
        <w:fldChar w:fldCharType="end"/>
      </w:r>
      <w:r w:rsidRPr="00C66C24">
        <w:rPr>
          <w:rFonts w:ascii="Calibri" w:eastAsia="Calibri" w:hAnsi="Calibri" w:cs="Calibri"/>
          <w:color w:val="000000" w:themeColor="text1"/>
        </w:rPr>
        <w:t xml:space="preserve">. The implementation of the Global Sulphur Cap in 2020 and the prohibition on the carriage of such fuel without abatement technologies onboard are two of the main factors which can help explain this </w:t>
      </w:r>
      <w:r w:rsidR="007F77E9" w:rsidRPr="00C66C24">
        <w:rPr>
          <w:rFonts w:ascii="Calibri" w:eastAsia="Calibri" w:hAnsi="Calibri" w:cs="Calibri"/>
          <w:color w:val="000000" w:themeColor="text1"/>
        </w:rPr>
        <w:t>trend</w:t>
      </w:r>
      <w:r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{"citationID":"9OLtfM0C","properties":{"formattedCitation":"(IMO, 2020b)","plainCitation":"(IMO, 2020b)","noteIndex":0},"citationItems":[{"id":52051,"uris":["http://zotero.org/groups/122386/items/DJAZJ7TK"],"itemData":{"id":52051,"type":"webpage","container-title":"IMO 2020 – cutting sulphur oxide emissions","title":"Global Sulphur Cap 2020","URL":"https://www.imo.org/en/MediaCentre/HotTopics/Pages/Sulphur-2020.aspx","author":[{"literal":"IMO"}],"issued":{"date-parts":[["2020"]]}}}],"schema":"https://github.com/citation-style-language/schema/raw/master/csl-citation.json"}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(IMO, 2020b)</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In 2021, the fleet falling under the MRV regulation consumed approximately 40.008 million tonnes of fuel, showing a 0.8% decrease compared to 2020 (41</w:t>
      </w:r>
      <w:r w:rsidR="00FF11A3"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416 million tonnes). </w:t>
      </w:r>
    </w:p>
    <w:p w14:paraId="1AC8876C" w14:textId="77777777" w:rsidR="005E5E17" w:rsidRPr="00C66C24" w:rsidRDefault="005E5E17" w:rsidP="008C6A9C">
      <w:pPr>
        <w:spacing w:before="0" w:after="0" w:line="257" w:lineRule="auto"/>
      </w:pPr>
    </w:p>
    <w:p w14:paraId="19FFFBCD" w14:textId="77777777" w:rsidR="005E5E17" w:rsidRPr="00C66C24" w:rsidRDefault="005E5E17" w:rsidP="008C6A9C">
      <w:pPr>
        <w:keepNext/>
        <w:spacing w:line="257" w:lineRule="auto"/>
        <w:jc w:val="center"/>
      </w:pPr>
      <w:r w:rsidRPr="00C66C24">
        <w:rPr>
          <w:noProof/>
        </w:rPr>
        <w:drawing>
          <wp:inline distT="0" distB="0" distL="0" distR="0" wp14:anchorId="0068D155" wp14:editId="3551C13C">
            <wp:extent cx="4294800" cy="2880000"/>
            <wp:effectExtent l="0" t="0" r="0" b="0"/>
            <wp:docPr id="1344734678" name="Picture 134473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734678"/>
                    <pic:cNvPicPr/>
                  </pic:nvPicPr>
                  <pic:blipFill>
                    <a:blip r:embed="rId27">
                      <a:extLst>
                        <a:ext uri="{28A0092B-C50C-407E-A947-70E740481C1C}">
                          <a14:useLocalDpi xmlns:a14="http://schemas.microsoft.com/office/drawing/2010/main" val="0"/>
                        </a:ext>
                      </a:extLst>
                    </a:blip>
                    <a:stretch>
                      <a:fillRect/>
                    </a:stretch>
                  </pic:blipFill>
                  <pic:spPr>
                    <a:xfrm>
                      <a:off x="0" y="0"/>
                      <a:ext cx="4294800" cy="2880000"/>
                    </a:xfrm>
                    <a:prstGeom prst="rect">
                      <a:avLst/>
                    </a:prstGeom>
                  </pic:spPr>
                </pic:pic>
              </a:graphicData>
            </a:graphic>
          </wp:inline>
        </w:drawing>
      </w:r>
    </w:p>
    <w:p w14:paraId="0C6B987B" w14:textId="5DEC27C3" w:rsidR="005E5E17" w:rsidRPr="00C66C24" w:rsidRDefault="005E5E17" w:rsidP="008C6A9C">
      <w:pPr>
        <w:pStyle w:val="Caption"/>
        <w:spacing w:after="0" w:line="257" w:lineRule="auto"/>
        <w:jc w:val="center"/>
        <w:rPr>
          <w:sz w:val="20"/>
          <w:szCs w:val="20"/>
        </w:rPr>
      </w:pPr>
      <w:bookmarkStart w:id="77" w:name="_Ref151110913"/>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6</w:t>
      </w:r>
      <w:r w:rsidR="00A81F61" w:rsidRPr="00C66C24">
        <w:rPr>
          <w:sz w:val="20"/>
          <w:szCs w:val="20"/>
        </w:rPr>
        <w:fldChar w:fldCharType="end"/>
      </w:r>
      <w:bookmarkEnd w:id="77"/>
      <w:r w:rsidRPr="00C66C24">
        <w:rPr>
          <w:sz w:val="20"/>
          <w:szCs w:val="20"/>
        </w:rPr>
        <w:t xml:space="preserve"> </w:t>
      </w:r>
      <w:r w:rsidR="00DF5E2F" w:rsidRPr="00C66C24">
        <w:rPr>
          <w:sz w:val="20"/>
          <w:szCs w:val="20"/>
        </w:rPr>
        <w:t xml:space="preserve">- </w:t>
      </w:r>
      <w:r w:rsidRPr="00C66C24">
        <w:rPr>
          <w:sz w:val="20"/>
          <w:szCs w:val="20"/>
        </w:rPr>
        <w:t>2018 to 2021 total fuel consumption of EU MRV fleet and shares per fuel type.</w:t>
      </w:r>
    </w:p>
    <w:p w14:paraId="2AEFF647" w14:textId="33815F13" w:rsidR="005E5E17" w:rsidRPr="00C66C24" w:rsidRDefault="005E5E17" w:rsidP="002A44DD">
      <w:pPr>
        <w:spacing w:before="0" w:after="120" w:line="257" w:lineRule="auto"/>
        <w:jc w:val="center"/>
        <w:rPr>
          <w:sz w:val="20"/>
          <w:szCs w:val="20"/>
        </w:rPr>
      </w:pPr>
      <w:r w:rsidRPr="00C66C24">
        <w:rPr>
          <w:rFonts w:ascii="Calibri" w:eastAsia="Calibri" w:hAnsi="Calibri" w:cs="Calibri"/>
          <w:sz w:val="20"/>
          <w:szCs w:val="20"/>
        </w:rPr>
        <w:t>Source: EMSA, THETIS-MRV.</w:t>
      </w:r>
    </w:p>
    <w:p w14:paraId="52C7C3A7" w14:textId="04F047A9" w:rsidR="005E5E17" w:rsidRPr="00C66C24" w:rsidRDefault="005E5E17" w:rsidP="008C6A9C">
      <w:pPr>
        <w:spacing w:line="257" w:lineRule="auto"/>
        <w:rPr>
          <w:rFonts w:ascii="Calibri" w:eastAsia="Calibri" w:hAnsi="Calibri" w:cs="Calibri"/>
          <w:b/>
          <w:bCs/>
        </w:rPr>
      </w:pPr>
      <w:r w:rsidRPr="00C66C24">
        <w:rPr>
          <w:rFonts w:ascii="Calibri" w:eastAsia="Calibri" w:hAnsi="Calibri" w:cs="Calibri"/>
          <w:b/>
          <w:bCs/>
        </w:rPr>
        <w:t>CO</w:t>
      </w:r>
      <w:r w:rsidRPr="00C66C24">
        <w:rPr>
          <w:rFonts w:ascii="Calibri" w:eastAsia="Calibri" w:hAnsi="Calibri" w:cs="Calibri"/>
          <w:b/>
          <w:bCs/>
          <w:vertAlign w:val="subscript"/>
        </w:rPr>
        <w:t>2</w:t>
      </w:r>
      <w:r w:rsidRPr="00C66C24">
        <w:rPr>
          <w:rFonts w:ascii="Calibri" w:eastAsia="Calibri" w:hAnsi="Calibri" w:cs="Calibri"/>
          <w:b/>
          <w:bCs/>
        </w:rPr>
        <w:t xml:space="preserve"> and fishing vessels</w:t>
      </w:r>
    </w:p>
    <w:p w14:paraId="54A9D0E8" w14:textId="10F9DDC9" w:rsidR="005E5E17" w:rsidRPr="00C66C24" w:rsidRDefault="005E5E17" w:rsidP="002A44DD">
      <w:pPr>
        <w:spacing w:before="0" w:after="0" w:line="257" w:lineRule="auto"/>
      </w:pPr>
      <w:r w:rsidRPr="00C66C24">
        <w:t>Finally, STEAM data shows the average emissions per ship of fishing vessels decreased by 1% from 2015. On average in 2020, a fishing vessel was emitting approximately 473.2 tonnes of CO</w:t>
      </w:r>
      <w:r w:rsidRPr="00C66C24">
        <w:rPr>
          <w:vertAlign w:val="subscript"/>
        </w:rPr>
        <w:t>2</w:t>
      </w:r>
      <w:r w:rsidRPr="00C66C24">
        <w:t xml:space="preserve"> per year. The fishing fleet has slightly decreased over the same period, i.e. 7%, and absolute CO</w:t>
      </w:r>
      <w:r w:rsidRPr="00C66C24">
        <w:rPr>
          <w:vertAlign w:val="subscript"/>
        </w:rPr>
        <w:t>2</w:t>
      </w:r>
      <w:r w:rsidRPr="00C66C24">
        <w:t xml:space="preserve"> emissions decreased by 8%.</w:t>
      </w:r>
    </w:p>
    <w:p w14:paraId="16CCD4E2" w14:textId="77777777" w:rsidR="005E5E17" w:rsidRPr="00C66C24" w:rsidRDefault="005E5E17" w:rsidP="002A44DD">
      <w:pPr>
        <w:keepNext/>
        <w:spacing w:before="0" w:after="0" w:line="257" w:lineRule="auto"/>
        <w:jc w:val="center"/>
      </w:pPr>
      <w:r w:rsidRPr="00C66C24">
        <w:rPr>
          <w:noProof/>
        </w:rPr>
        <w:drawing>
          <wp:inline distT="0" distB="0" distL="0" distR="0" wp14:anchorId="5DA83CB2" wp14:editId="1F993EB8">
            <wp:extent cx="4856400" cy="2599200"/>
            <wp:effectExtent l="0" t="0" r="1905" b="0"/>
            <wp:docPr id="1778654085" name="Picture 177865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65408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856400" cy="2599200"/>
                    </a:xfrm>
                    <a:prstGeom prst="rect">
                      <a:avLst/>
                    </a:prstGeom>
                  </pic:spPr>
                </pic:pic>
              </a:graphicData>
            </a:graphic>
          </wp:inline>
        </w:drawing>
      </w:r>
    </w:p>
    <w:p w14:paraId="4B0F95E0" w14:textId="0C7A2D41" w:rsidR="005E5E17" w:rsidRPr="00C66C24" w:rsidRDefault="005E5E17" w:rsidP="008C6A9C">
      <w:pPr>
        <w:pStyle w:val="Caption"/>
        <w:spacing w:after="0" w:line="257" w:lineRule="auto"/>
        <w:jc w:val="center"/>
        <w:rPr>
          <w:rFonts w:ascii="Calibri" w:eastAsia="Calibri" w:hAnsi="Calibri" w:cs="Calibri"/>
          <w:color w:val="000000" w:themeColor="text1"/>
          <w:sz w:val="20"/>
          <w:szCs w:val="20"/>
        </w:rPr>
      </w:pPr>
      <w:bookmarkStart w:id="78" w:name="_Ref157608096"/>
      <w:bookmarkStart w:id="79" w:name="_Ref157608088"/>
      <w:r w:rsidRPr="00C66C24">
        <w:rPr>
          <w:sz w:val="20"/>
          <w:szCs w:val="20"/>
        </w:rPr>
        <w:t xml:space="preserve">Map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002A44DD" w:rsidRPr="00C66C24">
        <w:rPr>
          <w:noProof/>
          <w:sz w:val="20"/>
          <w:szCs w:val="20"/>
        </w:rPr>
        <w:t>2</w:t>
      </w:r>
      <w:r w:rsidRPr="00C66C24">
        <w:rPr>
          <w:sz w:val="20"/>
          <w:szCs w:val="20"/>
        </w:rPr>
        <w:fldChar w:fldCharType="end"/>
      </w:r>
      <w:r w:rsidRPr="00C66C24">
        <w:rPr>
          <w:sz w:val="20"/>
          <w:szCs w:val="20"/>
        </w:rPr>
        <w:t>.</w:t>
      </w:r>
      <w:r w:rsidRPr="00C66C24">
        <w:rPr>
          <w:sz w:val="20"/>
          <w:szCs w:val="20"/>
        </w:rPr>
        <w:fldChar w:fldCharType="begin"/>
      </w:r>
      <w:r w:rsidRPr="00C66C24">
        <w:rPr>
          <w:sz w:val="20"/>
          <w:szCs w:val="20"/>
        </w:rPr>
        <w:instrText xml:space="preserve"> SEQ Map \* ARABIC \s 1 </w:instrText>
      </w:r>
      <w:r w:rsidRPr="00C66C24">
        <w:rPr>
          <w:sz w:val="20"/>
          <w:szCs w:val="20"/>
        </w:rPr>
        <w:fldChar w:fldCharType="separate"/>
      </w:r>
      <w:r w:rsidRPr="00C66C24">
        <w:rPr>
          <w:noProof/>
          <w:sz w:val="20"/>
          <w:szCs w:val="20"/>
        </w:rPr>
        <w:t>2</w:t>
      </w:r>
      <w:r w:rsidRPr="00C66C24">
        <w:rPr>
          <w:sz w:val="20"/>
          <w:szCs w:val="20"/>
        </w:rPr>
        <w:fldChar w:fldCharType="end"/>
      </w:r>
      <w:bookmarkEnd w:id="78"/>
      <w:r w:rsidRPr="00C66C24">
        <w:rPr>
          <w:sz w:val="20"/>
          <w:szCs w:val="20"/>
        </w:rPr>
        <w:t xml:space="preserve"> - 2022 global CO</w:t>
      </w:r>
      <w:r w:rsidRPr="00C66C24">
        <w:rPr>
          <w:sz w:val="20"/>
          <w:szCs w:val="20"/>
          <w:vertAlign w:val="subscript"/>
        </w:rPr>
        <w:t>2</w:t>
      </w:r>
      <w:r w:rsidRPr="00C66C24">
        <w:rPr>
          <w:sz w:val="20"/>
          <w:szCs w:val="20"/>
        </w:rPr>
        <w:t xml:space="preserve"> emissions for fishing vessels (only).</w:t>
      </w:r>
      <w:bookmarkEnd w:id="79"/>
    </w:p>
    <w:p w14:paraId="7D04E9A3" w14:textId="5D224F35" w:rsidR="005E5E17" w:rsidRPr="00C66C24" w:rsidRDefault="005E5E17" w:rsidP="008C6A9C">
      <w:pPr>
        <w:spacing w:before="0" w:after="120" w:line="257" w:lineRule="auto"/>
        <w:jc w:val="center"/>
        <w:rPr>
          <w:rFonts w:ascii="Calibri" w:eastAsia="Calibri" w:hAnsi="Calibri" w:cs="Calibri"/>
          <w:iCs w:val="0"/>
          <w:color w:val="000000" w:themeColor="text1"/>
          <w:sz w:val="20"/>
          <w:szCs w:val="20"/>
        </w:rPr>
      </w:pPr>
      <w:r w:rsidRPr="00C66C24">
        <w:rPr>
          <w:rFonts w:ascii="Calibri" w:eastAsia="Calibri" w:hAnsi="Calibri" w:cs="Calibri"/>
          <w:color w:val="000000" w:themeColor="text1"/>
          <w:sz w:val="20"/>
          <w:szCs w:val="20"/>
        </w:rPr>
        <w:t>Source: STEAM</w:t>
      </w:r>
      <w:r w:rsidRPr="00C66C24">
        <w:rPr>
          <w:rFonts w:ascii="Calibri" w:eastAsia="Calibri" w:hAnsi="Calibri" w:cs="Calibri"/>
          <w:iCs w:val="0"/>
          <w:color w:val="000000" w:themeColor="text1"/>
          <w:sz w:val="20"/>
          <w:szCs w:val="20"/>
        </w:rPr>
        <w:t>, FMI.</w:t>
      </w:r>
    </w:p>
    <w:p w14:paraId="6415CD0B" w14:textId="629C357C" w:rsidR="00EB1DA6" w:rsidRPr="00C66C24" w:rsidRDefault="005E5E17" w:rsidP="008C6A9C">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The emissions of CO</w:t>
      </w:r>
      <w:r w:rsidRPr="00C66C24">
        <w:rPr>
          <w:rFonts w:ascii="Calibri" w:eastAsia="Calibri" w:hAnsi="Calibri" w:cs="Calibri"/>
          <w:color w:val="000000" w:themeColor="text1"/>
          <w:vertAlign w:val="subscript"/>
        </w:rPr>
        <w:t xml:space="preserve">2 </w:t>
      </w:r>
      <w:r w:rsidRPr="00C66C24">
        <w:rPr>
          <w:rFonts w:ascii="Calibri" w:eastAsia="Calibri" w:hAnsi="Calibri" w:cs="Calibri"/>
          <w:color w:val="000000" w:themeColor="text1"/>
        </w:rPr>
        <w:t>for fishing vessels calculated by the STEAM model for 2022 in the EU are equivalent to 4</w:t>
      </w:r>
      <w:r w:rsidR="00FF11A3" w:rsidRPr="00C66C24">
        <w:rPr>
          <w:rFonts w:ascii="Calibri" w:eastAsia="Calibri" w:hAnsi="Calibri" w:cs="Calibri"/>
          <w:color w:val="000000" w:themeColor="text1"/>
        </w:rPr>
        <w:t>,</w:t>
      </w:r>
      <w:r w:rsidRPr="00C66C24">
        <w:rPr>
          <w:rFonts w:ascii="Calibri" w:eastAsia="Calibri" w:hAnsi="Calibri" w:cs="Calibri"/>
          <w:color w:val="000000" w:themeColor="text1"/>
        </w:rPr>
        <w:t>090 million tonnes, compared to a value of 13</w:t>
      </w:r>
      <w:r w:rsidR="00FF11A3" w:rsidRPr="00C66C24">
        <w:rPr>
          <w:rFonts w:ascii="Calibri" w:eastAsia="Calibri" w:hAnsi="Calibri" w:cs="Calibri"/>
          <w:color w:val="000000" w:themeColor="text1"/>
        </w:rPr>
        <w:t>,</w:t>
      </w:r>
      <w:r w:rsidRPr="00C66C24">
        <w:rPr>
          <w:rFonts w:ascii="Calibri" w:eastAsia="Calibri" w:hAnsi="Calibri" w:cs="Calibri"/>
          <w:color w:val="000000" w:themeColor="text1"/>
        </w:rPr>
        <w:t>000 million tonnes at global level representing a share of 31.5% (s</w:t>
      </w:r>
      <w:r w:rsidRPr="00C66C24">
        <w:t xml:space="preserve">ee </w:t>
      </w:r>
      <w:r w:rsidR="005453A4" w:rsidRPr="00C66C24">
        <w:fldChar w:fldCharType="begin"/>
      </w:r>
      <w:r w:rsidR="005453A4" w:rsidRPr="00C66C24">
        <w:instrText xml:space="preserve"> REF _Ref157608096 \h </w:instrText>
      </w:r>
      <w:r w:rsidR="005453A4" w:rsidRPr="00C66C24">
        <w:fldChar w:fldCharType="separate"/>
      </w:r>
      <w:r w:rsidR="005453A4" w:rsidRPr="00C66C24">
        <w:t>Map 2.2</w:t>
      </w:r>
      <w:r w:rsidR="005453A4" w:rsidRPr="00C66C24">
        <w:fldChar w:fldCharType="end"/>
      </w:r>
      <w:r w:rsidRPr="00C66C24">
        <w:t>)</w:t>
      </w:r>
      <w:r w:rsidRPr="00C66C24">
        <w:rPr>
          <w:rFonts w:ascii="Calibri" w:eastAsia="Calibri" w:hAnsi="Calibri" w:cs="Calibri"/>
          <w:color w:val="000000" w:themeColor="text1"/>
        </w:rPr>
        <w:t>. The 2022 equivalent STEAM estimates for the CO</w:t>
      </w:r>
      <w:r w:rsidRPr="00C66C24">
        <w:rPr>
          <w:rFonts w:ascii="Calibri" w:eastAsia="Calibri" w:hAnsi="Calibri" w:cs="Calibri"/>
          <w:color w:val="000000" w:themeColor="text1"/>
          <w:vertAlign w:val="subscript"/>
        </w:rPr>
        <w:t xml:space="preserve">2 </w:t>
      </w:r>
      <w:r w:rsidRPr="00C66C24">
        <w:rPr>
          <w:rFonts w:ascii="Calibri" w:eastAsia="Calibri" w:hAnsi="Calibri" w:cs="Calibri"/>
          <w:color w:val="000000" w:themeColor="text1"/>
        </w:rPr>
        <w:t>emissions of the maritime sector (i.e. all vessel types, activities, and voyages) are 9.19 billion tonnes globally and 2 billion tonnes in the EU. Thus, fishing vessels represent 2% of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in the EU and 1.4% at global level. It is nevertheless important to note that these estimates are based on the AIS occurrences, and recent studies have shown that about three-quarters (72–76%) of globally mapped industrial fishing </w:t>
      </w:r>
      <w:r w:rsidR="00CE08B1" w:rsidRPr="00C66C24">
        <w:rPr>
          <w:rFonts w:ascii="Calibri" w:eastAsia="Calibri" w:hAnsi="Calibri" w:cs="Calibri"/>
          <w:color w:val="000000" w:themeColor="text1"/>
        </w:rPr>
        <w:t>vessels</w:t>
      </w:r>
      <w:r w:rsidRPr="00C66C24">
        <w:rPr>
          <w:rFonts w:ascii="Calibri" w:eastAsia="Calibri" w:hAnsi="Calibri" w:cs="Calibri"/>
          <w:color w:val="000000" w:themeColor="text1"/>
        </w:rPr>
        <w:t xml:space="preserve"> did not appear in public monitoring systems (in the period 2017-2021), compared with one-quarter (21–30%) for other vessel activities </w:t>
      </w:r>
      <w:r w:rsidR="005E0990"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{"citationID":"av035n7ekd","properties":{"formattedCitation":"(Paolo et al., 2024)","plainCitation":"(Paolo et al., 2024)","noteIndex":0},"citationItems":[{"id":59314,"uris":["http://zotero.org/groups/122386/items/AILFHBII"],"itemData":{"id":59314,"type":"article-journal","abstract":"Abstract\n            \n              The world’s population increasingly relies on the ocean for food, energy production and global trade\n              1–3\n              , yet human activities at sea are not well quantified\n              4,5\n              . We combine satellite imagery, vessel GPS data and deep-learning models to map industrial vessel activities and offshore energy infrastructure across the world’s coastal waters from 2017 to 2021. We find that 72–76% of the world’s industrial fishing vessels are not publicly tracked, with much of that fishing taking place around South Asia, Southeast Asia and Africa. We also find that 21–30% of transport and energy vessel activity is missing from public tracking systems. Globally, fishing decreased by 12 ± 1% at the onset of the COVID-19 pandemic in 2020 and had not recovered to pre-pandemic levels by 2021. By contrast, transport and energy vessel activities were relatively unaffected during the same period. Offshore wind is growing rapidly, with most wind turbines confined to small areas of the ocean but surpassing the number of oil structures in 2021. Our map of ocean industrialization reveals changes in some of the most extensive and economically important human activities at sea.","container-title":"Nature","DOI":"10.1038/s41586-023-06825-8","ISSN":"0028-0836, 1476-4687","issue":"7993","journalAbbreviation":"Nature","language":"en","page":"85-91","source":"DOI.org (Crossref)","title":"Satellite mapping reveals extensive industrial activity at sea","volume":"625","author":[{"family":"Paolo","given":"Fernando"},{"family":"Kroodsma","given":"David"},{"family":"Raynor","given":"Jennifer"},{"family":"Hochberg","given":"Tim"},{"family":"Davis","given":"Pete"},{"family":"Cleary","given":"Jesse"},{"family":"Marsaglia","given":"Luca"},{"family":"Orofino","given":"Sara"},{"family":"Thomas","given":"Christian"},{"family":"Halpin","given":"Patrick"}],"issued":{"date-parts":[["2024",1,4]]}}}],"schema":"https://github.com/citation-style-language/schema/raw/master/csl-citation.json"} </w:instrText>
      </w:r>
      <w:r w:rsidR="005E0990" w:rsidRPr="00C66C24">
        <w:rPr>
          <w:rFonts w:ascii="Calibri" w:eastAsia="Calibri" w:hAnsi="Calibri" w:cs="Calibri"/>
          <w:color w:val="000000" w:themeColor="text1"/>
        </w:rPr>
        <w:fldChar w:fldCharType="separate"/>
      </w:r>
      <w:r w:rsidR="001855E3" w:rsidRPr="00C66C24">
        <w:rPr>
          <w:rFonts w:ascii="Calibri" w:hAnsi="Calibri" w:cs="Calibri"/>
        </w:rPr>
        <w:t>(Paolo et al., 2024)</w:t>
      </w:r>
      <w:r w:rsidR="005E0990"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Therefore</w:t>
      </w:r>
      <w:r w:rsidR="00865864"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using solely AIS to estimate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emissions from fishing vessels has some limitations.</w:t>
      </w:r>
    </w:p>
    <w:p w14:paraId="7B9ED23C" w14:textId="1CBA30A6" w:rsidR="005E5E17" w:rsidRPr="00C66C24" w:rsidRDefault="006C3EC1" w:rsidP="006C3EC1">
      <w:pPr>
        <w:spacing w:before="0" w:after="120" w:line="257" w:lineRule="auto"/>
        <w:rPr>
          <w:rFonts w:ascii="Calibri" w:eastAsia="Calibri" w:hAnsi="Calibri" w:cs="Calibri"/>
        </w:rPr>
      </w:pPr>
      <w:r w:rsidRPr="00C66C24">
        <w:rPr>
          <w:rFonts w:ascii="Calibri" w:eastAsia="Calibri" w:hAnsi="Calibri" w:cs="Calibri"/>
          <w:color w:val="000000" w:themeColor="text1"/>
        </w:rPr>
        <w:t xml:space="preserve">The European Parliament’s Communication paper on the “Energy Transition in EU fisheries and aquaculture”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{"citationID":"abllhtk0lh","properties":{"formattedCitation":"(EP, 2023)","plainCitation":"(EP, 2023)","noteIndex":0},"citationItems":[{"id":52246,"uris":["http://zotero.org/groups/122386/items/TWAIPYAL"],"itemData":{"id":52246,"type":"document","publisher":"European Parliament","title":"Energy transition in the EU fisheries  and aquaculture sector","URL":"https://www.europarl.europa.eu/RegData/etudes/BRIE/2023/747916/EPRS_BRI(2023)747916_EN.pdf","author":[{"literal":"EP"}],"issued":{"date-parts":[["2023"]]}}}],"schema":"https://github.com/citation-style-language/schema/raw/master/csl-citation.json"}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(EP, 2023)</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highlights the current energy intensity and reliance on fossil fuels and discusses the need to strengthen fuel efficiency switching to alternative and low-carbon energy sources. </w:t>
      </w:r>
      <w:r w:rsidR="005E5E17" w:rsidRPr="00C66C24">
        <w:rPr>
          <w:rFonts w:ascii="Calibri" w:eastAsia="Calibri" w:hAnsi="Calibri" w:cs="Calibri"/>
          <w:color w:val="000000" w:themeColor="text1"/>
        </w:rPr>
        <w:t xml:space="preserve">It reports that </w:t>
      </w:r>
      <w:r w:rsidR="005E5E17" w:rsidRPr="00C66C24">
        <w:rPr>
          <w:rFonts w:ascii="Calibri" w:eastAsia="Calibri" w:hAnsi="Calibri" w:cs="Calibri"/>
          <w:color w:val="000000" w:themeColor="text1"/>
          <w:szCs w:val="22"/>
        </w:rPr>
        <w:t>“</w:t>
      </w:r>
      <w:r w:rsidR="005E5E17" w:rsidRPr="00C66C24">
        <w:rPr>
          <w:rFonts w:ascii="Calibri" w:eastAsia="Calibri" w:hAnsi="Calibri" w:cs="Calibri"/>
          <w:i/>
          <w:color w:val="000000" w:themeColor="text1"/>
          <w:szCs w:val="22"/>
        </w:rPr>
        <w:t>At present, most fishing vessels rely on marine diesel for their operations, although smaller vessels may use petrol. In total, the EU fleet consumed over 1.9 billion litres of marine diesel in 2020 […] This fuel consumption led to direct emissions of approximately 5.2 million tonnes of CO</w:t>
      </w:r>
      <w:r w:rsidR="005E5E17" w:rsidRPr="00C66C24">
        <w:rPr>
          <w:rFonts w:ascii="Calibri" w:eastAsia="Calibri" w:hAnsi="Calibri" w:cs="Calibri"/>
          <w:color w:val="000000" w:themeColor="text1"/>
          <w:szCs w:val="22"/>
          <w:vertAlign w:val="subscript"/>
        </w:rPr>
        <w:t>2</w:t>
      </w:r>
      <w:r w:rsidR="005E5E17" w:rsidRPr="00C66C24">
        <w:rPr>
          <w:rFonts w:ascii="Calibri" w:eastAsia="Calibri" w:hAnsi="Calibri" w:cs="Calibri"/>
          <w:color w:val="000000" w:themeColor="text1"/>
          <w:szCs w:val="22"/>
        </w:rPr>
        <w:t>”.</w:t>
      </w:r>
      <w:r w:rsidR="005E5E17" w:rsidRPr="00C66C24">
        <w:rPr>
          <w:rFonts w:ascii="Calibri" w:eastAsia="Calibri" w:hAnsi="Calibri" w:cs="Calibri"/>
        </w:rPr>
        <w:t xml:space="preserve"> </w:t>
      </w:r>
      <w:r w:rsidR="005E5E17" w:rsidRPr="00C66C24">
        <w:rPr>
          <w:rFonts w:ascii="Calibri" w:eastAsia="Calibri" w:hAnsi="Calibri" w:cs="Calibri"/>
          <w:color w:val="000000" w:themeColor="text1"/>
        </w:rPr>
        <w:t>Data from the EU Blue Economy Observatory</w:t>
      </w:r>
      <w:r w:rsidR="003E4A69" w:rsidRPr="00C66C24">
        <w:rPr>
          <w:rStyle w:val="FootnoteReference"/>
          <w:rFonts w:ascii="Calibri" w:eastAsia="Calibri" w:hAnsi="Calibri" w:cs="Calibri"/>
          <w:color w:val="000000" w:themeColor="text1"/>
        </w:rPr>
        <w:footnoteReference w:id="10"/>
      </w:r>
      <w:r w:rsidR="005E5E17" w:rsidRPr="00C66C24">
        <w:rPr>
          <w:rFonts w:ascii="Calibri" w:eastAsia="Calibri" w:hAnsi="Calibri" w:cs="Calibri"/>
          <w:color w:val="000000" w:themeColor="text1"/>
        </w:rPr>
        <w:t>, shows the evolution of CO</w:t>
      </w:r>
      <w:r w:rsidR="005E5E17" w:rsidRPr="00C66C24">
        <w:rPr>
          <w:rFonts w:ascii="Calibri" w:eastAsia="Calibri" w:hAnsi="Calibri" w:cs="Calibri"/>
          <w:color w:val="000000" w:themeColor="text1"/>
          <w:vertAlign w:val="subscript"/>
        </w:rPr>
        <w:t>2</w:t>
      </w:r>
      <w:r w:rsidR="005E5E17" w:rsidRPr="00C66C24">
        <w:rPr>
          <w:rFonts w:ascii="Calibri" w:eastAsia="Calibri" w:hAnsi="Calibri" w:cs="Calibri"/>
          <w:color w:val="000000" w:themeColor="text1"/>
        </w:rPr>
        <w:t xml:space="preserve"> emissions for the different segments of fishing vessels (by length), as well as the evolution of CO</w:t>
      </w:r>
      <w:r w:rsidR="005E5E17" w:rsidRPr="00C66C24">
        <w:rPr>
          <w:rFonts w:ascii="Calibri" w:eastAsia="Calibri" w:hAnsi="Calibri" w:cs="Calibri"/>
          <w:color w:val="000000" w:themeColor="text1"/>
          <w:vertAlign w:val="subscript"/>
        </w:rPr>
        <w:t>2</w:t>
      </w:r>
      <w:r w:rsidR="005E5E17" w:rsidRPr="00C66C24">
        <w:rPr>
          <w:rFonts w:ascii="Calibri" w:eastAsia="Calibri" w:hAnsi="Calibri" w:cs="Calibri"/>
          <w:color w:val="000000" w:themeColor="text1"/>
        </w:rPr>
        <w:t xml:space="preserve"> emissions per kg of fish caught (which can be relevant to control for the efficiency of the fishing vessels and overall sector).</w:t>
      </w:r>
    </w:p>
    <w:p w14:paraId="12962B10" w14:textId="029E345B" w:rsidR="00691461" w:rsidRPr="00C66C24" w:rsidRDefault="00691461" w:rsidP="00691461">
      <w:pPr>
        <w:pStyle w:val="paragraph"/>
        <w:spacing w:before="0" w:beforeAutospacing="0" w:after="0" w:afterAutospacing="0" w:line="257" w:lineRule="auto"/>
        <w:jc w:val="both"/>
        <w:textAlignment w:val="baseline"/>
        <w:rPr>
          <w:rStyle w:val="normaltextrun"/>
          <w:rFonts w:asciiTheme="minorHAnsi" w:eastAsia="Calibri" w:hAnsiTheme="minorHAnsi"/>
          <w:color w:val="000000" w:themeColor="text1"/>
          <w:sz w:val="22"/>
          <w:lang w:val="en-GB"/>
        </w:rPr>
      </w:pPr>
      <w:r w:rsidRPr="00C66C24">
        <w:rPr>
          <w:rFonts w:asciiTheme="minorHAnsi" w:eastAsia="Calibri" w:hAnsiTheme="minorHAnsi" w:cstheme="minorHAnsi"/>
          <w:iCs/>
          <w:color w:val="000000" w:themeColor="text1"/>
          <w:sz w:val="22"/>
          <w:szCs w:val="22"/>
          <w:lang w:val="en-GB" w:eastAsia="en-US"/>
        </w:rPr>
        <w:fldChar w:fldCharType="begin"/>
      </w:r>
      <w:r w:rsidRPr="00C66C24">
        <w:rPr>
          <w:rFonts w:asciiTheme="minorHAnsi" w:eastAsia="Calibri" w:hAnsiTheme="minorHAnsi" w:cstheme="minorHAnsi"/>
          <w:iCs/>
          <w:color w:val="000000" w:themeColor="text1"/>
          <w:sz w:val="22"/>
          <w:szCs w:val="22"/>
          <w:lang w:val="en-GB" w:eastAsia="en-US"/>
        </w:rPr>
        <w:instrText xml:space="preserve"> REF _Ref157422793 \h  \* MERGEFORMAT </w:instrText>
      </w:r>
      <w:r w:rsidRPr="00C66C24">
        <w:rPr>
          <w:rFonts w:asciiTheme="minorHAnsi" w:eastAsia="Calibri" w:hAnsiTheme="minorHAnsi" w:cstheme="minorHAnsi"/>
          <w:iCs/>
          <w:color w:val="000000" w:themeColor="text1"/>
          <w:sz w:val="22"/>
          <w:szCs w:val="22"/>
          <w:lang w:val="en-GB" w:eastAsia="en-US"/>
        </w:rPr>
      </w:r>
      <w:r w:rsidRPr="00C66C24">
        <w:rPr>
          <w:rFonts w:asciiTheme="minorHAnsi" w:eastAsia="Calibri" w:hAnsiTheme="minorHAnsi" w:cstheme="minorHAnsi"/>
          <w:iCs/>
          <w:color w:val="000000" w:themeColor="text1"/>
          <w:sz w:val="22"/>
          <w:szCs w:val="22"/>
          <w:lang w:val="en-GB" w:eastAsia="en-US"/>
        </w:rPr>
        <w:fldChar w:fldCharType="separate"/>
      </w:r>
      <w:r w:rsidRPr="00C66C24">
        <w:rPr>
          <w:rFonts w:asciiTheme="minorHAnsi" w:hAnsiTheme="minorHAnsi" w:cstheme="minorHAnsi"/>
          <w:sz w:val="22"/>
          <w:szCs w:val="22"/>
          <w:lang w:val="en-GB"/>
        </w:rPr>
        <w:t xml:space="preserve">Figure </w:t>
      </w:r>
      <w:r w:rsidRPr="00C66C24">
        <w:rPr>
          <w:rFonts w:asciiTheme="minorHAnsi" w:hAnsiTheme="minorHAnsi" w:cstheme="minorHAnsi"/>
          <w:noProof/>
          <w:sz w:val="22"/>
          <w:szCs w:val="22"/>
          <w:lang w:val="en-GB"/>
        </w:rPr>
        <w:t>2</w:t>
      </w:r>
      <w:r w:rsidRPr="00C66C24">
        <w:rPr>
          <w:rFonts w:asciiTheme="minorHAnsi" w:hAnsiTheme="minorHAnsi" w:cstheme="minorHAnsi"/>
          <w:sz w:val="22"/>
          <w:szCs w:val="22"/>
          <w:lang w:val="en-GB"/>
        </w:rPr>
        <w:t>.</w:t>
      </w:r>
      <w:r w:rsidRPr="00C66C24">
        <w:rPr>
          <w:rFonts w:asciiTheme="minorHAnsi" w:hAnsiTheme="minorHAnsi" w:cstheme="minorHAnsi"/>
          <w:noProof/>
          <w:sz w:val="22"/>
          <w:szCs w:val="22"/>
          <w:lang w:val="en-GB"/>
        </w:rPr>
        <w:t>7</w:t>
      </w:r>
      <w:r w:rsidRPr="00C66C24">
        <w:rPr>
          <w:rFonts w:asciiTheme="minorHAnsi" w:eastAsia="Calibri" w:hAnsiTheme="minorHAnsi" w:cstheme="minorHAnsi"/>
          <w:iCs/>
          <w:color w:val="000000" w:themeColor="text1"/>
          <w:sz w:val="22"/>
          <w:szCs w:val="22"/>
          <w:lang w:val="en-GB" w:eastAsia="en-US"/>
        </w:rPr>
        <w:fldChar w:fldCharType="end"/>
      </w:r>
      <w:r w:rsidRPr="00C66C24">
        <w:rPr>
          <w:rFonts w:asciiTheme="minorHAnsi" w:eastAsia="Calibri" w:hAnsiTheme="minorHAnsi" w:cstheme="minorHAnsi"/>
          <w:iCs/>
          <w:color w:val="000000" w:themeColor="text1"/>
          <w:sz w:val="22"/>
          <w:szCs w:val="22"/>
          <w:lang w:val="en-GB" w:eastAsia="en-US"/>
        </w:rPr>
        <w:t xml:space="preserve"> shows the evolution of CO</w:t>
      </w:r>
      <w:r w:rsidRPr="00C66C24">
        <w:rPr>
          <w:rFonts w:asciiTheme="minorHAnsi" w:eastAsia="Calibri" w:hAnsiTheme="minorHAnsi" w:cstheme="minorHAnsi"/>
          <w:iCs/>
          <w:color w:val="000000" w:themeColor="text1"/>
          <w:sz w:val="22"/>
          <w:szCs w:val="22"/>
          <w:vertAlign w:val="subscript"/>
          <w:lang w:val="en-GB" w:eastAsia="en-US"/>
        </w:rPr>
        <w:t>2</w:t>
      </w:r>
      <w:r w:rsidRPr="00C66C24">
        <w:rPr>
          <w:rFonts w:asciiTheme="minorHAnsi" w:eastAsia="Calibri" w:hAnsiTheme="minorHAnsi" w:cstheme="minorHAnsi"/>
          <w:iCs/>
          <w:color w:val="000000" w:themeColor="text1"/>
          <w:sz w:val="22"/>
          <w:szCs w:val="22"/>
          <w:lang w:val="en-GB" w:eastAsia="en-US"/>
        </w:rPr>
        <w:t xml:space="preserve"> emissions from fishing vessels as a function of the vessel length, both in absolute terms and per unit mass of fish caught between 2008 and 2021. The analysis shows that in absolute terms, smaller vessels (&lt;12 m) emit less CO</w:t>
      </w:r>
      <w:r w:rsidRPr="00C66C24">
        <w:rPr>
          <w:rFonts w:asciiTheme="minorHAnsi" w:eastAsia="Calibri" w:hAnsiTheme="minorHAnsi" w:cstheme="minorHAnsi"/>
          <w:iCs/>
          <w:color w:val="000000" w:themeColor="text1"/>
          <w:sz w:val="22"/>
          <w:szCs w:val="22"/>
          <w:vertAlign w:val="subscript"/>
          <w:lang w:val="en-GB" w:eastAsia="en-US"/>
        </w:rPr>
        <w:t>2</w:t>
      </w:r>
      <w:r w:rsidRPr="00C66C24">
        <w:rPr>
          <w:rFonts w:asciiTheme="minorHAnsi" w:eastAsia="Calibri" w:hAnsiTheme="minorHAnsi" w:cstheme="minorHAnsi"/>
          <w:iCs/>
          <w:color w:val="000000" w:themeColor="text1"/>
          <w:sz w:val="22"/>
          <w:szCs w:val="22"/>
          <w:lang w:val="en-GB" w:eastAsia="en-US"/>
        </w:rPr>
        <w:t xml:space="preserve"> emissions per year in the considered time series and that larger fishing vessels (&gt;40 m) are the second less emitting vessel type. It is important to consider that in 2021, the last reporting year where data is available, and according to the EU Fleet Register, the majority of the fishing fleet registered in the EU was smaller than 12 meters accounting for around 86% (11% of the fleet ranged from 12-24 meters, and the remaining 3% were vessels larger than 24 meters) </w:t>
      </w:r>
      <w:r w:rsidRPr="00C66C24">
        <w:rPr>
          <w:rFonts w:asciiTheme="minorHAnsi" w:eastAsia="Calibri" w:hAnsiTheme="minorHAnsi" w:cstheme="minorHAnsi"/>
          <w:iCs/>
          <w:color w:val="000000" w:themeColor="text1"/>
          <w:sz w:val="22"/>
          <w:szCs w:val="22"/>
          <w:lang w:val="en-GB" w:eastAsia="en-US"/>
        </w:rPr>
        <w:fldChar w:fldCharType="begin"/>
      </w:r>
      <w:r w:rsidR="001855E3" w:rsidRPr="00C66C24">
        <w:rPr>
          <w:rFonts w:asciiTheme="minorHAnsi" w:eastAsia="Calibri" w:hAnsiTheme="minorHAnsi" w:cstheme="minorHAnsi"/>
          <w:iCs/>
          <w:color w:val="000000" w:themeColor="text1"/>
          <w:sz w:val="22"/>
          <w:szCs w:val="22"/>
          <w:lang w:val="en-GB" w:eastAsia="en-US"/>
        </w:rPr>
        <w:instrText xml:space="preserve"> ADDIN ZOTERO_ITEM CSL_CITATION {"citationID":"a2lthj67i0m","properties":{"formattedCitation":"(EC, 2021h)","plainCitation":"(EC, 2021h)","noteIndex":0},"citationItems":[{"id":59316,"uris":["http://zotero.org/groups/122386/items/YSDGWNR6"],"itemData":{"id":59316,"type":"webpage","title":"Oceans and fisheries - Fishing fleet","URL":"https://oceans-and-fisheries.ec.europa.eu/facts-and-figures/facts-and-figures-common-fisheries-policy/fishing-fleet_en","author":[{"literal":"EC"}],"issued":{"date-parts":[["2021"]]}}}],"schema":"https://github.com/citation-style-language/schema/raw/master/csl-citation.json"} </w:instrText>
      </w:r>
      <w:r w:rsidRPr="00C66C24">
        <w:rPr>
          <w:rFonts w:asciiTheme="minorHAnsi" w:eastAsia="Calibri" w:hAnsiTheme="minorHAnsi" w:cstheme="minorHAnsi"/>
          <w:iCs/>
          <w:color w:val="000000" w:themeColor="text1"/>
          <w:sz w:val="22"/>
          <w:szCs w:val="22"/>
          <w:lang w:val="en-GB" w:eastAsia="en-US"/>
        </w:rPr>
        <w:fldChar w:fldCharType="separate"/>
      </w:r>
      <w:r w:rsidR="001855E3" w:rsidRPr="00C66C24">
        <w:rPr>
          <w:rFonts w:ascii="Calibri" w:hAnsi="Calibri" w:cs="Calibri"/>
          <w:sz w:val="22"/>
          <w:lang w:val="en-GB"/>
        </w:rPr>
        <w:t>(EC, 2021</w:t>
      </w:r>
      <w:r w:rsidR="00937D43">
        <w:rPr>
          <w:rFonts w:ascii="Calibri" w:hAnsi="Calibri" w:cs="Calibri"/>
          <w:sz w:val="22"/>
          <w:lang w:val="en-GB"/>
        </w:rPr>
        <w:t>e</w:t>
      </w:r>
      <w:r w:rsidR="001855E3" w:rsidRPr="00C66C24">
        <w:rPr>
          <w:rFonts w:ascii="Calibri" w:hAnsi="Calibri" w:cs="Calibri"/>
          <w:sz w:val="22"/>
          <w:lang w:val="en-GB"/>
        </w:rPr>
        <w:t>)</w:t>
      </w:r>
      <w:r w:rsidRPr="00C66C24">
        <w:rPr>
          <w:rFonts w:asciiTheme="minorHAnsi" w:eastAsia="Calibri" w:hAnsiTheme="minorHAnsi" w:cstheme="minorHAnsi"/>
          <w:iCs/>
          <w:color w:val="000000" w:themeColor="text1"/>
          <w:sz w:val="22"/>
          <w:szCs w:val="22"/>
          <w:lang w:val="en-GB" w:eastAsia="en-US"/>
        </w:rPr>
        <w:fldChar w:fldCharType="end"/>
      </w:r>
      <w:r w:rsidRPr="00C66C24">
        <w:rPr>
          <w:rFonts w:asciiTheme="minorHAnsi" w:eastAsia="Calibri" w:hAnsiTheme="minorHAnsi" w:cstheme="minorHAnsi"/>
          <w:iCs/>
          <w:color w:val="000000" w:themeColor="text1"/>
          <w:sz w:val="22"/>
          <w:szCs w:val="22"/>
          <w:lang w:val="en-GB" w:eastAsia="en-US"/>
        </w:rPr>
        <w:t>. This allows to note that the vast majority of the EU fishing fleet is composed of vessels smaller than 12 meters and that, in absolute terms, this is the least emitting vessel type. However, if the analysis considers the emissions per kilo of fish captured, vessels &lt; 12 meters, emit on average more than both the larger vessels (&gt; 40 m) and vessels ranged from 24-40 m. The larger the fishing vessel the less it emits per kilo of fish landed. Another aspect which emerges from the total emissions of CO</w:t>
      </w:r>
      <w:r w:rsidRPr="00C66C24">
        <w:rPr>
          <w:rFonts w:asciiTheme="minorHAnsi" w:eastAsia="Calibri" w:hAnsiTheme="minorHAnsi" w:cstheme="minorHAnsi"/>
          <w:iCs/>
          <w:color w:val="000000" w:themeColor="text1"/>
          <w:sz w:val="22"/>
          <w:szCs w:val="22"/>
          <w:vertAlign w:val="subscript"/>
          <w:lang w:val="en-GB" w:eastAsia="en-US"/>
        </w:rPr>
        <w:t>2</w:t>
      </w:r>
      <w:r w:rsidRPr="00C66C24">
        <w:rPr>
          <w:rFonts w:asciiTheme="minorHAnsi" w:eastAsia="Calibri" w:hAnsiTheme="minorHAnsi" w:cstheme="minorHAnsi"/>
          <w:iCs/>
          <w:color w:val="000000" w:themeColor="text1"/>
          <w:sz w:val="22"/>
          <w:szCs w:val="22"/>
          <w:lang w:val="en-GB" w:eastAsia="en-US"/>
        </w:rPr>
        <w:t xml:space="preserve"> is that vessels ranging from 12-24 meters and 24-40 meters emit more than the ones larger than 40 meters. The range of vessels included in these categories, the predominantly fishing techniques used and the efficiency of the fleet, as well as the number of vessels in each category could all account for these higher emissions. In terms of absolute emissions and noting that the European fishing fleet has reduced in total number of vessels, the emissions are lower than in 2008, however this decrease is not significant.</w:t>
      </w:r>
    </w:p>
    <w:p w14:paraId="61EE2BDD" w14:textId="113F9F65" w:rsidR="005E5E17" w:rsidRPr="00C66C24" w:rsidRDefault="005E5E17" w:rsidP="008C6A9C">
      <w:pPr>
        <w:pStyle w:val="paragraph"/>
        <w:spacing w:before="0" w:beforeAutospacing="0" w:after="0" w:afterAutospacing="0" w:line="257" w:lineRule="auto"/>
        <w:jc w:val="center"/>
        <w:textAlignment w:val="baseline"/>
        <w:rPr>
          <w:rFonts w:ascii="Segoe UI" w:hAnsi="Segoe UI" w:cs="Segoe UI"/>
          <w:sz w:val="18"/>
          <w:szCs w:val="18"/>
          <w:lang w:val="en-GB"/>
        </w:rPr>
      </w:pPr>
      <w:r w:rsidRPr="00C66C24">
        <w:rPr>
          <w:rFonts w:ascii="Calibri" w:eastAsia="Calibri" w:hAnsi="Calibri" w:cs="Calibri"/>
          <w:noProof/>
          <w:color w:val="000000" w:themeColor="text1"/>
          <w:sz w:val="22"/>
          <w:szCs w:val="22"/>
          <w:lang w:val="en-GB" w:eastAsia="en-US"/>
        </w:rPr>
        <w:drawing>
          <wp:inline distT="0" distB="0" distL="0" distR="0" wp14:anchorId="5AA88F2B" wp14:editId="0E136EBC">
            <wp:extent cx="5335200" cy="3848400"/>
            <wp:effectExtent l="0" t="0" r="0" b="0"/>
            <wp:docPr id="1164877137" name="Picture 1164877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5200" cy="3848400"/>
                    </a:xfrm>
                    <a:prstGeom prst="rect">
                      <a:avLst/>
                    </a:prstGeom>
                    <a:noFill/>
                    <a:ln>
                      <a:noFill/>
                    </a:ln>
                  </pic:spPr>
                </pic:pic>
              </a:graphicData>
            </a:graphic>
          </wp:inline>
        </w:drawing>
      </w:r>
    </w:p>
    <w:p w14:paraId="0028FB61" w14:textId="583CD938" w:rsidR="005C57EC" w:rsidRPr="00C66C24" w:rsidRDefault="000839F0" w:rsidP="000839F0">
      <w:pPr>
        <w:pStyle w:val="Caption"/>
        <w:spacing w:after="0"/>
        <w:jc w:val="center"/>
        <w:rPr>
          <w:sz w:val="20"/>
          <w:szCs w:val="20"/>
        </w:rPr>
      </w:pPr>
      <w:bookmarkStart w:id="80" w:name="_Ref157422793"/>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7</w:t>
      </w:r>
      <w:r w:rsidR="00A81F61" w:rsidRPr="00C66C24">
        <w:rPr>
          <w:sz w:val="20"/>
          <w:szCs w:val="20"/>
        </w:rPr>
        <w:fldChar w:fldCharType="end"/>
      </w:r>
      <w:bookmarkEnd w:id="80"/>
      <w:r w:rsidRPr="00C66C24">
        <w:rPr>
          <w:sz w:val="20"/>
          <w:szCs w:val="20"/>
        </w:rPr>
        <w:t xml:space="preserve"> Evolution of CO2 emissions per fishing vessel length, and CO2 emissions per kg of fish caught, 2008-2021.</w:t>
      </w:r>
    </w:p>
    <w:p w14:paraId="3F40730F" w14:textId="50D290A0" w:rsidR="005C57EC" w:rsidRPr="00C66C24" w:rsidRDefault="005C57EC" w:rsidP="000839F0">
      <w:pPr>
        <w:spacing w:before="0" w:after="0"/>
        <w:jc w:val="center"/>
        <w:rPr>
          <w:rFonts w:ascii="Calibri" w:eastAsia="Calibri" w:hAnsi="Calibri" w:cs="Calibri"/>
          <w:iCs w:val="0"/>
          <w:color w:val="000000" w:themeColor="text1"/>
          <w:sz w:val="20"/>
          <w:szCs w:val="20"/>
        </w:rPr>
      </w:pPr>
      <w:r w:rsidRPr="00C66C24">
        <w:rPr>
          <w:rFonts w:ascii="Calibri" w:eastAsia="Calibri" w:hAnsi="Calibri" w:cs="Calibri"/>
          <w:iCs w:val="0"/>
          <w:color w:val="000000" w:themeColor="text1"/>
          <w:sz w:val="20"/>
          <w:szCs w:val="20"/>
        </w:rPr>
        <w:t>Source: EU Blue Economy Observatory</w:t>
      </w:r>
      <w:r w:rsidR="00410CF5" w:rsidRPr="00C66C24">
        <w:rPr>
          <w:rFonts w:ascii="Calibri" w:eastAsia="Calibri" w:hAnsi="Calibri" w:cs="Calibri"/>
          <w:iCs w:val="0"/>
          <w:color w:val="000000" w:themeColor="text1"/>
          <w:sz w:val="20"/>
          <w:szCs w:val="20"/>
        </w:rPr>
        <w:t>.</w:t>
      </w:r>
    </w:p>
    <w:bookmarkEnd w:id="76"/>
    <w:p w14:paraId="03DD6736" w14:textId="77777777" w:rsidR="005E5E17" w:rsidRPr="00C66C24" w:rsidRDefault="005E5E17" w:rsidP="008C6A9C">
      <w:pPr>
        <w:spacing w:before="0" w:after="0" w:line="257" w:lineRule="auto"/>
        <w:rPr>
          <w:rFonts w:ascii="Calibri" w:eastAsia="Calibri" w:hAnsi="Calibri" w:cs="Calibri"/>
          <w:iCs w:val="0"/>
          <w:color w:val="000000" w:themeColor="text1"/>
          <w:szCs w:val="22"/>
        </w:rPr>
      </w:pPr>
    </w:p>
    <w:p w14:paraId="5FCD37D1" w14:textId="25121607" w:rsidR="005E5E17" w:rsidRPr="00C66C24" w:rsidRDefault="005E5E17" w:rsidP="008C6A9C">
      <w:pPr>
        <w:pStyle w:val="Heading4"/>
        <w:spacing w:after="40" w:line="257" w:lineRule="auto"/>
      </w:pPr>
      <w:r w:rsidRPr="00C66C24">
        <w:t>Methane</w:t>
      </w:r>
    </w:p>
    <w:p w14:paraId="4B1F4134" w14:textId="0526C11A" w:rsidR="005E5E17" w:rsidRPr="00C66C24" w:rsidRDefault="005E5E17" w:rsidP="008C6A9C">
      <w:pPr>
        <w:spacing w:line="257" w:lineRule="auto"/>
        <w:rPr>
          <w:rFonts w:ascii="Calibri" w:eastAsia="Calibri" w:hAnsi="Calibri" w:cs="Calibri"/>
          <w:color w:val="000000" w:themeColor="text1"/>
        </w:rPr>
      </w:pPr>
      <w:bookmarkStart w:id="81" w:name="_Hlk157180015"/>
      <w:r w:rsidRPr="00C66C24">
        <w:rPr>
          <w:rFonts w:ascii="Calibri" w:eastAsia="Calibri" w:hAnsi="Calibri" w:cs="Calibri"/>
          <w:color w:val="000000" w:themeColor="text1"/>
        </w:rPr>
        <w:t>In the context of the inclusion of maritime transport in the EU ETS, an expansion of the EU MRV scope took place, by which relevant methane emissions data will be reported and published for the first time in 2025 for the reporting year 2024.</w:t>
      </w:r>
      <w:bookmarkEnd w:id="81"/>
    </w:p>
    <w:p w14:paraId="09153EBC" w14:textId="77777777" w:rsidR="005E5E17" w:rsidRPr="00C66C24" w:rsidRDefault="005E5E17" w:rsidP="008C6A9C">
      <w:pPr>
        <w:spacing w:line="257" w:lineRule="auto"/>
        <w:rPr>
          <w:rFonts w:ascii="Calibri" w:eastAsia="Calibri" w:hAnsi="Calibri" w:cs="Calibri"/>
          <w:color w:val="000000" w:themeColor="text1"/>
        </w:rPr>
      </w:pPr>
    </w:p>
    <w:p w14:paraId="0F1479C8" w14:textId="77777777" w:rsidR="005E5E17" w:rsidRPr="00C66C24" w:rsidRDefault="005E5E17" w:rsidP="008C6A9C">
      <w:pPr>
        <w:keepNext/>
        <w:spacing w:line="257" w:lineRule="auto"/>
        <w:jc w:val="center"/>
      </w:pPr>
      <w:r w:rsidRPr="00C66C24">
        <w:rPr>
          <w:noProof/>
        </w:rPr>
        <w:drawing>
          <wp:inline distT="0" distB="0" distL="0" distR="0" wp14:anchorId="20C07470" wp14:editId="248C942B">
            <wp:extent cx="4867200" cy="3312000"/>
            <wp:effectExtent l="0" t="0" r="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67200" cy="3312000"/>
                    </a:xfrm>
                    <a:prstGeom prst="rect">
                      <a:avLst/>
                    </a:prstGeom>
                    <a:noFill/>
                    <a:ln>
                      <a:noFill/>
                    </a:ln>
                  </pic:spPr>
                </pic:pic>
              </a:graphicData>
            </a:graphic>
          </wp:inline>
        </w:drawing>
      </w:r>
    </w:p>
    <w:p w14:paraId="1F90AC13" w14:textId="4AE63CD3" w:rsidR="005E5E17" w:rsidRPr="00C66C24" w:rsidRDefault="005E5E17" w:rsidP="008C6A9C">
      <w:pPr>
        <w:pStyle w:val="Caption"/>
        <w:spacing w:after="0" w:line="257" w:lineRule="auto"/>
        <w:jc w:val="center"/>
        <w:rPr>
          <w:sz w:val="20"/>
          <w:szCs w:val="20"/>
        </w:rPr>
      </w:pPr>
      <w:bookmarkStart w:id="82" w:name="_Ref157422841"/>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8</w:t>
      </w:r>
      <w:r w:rsidR="00A81F61" w:rsidRPr="00C66C24">
        <w:rPr>
          <w:sz w:val="20"/>
          <w:szCs w:val="20"/>
        </w:rPr>
        <w:fldChar w:fldCharType="end"/>
      </w:r>
      <w:bookmarkEnd w:id="82"/>
      <w:r w:rsidRPr="00C66C24">
        <w:rPr>
          <w:sz w:val="20"/>
          <w:szCs w:val="20"/>
        </w:rPr>
        <w:t xml:space="preserve"> CH</w:t>
      </w:r>
      <w:r w:rsidRPr="00C66C24">
        <w:rPr>
          <w:sz w:val="20"/>
          <w:szCs w:val="20"/>
          <w:vertAlign w:val="subscript"/>
        </w:rPr>
        <w:t>4</w:t>
      </w:r>
      <w:r w:rsidRPr="00C66C24">
        <w:rPr>
          <w:sz w:val="20"/>
          <w:szCs w:val="20"/>
        </w:rPr>
        <w:t xml:space="preserve"> emissions from the maritime sector (Gg) and their share in total transport emissions (%) between 1990 and 2021 in the EU-27.</w:t>
      </w:r>
    </w:p>
    <w:p w14:paraId="0C261425" w14:textId="77777777" w:rsidR="005E5E17" w:rsidRPr="00C66C24" w:rsidRDefault="005E5E17" w:rsidP="00E834BE">
      <w:pPr>
        <w:spacing w:before="0" w:after="120" w:line="257" w:lineRule="auto"/>
        <w:jc w:val="center"/>
        <w:rPr>
          <w:rFonts w:eastAsia="Calibri" w:cstheme="minorHAnsi"/>
          <w:color w:val="000000" w:themeColor="text1"/>
          <w:sz w:val="20"/>
          <w:szCs w:val="20"/>
        </w:rPr>
      </w:pPr>
      <w:r w:rsidRPr="00C66C24">
        <w:rPr>
          <w:rFonts w:cstheme="minorHAnsi"/>
          <w:sz w:val="20"/>
          <w:szCs w:val="20"/>
          <w:shd w:val="clear" w:color="auto" w:fill="FFFFFF"/>
        </w:rPr>
        <w:t>Source: UNFCCC.</w:t>
      </w:r>
    </w:p>
    <w:p w14:paraId="2BDF8E9C" w14:textId="3D2A1879" w:rsidR="005E5E17" w:rsidRPr="00C66C24" w:rsidRDefault="005E5E17" w:rsidP="008C6A9C">
      <w:pPr>
        <w:spacing w:line="257" w:lineRule="auto"/>
        <w:rPr>
          <w:iCs w:val="0"/>
          <w:color w:val="000000" w:themeColor="text1"/>
        </w:rPr>
      </w:pPr>
      <w:bookmarkStart w:id="83" w:name="_Hlk157180033"/>
      <w:r w:rsidRPr="00C66C24">
        <w:rPr>
          <w:rFonts w:ascii="Calibri" w:eastAsia="Calibri" w:hAnsi="Calibri" w:cs="Calibri"/>
          <w:color w:val="000000" w:themeColor="text1"/>
          <w:szCs w:val="22"/>
        </w:rPr>
        <w:t xml:space="preserve">Using the UNFCCC inventories data as presented in </w:t>
      </w:r>
      <w:r w:rsidR="00123BBD" w:rsidRPr="00C66C24">
        <w:rPr>
          <w:rFonts w:ascii="Calibri" w:eastAsia="Calibri" w:hAnsi="Calibri" w:cs="Calibri"/>
          <w:color w:val="000000" w:themeColor="text1"/>
          <w:szCs w:val="22"/>
        </w:rPr>
        <w:fldChar w:fldCharType="begin"/>
      </w:r>
      <w:r w:rsidR="00123BBD" w:rsidRPr="00C66C24">
        <w:rPr>
          <w:rFonts w:ascii="Calibri" w:eastAsia="Calibri" w:hAnsi="Calibri" w:cs="Calibri"/>
          <w:color w:val="000000" w:themeColor="text1"/>
          <w:szCs w:val="22"/>
        </w:rPr>
        <w:instrText xml:space="preserve"> REF _Ref157422841 \h </w:instrText>
      </w:r>
      <w:r w:rsidR="00E834BE" w:rsidRPr="00C66C24">
        <w:rPr>
          <w:rFonts w:ascii="Calibri" w:eastAsia="Calibri" w:hAnsi="Calibri" w:cs="Calibri"/>
          <w:color w:val="000000" w:themeColor="text1"/>
          <w:szCs w:val="22"/>
        </w:rPr>
        <w:instrText xml:space="preserve"> \* MERGEFORMAT </w:instrText>
      </w:r>
      <w:r w:rsidR="00123BBD" w:rsidRPr="00C66C24">
        <w:rPr>
          <w:rFonts w:ascii="Calibri" w:eastAsia="Calibri" w:hAnsi="Calibri" w:cs="Calibri"/>
          <w:color w:val="000000" w:themeColor="text1"/>
          <w:szCs w:val="22"/>
        </w:rPr>
      </w:r>
      <w:r w:rsidR="00123BBD" w:rsidRPr="00C66C24">
        <w:rPr>
          <w:rFonts w:ascii="Calibri" w:eastAsia="Calibri" w:hAnsi="Calibri" w:cs="Calibri"/>
          <w:color w:val="000000" w:themeColor="text1"/>
          <w:szCs w:val="22"/>
        </w:rPr>
        <w:fldChar w:fldCharType="separate"/>
      </w:r>
      <w:r w:rsidR="00123BBD" w:rsidRPr="00C66C24">
        <w:rPr>
          <w:szCs w:val="22"/>
        </w:rPr>
        <w:t xml:space="preserve">Figure </w:t>
      </w:r>
      <w:r w:rsidR="00123BBD" w:rsidRPr="00C66C24">
        <w:rPr>
          <w:noProof/>
          <w:szCs w:val="22"/>
        </w:rPr>
        <w:t>2</w:t>
      </w:r>
      <w:r w:rsidR="00123BBD" w:rsidRPr="00C66C24">
        <w:rPr>
          <w:szCs w:val="22"/>
        </w:rPr>
        <w:t>.</w:t>
      </w:r>
      <w:r w:rsidR="00123BBD" w:rsidRPr="00C66C24">
        <w:rPr>
          <w:noProof/>
          <w:szCs w:val="22"/>
        </w:rPr>
        <w:t>8</w:t>
      </w:r>
      <w:r w:rsidR="00123BBD" w:rsidRPr="00C66C24">
        <w:rPr>
          <w:rFonts w:ascii="Calibri" w:eastAsia="Calibri" w:hAnsi="Calibri" w:cs="Calibri"/>
          <w:color w:val="000000" w:themeColor="text1"/>
          <w:szCs w:val="22"/>
        </w:rPr>
        <w:fldChar w:fldCharType="end"/>
      </w:r>
      <w:r w:rsidRPr="00C66C24">
        <w:t xml:space="preserve"> it is possible to note that </w:t>
      </w:r>
      <w:r w:rsidRPr="00C66C24">
        <w:rPr>
          <w:rFonts w:ascii="Calibri" w:eastAsia="Calibri" w:hAnsi="Calibri" w:cs="Calibri"/>
          <w:color w:val="000000" w:themeColor="text1"/>
        </w:rPr>
        <w:t>the contribution of the maritime transport sector to overall transport methane emissions of CH</w:t>
      </w:r>
      <w:r w:rsidRPr="00C66C24">
        <w:rPr>
          <w:rFonts w:ascii="Calibri" w:eastAsia="Calibri" w:hAnsi="Calibri" w:cs="Calibri"/>
          <w:color w:val="000000" w:themeColor="text1"/>
          <w:vertAlign w:val="subscript"/>
        </w:rPr>
        <w:t>4</w:t>
      </w:r>
      <w:r w:rsidRPr="00C66C24">
        <w:rPr>
          <w:rFonts w:ascii="Calibri" w:eastAsia="Calibri" w:hAnsi="Calibri" w:cs="Calibri"/>
          <w:color w:val="000000" w:themeColor="text1"/>
        </w:rPr>
        <w:t xml:space="preserve"> has increased over time, reaching approximately 27% in 2021. In this year, methane emissions from the maritime transport sector reached 16 Gg. Additional details on the methodology used to account for CH</w:t>
      </w:r>
      <w:r w:rsidRPr="00C66C24">
        <w:rPr>
          <w:rFonts w:ascii="Calibri" w:eastAsia="Calibri" w:hAnsi="Calibri" w:cs="Calibri"/>
          <w:color w:val="000000" w:themeColor="text1"/>
          <w:vertAlign w:val="subscript"/>
        </w:rPr>
        <w:t>4</w:t>
      </w:r>
      <w:r w:rsidRPr="00C66C24">
        <w:rPr>
          <w:rFonts w:ascii="Calibri" w:eastAsia="Calibri" w:hAnsi="Calibri" w:cs="Calibri"/>
          <w:color w:val="000000" w:themeColor="text1"/>
        </w:rPr>
        <w:t xml:space="preserve"> emissions in inventories can be found in the dedicated guidelines</w:t>
      </w:r>
      <w:r w:rsidR="00706130" w:rsidRPr="00C66C24">
        <w:rPr>
          <w:rFonts w:ascii="Calibri" w:eastAsia="Calibri" w:hAnsi="Calibri" w:cs="Calibri"/>
          <w:color w:val="000000" w:themeColor="text1"/>
        </w:rPr>
        <w:t xml:space="preserve"> </w:t>
      </w:r>
      <w:r w:rsidR="00706130"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{"citationID":"a18g8uevf79","properties":{"formattedCitation":"(IPCC, 2006)","plainCitation":"(IPCC, 2006)","noteIndex":0},"citationItems":[{"id":28440,"uris":["http://zotero.org/groups/122386/items/4MFPSSY4"],"itemData":{"id":28440,"type":"report","event-place":"Hanawa, Japan","publisher":"Institute for Global Environmental Strategies","publisher-place":"Hanawa, Japan","title":"2006 IPCC guidelines for national greenhouse gas inventories","URL":"https://www.ipcc-nggip.iges.or.jp/public/2006gl/","author":[{"family":"IPCC","given":""}],"accessed":{"date-parts":[["2015",11,15]]},"issued":{"date-parts":[["2006"]]}}}],"schema":"https://github.com/citation-style-language/schema/raw/master/csl-citation.json"} </w:instrText>
      </w:r>
      <w:r w:rsidR="00706130" w:rsidRPr="00C66C24">
        <w:rPr>
          <w:rFonts w:ascii="Calibri" w:eastAsia="Calibri" w:hAnsi="Calibri" w:cs="Calibri"/>
          <w:color w:val="000000" w:themeColor="text1"/>
        </w:rPr>
        <w:fldChar w:fldCharType="separate"/>
      </w:r>
      <w:r w:rsidR="001855E3" w:rsidRPr="00C66C24">
        <w:rPr>
          <w:rFonts w:ascii="Calibri" w:hAnsi="Calibri" w:cs="Calibri"/>
        </w:rPr>
        <w:t>(IPCC, 2006)</w:t>
      </w:r>
      <w:r w:rsidR="00706130"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p>
    <w:p w14:paraId="3A6EAEDE" w14:textId="77777777" w:rsidR="005E5E17" w:rsidRPr="00C66C24" w:rsidRDefault="005E5E17" w:rsidP="008C6A9C">
      <w:pPr>
        <w:keepNext/>
        <w:spacing w:line="257" w:lineRule="auto"/>
        <w:jc w:val="center"/>
      </w:pPr>
      <w:r w:rsidRPr="00C66C24">
        <w:rPr>
          <w:noProof/>
        </w:rPr>
        <w:drawing>
          <wp:inline distT="0" distB="0" distL="0" distR="0" wp14:anchorId="2DA5804B" wp14:editId="41378EB2">
            <wp:extent cx="3212327" cy="2766499"/>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rotWithShape="1">
                    <a:blip r:embed="rId31">
                      <a:extLst>
                        <a:ext uri="{28A0092B-C50C-407E-A947-70E740481C1C}">
                          <a14:useLocalDpi xmlns:a14="http://schemas.microsoft.com/office/drawing/2010/main" val="0"/>
                        </a:ext>
                      </a:extLst>
                    </a:blip>
                    <a:srcRect l="27244" t="7952" r="13257" b="15182"/>
                    <a:stretch/>
                  </pic:blipFill>
                  <pic:spPr bwMode="auto">
                    <a:xfrm>
                      <a:off x="0" y="0"/>
                      <a:ext cx="3212947" cy="2767033"/>
                    </a:xfrm>
                    <a:prstGeom prst="rect">
                      <a:avLst/>
                    </a:prstGeom>
                    <a:noFill/>
                    <a:ln>
                      <a:noFill/>
                    </a:ln>
                    <a:extLst>
                      <a:ext uri="{53640926-AAD7-44D8-BBD7-CCE9431645EC}">
                        <a14:shadowObscured xmlns:a14="http://schemas.microsoft.com/office/drawing/2010/main"/>
                      </a:ext>
                    </a:extLst>
                  </pic:spPr>
                </pic:pic>
              </a:graphicData>
            </a:graphic>
          </wp:inline>
        </w:drawing>
      </w:r>
    </w:p>
    <w:p w14:paraId="43375D54" w14:textId="4FE609CA" w:rsidR="005E5E17" w:rsidRPr="00C66C24" w:rsidRDefault="005E5E17" w:rsidP="008C6A9C">
      <w:pPr>
        <w:pStyle w:val="Caption"/>
        <w:spacing w:after="0" w:line="257" w:lineRule="auto"/>
        <w:jc w:val="center"/>
        <w:rPr>
          <w:sz w:val="20"/>
          <w:szCs w:val="20"/>
        </w:rPr>
      </w:pPr>
      <w:bookmarkStart w:id="84" w:name="Map_33"/>
      <w:r w:rsidRPr="00C66C24">
        <w:rPr>
          <w:sz w:val="20"/>
          <w:szCs w:val="20"/>
        </w:rPr>
        <w:t xml:space="preserve">Map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00AF4EE1" w:rsidRPr="00C66C24">
        <w:rPr>
          <w:noProof/>
          <w:sz w:val="20"/>
          <w:szCs w:val="20"/>
        </w:rPr>
        <w:t>2</w:t>
      </w:r>
      <w:r w:rsidRPr="00C66C24">
        <w:rPr>
          <w:sz w:val="20"/>
          <w:szCs w:val="20"/>
        </w:rPr>
        <w:fldChar w:fldCharType="end"/>
      </w:r>
      <w:r w:rsidRPr="00C66C24">
        <w:rPr>
          <w:sz w:val="20"/>
          <w:szCs w:val="20"/>
        </w:rPr>
        <w:t>.</w:t>
      </w:r>
      <w:r w:rsidRPr="00C66C24">
        <w:rPr>
          <w:sz w:val="20"/>
          <w:szCs w:val="20"/>
        </w:rPr>
        <w:fldChar w:fldCharType="begin"/>
      </w:r>
      <w:r w:rsidRPr="00C66C24">
        <w:rPr>
          <w:sz w:val="20"/>
          <w:szCs w:val="20"/>
        </w:rPr>
        <w:instrText xml:space="preserve"> SEQ Map \* ARABIC \s 1 </w:instrText>
      </w:r>
      <w:r w:rsidRPr="00C66C24">
        <w:rPr>
          <w:sz w:val="20"/>
          <w:szCs w:val="20"/>
        </w:rPr>
        <w:fldChar w:fldCharType="separate"/>
      </w:r>
      <w:r w:rsidRPr="00C66C24">
        <w:rPr>
          <w:noProof/>
          <w:sz w:val="20"/>
          <w:szCs w:val="20"/>
        </w:rPr>
        <w:t>3</w:t>
      </w:r>
      <w:r w:rsidRPr="00C66C24">
        <w:rPr>
          <w:sz w:val="20"/>
          <w:szCs w:val="20"/>
        </w:rPr>
        <w:fldChar w:fldCharType="end"/>
      </w:r>
      <w:bookmarkEnd w:id="84"/>
      <w:r w:rsidRPr="00C66C24">
        <w:rPr>
          <w:sz w:val="20"/>
          <w:szCs w:val="20"/>
        </w:rPr>
        <w:t xml:space="preserve"> Difference in CH</w:t>
      </w:r>
      <w:r w:rsidRPr="00C66C24">
        <w:rPr>
          <w:sz w:val="20"/>
          <w:szCs w:val="20"/>
          <w:vertAlign w:val="subscript"/>
        </w:rPr>
        <w:t>4</w:t>
      </w:r>
      <w:r w:rsidRPr="00C66C24">
        <w:rPr>
          <w:sz w:val="20"/>
          <w:szCs w:val="20"/>
        </w:rPr>
        <w:t xml:space="preserve"> emissions in European shipping areas between 2015 and 2022.</w:t>
      </w:r>
    </w:p>
    <w:p w14:paraId="3E0441D2" w14:textId="77777777" w:rsidR="005E5E17" w:rsidRPr="00C66C24" w:rsidRDefault="005E5E17" w:rsidP="00A62D94">
      <w:pPr>
        <w:spacing w:before="0" w:after="120" w:line="257" w:lineRule="auto"/>
        <w:jc w:val="center"/>
        <w:rPr>
          <w:rFonts w:ascii="Calibri" w:eastAsia="Calibri" w:hAnsi="Calibri" w:cs="Calibri"/>
          <w:color w:val="000000" w:themeColor="text1"/>
          <w:sz w:val="20"/>
          <w:szCs w:val="20"/>
        </w:rPr>
      </w:pPr>
      <w:r w:rsidRPr="00C66C24">
        <w:rPr>
          <w:rFonts w:ascii="Calibri" w:eastAsia="Calibri" w:hAnsi="Calibri" w:cs="Calibri"/>
          <w:color w:val="000000" w:themeColor="text1"/>
          <w:sz w:val="20"/>
          <w:szCs w:val="20"/>
        </w:rPr>
        <w:t>Source: STEAM, FMI.</w:t>
      </w:r>
    </w:p>
    <w:p w14:paraId="647781F7" w14:textId="13C15450" w:rsidR="005E5E17" w:rsidRPr="00C66C24" w:rsidRDefault="005E5E17" w:rsidP="00E834BE">
      <w:pPr>
        <w:spacing w:before="0" w:line="257" w:lineRule="auto"/>
        <w:rPr>
          <w:iCs w:val="0"/>
          <w:color w:val="000000" w:themeColor="text1"/>
        </w:rPr>
      </w:pPr>
      <w:r w:rsidRPr="00C66C24">
        <w:rPr>
          <w:iCs w:val="0"/>
          <w:color w:val="000000" w:themeColor="text1"/>
        </w:rPr>
        <w:t>The model data by the STEAM model, provides the spatial distribution of CH</w:t>
      </w:r>
      <w:r w:rsidRPr="00C66C24">
        <w:rPr>
          <w:iCs w:val="0"/>
          <w:color w:val="000000" w:themeColor="text1"/>
          <w:vertAlign w:val="subscript"/>
        </w:rPr>
        <w:t>4</w:t>
      </w:r>
      <w:r w:rsidRPr="00C66C24">
        <w:rPr>
          <w:iCs w:val="0"/>
          <w:color w:val="000000" w:themeColor="text1"/>
        </w:rPr>
        <w:t xml:space="preserve"> pollution across Europe</w:t>
      </w:r>
      <w:r w:rsidR="00AF4EE1" w:rsidRPr="00C66C24">
        <w:rPr>
          <w:iCs w:val="0"/>
          <w:color w:val="000000" w:themeColor="text1"/>
        </w:rPr>
        <w:t xml:space="preserve"> (</w:t>
      </w:r>
      <w:r w:rsidR="00061BCF" w:rsidRPr="00C66C24">
        <w:rPr>
          <w:iCs w:val="0"/>
          <w:color w:val="000000" w:themeColor="text1"/>
        </w:rPr>
        <w:fldChar w:fldCharType="begin"/>
      </w:r>
      <w:r w:rsidR="00061BCF" w:rsidRPr="00C66C24">
        <w:rPr>
          <w:iCs w:val="0"/>
          <w:color w:val="000000" w:themeColor="text1"/>
        </w:rPr>
        <w:instrText xml:space="preserve"> REF Map_33 \h  \* MERGEFORMAT </w:instrText>
      </w:r>
      <w:r w:rsidR="00061BCF" w:rsidRPr="00C66C24">
        <w:rPr>
          <w:iCs w:val="0"/>
          <w:color w:val="000000" w:themeColor="text1"/>
        </w:rPr>
      </w:r>
      <w:r w:rsidR="00061BCF" w:rsidRPr="00C66C24">
        <w:rPr>
          <w:iCs w:val="0"/>
          <w:color w:val="000000" w:themeColor="text1"/>
        </w:rPr>
        <w:fldChar w:fldCharType="separate"/>
      </w:r>
      <w:r w:rsidR="00061BCF" w:rsidRPr="00C66C24">
        <w:rPr>
          <w:iCs w:val="0"/>
          <w:color w:val="000000" w:themeColor="text1"/>
        </w:rPr>
        <w:t>Map 2.3</w:t>
      </w:r>
      <w:r w:rsidR="00061BCF" w:rsidRPr="00C66C24">
        <w:rPr>
          <w:iCs w:val="0"/>
          <w:color w:val="000000" w:themeColor="text1"/>
        </w:rPr>
        <w:fldChar w:fldCharType="end"/>
      </w:r>
      <w:r w:rsidR="00061BCF" w:rsidRPr="00C66C24">
        <w:rPr>
          <w:iCs w:val="0"/>
          <w:color w:val="000000" w:themeColor="text1"/>
        </w:rPr>
        <w:t>)</w:t>
      </w:r>
      <w:r w:rsidRPr="00C66C24">
        <w:rPr>
          <w:iCs w:val="0"/>
          <w:color w:val="000000" w:themeColor="text1"/>
        </w:rPr>
        <w:t xml:space="preserve">. Moreover, </w:t>
      </w:r>
      <w:r w:rsidR="00C85132">
        <w:rPr>
          <w:iCs w:val="0"/>
          <w:color w:val="000000" w:themeColor="text1"/>
        </w:rPr>
        <w:t xml:space="preserve">it </w:t>
      </w:r>
      <w:r w:rsidRPr="00C66C24">
        <w:rPr>
          <w:iCs w:val="0"/>
          <w:color w:val="000000" w:themeColor="text1"/>
        </w:rPr>
        <w:t xml:space="preserve">shows that </w:t>
      </w:r>
      <w:r w:rsidRPr="00C66C24">
        <w:rPr>
          <w:color w:val="000000" w:themeColor="text1"/>
        </w:rPr>
        <w:t>CH</w:t>
      </w:r>
      <w:r w:rsidRPr="00C66C24">
        <w:rPr>
          <w:color w:val="000000" w:themeColor="text1"/>
          <w:vertAlign w:val="subscript"/>
        </w:rPr>
        <w:t>4</w:t>
      </w:r>
      <w:r w:rsidRPr="00C66C24">
        <w:rPr>
          <w:color w:val="000000" w:themeColor="text1"/>
        </w:rPr>
        <w:t xml:space="preserve"> emissions </w:t>
      </w:r>
      <w:r w:rsidR="00FE7EE3" w:rsidRPr="00C66C24">
        <w:rPr>
          <w:color w:val="000000" w:themeColor="text1"/>
        </w:rPr>
        <w:t>(account</w:t>
      </w:r>
      <w:r w:rsidR="009877BD">
        <w:rPr>
          <w:color w:val="000000" w:themeColor="text1"/>
        </w:rPr>
        <w:t>ed as</w:t>
      </w:r>
      <w:r w:rsidR="00FE7EE3" w:rsidRPr="00C66C24">
        <w:rPr>
          <w:color w:val="000000" w:themeColor="text1"/>
        </w:rPr>
        <w:t xml:space="preserve"> meth</w:t>
      </w:r>
      <w:r w:rsidR="009877BD">
        <w:rPr>
          <w:color w:val="000000" w:themeColor="text1"/>
        </w:rPr>
        <w:t>a</w:t>
      </w:r>
      <w:r w:rsidR="00FE7EE3" w:rsidRPr="00C66C24">
        <w:rPr>
          <w:color w:val="000000" w:themeColor="text1"/>
        </w:rPr>
        <w:t>ne slip)</w:t>
      </w:r>
      <w:r w:rsidRPr="00C66C24">
        <w:rPr>
          <w:color w:val="000000" w:themeColor="text1"/>
        </w:rPr>
        <w:t xml:space="preserve"> started to increase more significantly from 2018. This is associated with </w:t>
      </w:r>
      <w:r w:rsidRPr="00C66C24">
        <w:rPr>
          <w:iCs w:val="0"/>
          <w:color w:val="000000" w:themeColor="text1"/>
        </w:rPr>
        <w:t>an increase of the overall number of LNG/LPG powered ships</w:t>
      </w:r>
      <w:r w:rsidR="00A53074" w:rsidRPr="00C66C24">
        <w:rPr>
          <w:iCs w:val="0"/>
          <w:color w:val="000000" w:themeColor="text1"/>
        </w:rPr>
        <w:t xml:space="preserve"> </w:t>
      </w:r>
      <w:r w:rsidR="00A53074" w:rsidRPr="00C66C24">
        <w:rPr>
          <w:color w:val="000000" w:themeColor="text1"/>
        </w:rPr>
        <w:fldChar w:fldCharType="begin"/>
      </w:r>
      <w:r w:rsidR="001855E3" w:rsidRPr="00C66C24">
        <w:rPr>
          <w:color w:val="000000" w:themeColor="text1"/>
        </w:rPr>
        <w:instrText xml:space="preserve"> ADDIN ZOTERO_ITEM CSL_CITATION {"citationID":"a1tc51ftm1l","properties":{"formattedCitation":"\\uldash{(Comer et al., 2024)}","plainCitation":"(Comer et al., 2024)","dontUpdate":true,"noteIndex":0},"citationItems":[{"id":59452,"uris":["http://zotero.org/groups/122386/items/AURIX7EF"],"itemData":{"id":59452,"type":"report","publisher":"International Council on Clean Transportation","title":"Fugitive and unburned methane emissions from ships (FUMES). Characterizing methane emissions from LNG-fueled ships  using drones, helicopters, and onboard measurements","URL":"https://theicct.org/wp-content/uploads/2023/11/ID-64-%E2%80%93-FUMES-ships-Report-A4-60037-FV.pdf","author":[{"family":"Comer","given":"Bryan"},{"family":"Beecken","given":"Jörg"},{"family":"Vermeulen","given":"Robin"},{"family":"Sturrup","given":"Elise"},{"family":"Paschinger","given":"Pierre"},{"family":"Osipova","given":"Liudmila"},{"family":"Gore","given":"Ketan"},{"family":"Delahaye","given":"Ann"},{"family":"Verhagen","given":"Vincent"},{"family":"Knudsen","given":"Bettina"},{"family":"Knudsen","given":"Jon"},{"family":"Verbeek","given":"Ruud"}],"issued":{"date-parts":[["2024"]]}}}],"schema":"https://github.com/citation-style-language/schema/raw/master/csl-citation.json"} </w:instrText>
      </w:r>
      <w:r w:rsidR="00A53074" w:rsidRPr="00C66C24">
        <w:rPr>
          <w:color w:val="000000" w:themeColor="text1"/>
        </w:rPr>
        <w:fldChar w:fldCharType="separate"/>
      </w:r>
      <w:r w:rsidR="00A53074" w:rsidRPr="00C66C24">
        <w:rPr>
          <w:rFonts w:ascii="Calibri" w:hAnsi="Calibri" w:cs="Calibri"/>
        </w:rPr>
        <w:t>(Comer et al., 2024</w:t>
      </w:r>
      <w:r w:rsidR="00A53074" w:rsidRPr="00C66C24">
        <w:rPr>
          <w:color w:val="000000" w:themeColor="text1"/>
        </w:rPr>
        <w:fldChar w:fldCharType="end"/>
      </w:r>
      <w:r w:rsidR="00844DB2" w:rsidRPr="00C66C24">
        <w:rPr>
          <w:color w:val="000000" w:themeColor="text1"/>
        </w:rPr>
        <w:t>;</w:t>
      </w:r>
      <w:r w:rsidRPr="00C66C24">
        <w:rPr>
          <w:color w:val="000000" w:themeColor="text1"/>
        </w:rPr>
        <w:t xml:space="preserve"> </w:t>
      </w:r>
      <w:r w:rsidRPr="00C66C24">
        <w:rPr>
          <w:color w:val="000000" w:themeColor="text1"/>
        </w:rPr>
        <w:fldChar w:fldCharType="begin"/>
      </w:r>
      <w:r w:rsidR="001855E3" w:rsidRPr="00C66C24">
        <w:rPr>
          <w:color w:val="000000" w:themeColor="text1"/>
        </w:rPr>
        <w:instrText xml:space="preserve"> ADDIN ZOTERO_ITEM CSL_CITATION {"citationID":"a2bqu4m8luk","properties":{"formattedCitation":"(EEA &amp; EMSA, 2021)","plainCitation":"(EEA &amp; EMSA, 2021)","dontUpdate":true,"noteIndex":0},"citationItems":[{"id":52050,"uris":["http://zotero.org/groups/122386/items/Y38U89PG"],"itemData":{"id":52050,"type":"report","publisher":"Europeam Environment Agency (EEA)","title":"European Maritime Transport Environmental Report 2021","URL":"https://www.eea.europa.eu/publications/maritime-transport","author":[{"literal":"EEA &amp; EMSA"}],"issued":{"date-parts":[["2021"]]}}}],"schema":"https://github.com/citation-style-language/schema/raw/master/csl-citation.json"} </w:instrText>
      </w:r>
      <w:r w:rsidRPr="00C66C24">
        <w:rPr>
          <w:color w:val="000000" w:themeColor="text1"/>
        </w:rPr>
        <w:fldChar w:fldCharType="separate"/>
      </w:r>
      <w:r w:rsidRPr="00C66C24">
        <w:rPr>
          <w:rFonts w:ascii="Calibri" w:hAnsi="Calibri" w:cs="Calibri"/>
        </w:rPr>
        <w:t>EEA &amp; EMSA, 2021)</w:t>
      </w:r>
      <w:r w:rsidRPr="00C66C24">
        <w:rPr>
          <w:color w:val="000000" w:themeColor="text1"/>
        </w:rPr>
        <w:fldChar w:fldCharType="end"/>
      </w:r>
      <w:r w:rsidRPr="00C66C24">
        <w:rPr>
          <w:iCs w:val="0"/>
          <w:color w:val="000000" w:themeColor="text1"/>
        </w:rPr>
        <w:t>. More specifically, in the 2018-2022 timeframe, CH</w:t>
      </w:r>
      <w:r w:rsidRPr="00C66C24">
        <w:rPr>
          <w:iCs w:val="0"/>
          <w:color w:val="000000" w:themeColor="text1"/>
          <w:vertAlign w:val="subscript"/>
        </w:rPr>
        <w:t>4</w:t>
      </w:r>
      <w:r w:rsidRPr="00C66C24">
        <w:rPr>
          <w:iCs w:val="0"/>
          <w:color w:val="000000" w:themeColor="text1"/>
        </w:rPr>
        <w:t xml:space="preserve"> emissions have increased significantly across all EU marine regions with values of 773% for the Atlantic, 235% for the Baltic, 182% for the Mediterranean and 154% for the North Sea. In the same timeframe and for the same regions the variation in the distance travelled was respectively </w:t>
      </w:r>
      <w:r w:rsidR="00080292" w:rsidRPr="00C66C24">
        <w:rPr>
          <w:iCs w:val="0"/>
          <w:color w:val="000000" w:themeColor="text1"/>
        </w:rPr>
        <w:t>208%, 13%, 20%, 23%.</w:t>
      </w:r>
      <w:r w:rsidRPr="00C66C24">
        <w:rPr>
          <w:iCs w:val="0"/>
          <w:color w:val="000000" w:themeColor="text1"/>
        </w:rPr>
        <w:t xml:space="preserve"> In the Arctic region, CH</w:t>
      </w:r>
      <w:r w:rsidRPr="00C66C24">
        <w:rPr>
          <w:iCs w:val="0"/>
          <w:color w:val="000000" w:themeColor="text1"/>
          <w:vertAlign w:val="subscript"/>
        </w:rPr>
        <w:t>4</w:t>
      </w:r>
      <w:r w:rsidRPr="00C66C24">
        <w:rPr>
          <w:iCs w:val="0"/>
          <w:color w:val="000000" w:themeColor="text1"/>
        </w:rPr>
        <w:t xml:space="preserve"> emissions have grown by a factor of ten times, coinciding with a massive increase in the distance travelled of around five times in the area</w:t>
      </w:r>
      <w:r w:rsidRPr="00C66C24">
        <w:rPr>
          <w:color w:val="000000" w:themeColor="text1"/>
        </w:rPr>
        <w:t>.</w:t>
      </w:r>
      <w:r w:rsidRPr="00C66C24">
        <w:rPr>
          <w:iCs w:val="0"/>
          <w:color w:val="000000" w:themeColor="text1"/>
        </w:rPr>
        <w:t xml:space="preserve"> This is of particular concern given the vulnerability of the region </w:t>
      </w:r>
      <w:r w:rsidRPr="00C66C24">
        <w:rPr>
          <w:color w:val="000000" w:themeColor="text1"/>
        </w:rPr>
        <w:t>to</w:t>
      </w:r>
      <w:r w:rsidRPr="00C66C24">
        <w:rPr>
          <w:iCs w:val="0"/>
          <w:color w:val="000000" w:themeColor="text1"/>
        </w:rPr>
        <w:t xml:space="preserve"> the effects of CH</w:t>
      </w:r>
      <w:r w:rsidRPr="00C66C24">
        <w:rPr>
          <w:iCs w:val="0"/>
          <w:color w:val="000000" w:themeColor="text1"/>
          <w:vertAlign w:val="subscript"/>
        </w:rPr>
        <w:t>4</w:t>
      </w:r>
      <w:r w:rsidRPr="00C66C24">
        <w:rPr>
          <w:iCs w:val="0"/>
          <w:color w:val="000000" w:themeColor="text1"/>
        </w:rPr>
        <w:t xml:space="preserve"> pollution, which is considered </w:t>
      </w:r>
      <w:r w:rsidR="00687CC5" w:rsidRPr="00C66C24">
        <w:rPr>
          <w:color w:val="000000" w:themeColor="text1"/>
        </w:rPr>
        <w:t>an important</w:t>
      </w:r>
      <w:r w:rsidRPr="00C66C24">
        <w:rPr>
          <w:color w:val="000000" w:themeColor="text1"/>
        </w:rPr>
        <w:t xml:space="preserve"> greenhouse gas</w:t>
      </w:r>
      <w:r w:rsidRPr="00C66C24">
        <w:rPr>
          <w:iCs w:val="0"/>
          <w:color w:val="000000" w:themeColor="text1"/>
        </w:rPr>
        <w:t xml:space="preserve"> after CO</w:t>
      </w:r>
      <w:r w:rsidRPr="00C66C24">
        <w:rPr>
          <w:iCs w:val="0"/>
          <w:color w:val="000000" w:themeColor="text1"/>
          <w:vertAlign w:val="subscript"/>
        </w:rPr>
        <w:t>2</w:t>
      </w:r>
      <w:r w:rsidRPr="00C66C24">
        <w:rPr>
          <w:iCs w:val="0"/>
          <w:color w:val="000000" w:themeColor="text1"/>
        </w:rPr>
        <w:t xml:space="preserve"> (</w:t>
      </w:r>
      <w:r w:rsidRPr="00C66C24">
        <w:rPr>
          <w:iCs w:val="0"/>
          <w:color w:val="000000" w:themeColor="text1"/>
        </w:rPr>
        <w:fldChar w:fldCharType="begin"/>
      </w:r>
      <w:r w:rsidRPr="00C66C24">
        <w:rPr>
          <w:iCs w:val="0"/>
          <w:color w:val="000000" w:themeColor="text1"/>
        </w:rPr>
        <w:instrText xml:space="preserve"> ADDIN ZOTERO_ITEM CSL_CITATION {"citationID":"a161e2mkrb5","properties":{"formattedCitation":"\\uldash{(Prather, M. et al., 2001)}","plainCitation":"(Prather, M. et al., 2001)","dontUpdate":true,"noteIndex":0},"citationItems":[{"id":52477,"uris":["http://zotero.org/groups/122386/items/72T7CCVL"],"itemData":{"id":52477,"type":"document","title":"Atmospheric Chemistry and Greenhouse Gases","URL":"https://www.ipcc.ch/site/assets/uploads/2018/03/TAR-04.pdf","author":[{"literal":"Prather, M."},{"literal":"Ehhalt, D."},{"literal":"Dentener, F."},{"literal":"Derwent, R."},{"literal":"Dlugokencky, E."},{"literal":"Holland, E."},{"literal":"Isaksen, I."},{"literal":"Katima, J."},{"literal":"Kirchhoff, V."},{"literal":"Matson, P."},{"literal":"Midgley, P."},{"literal":"Wang, M."}],"issued":{"date-parts":[["2001"]]}}}],"schema":"https://github.com/citation-style-language/schema/raw/master/csl-citation.json"} </w:instrText>
      </w:r>
      <w:r w:rsidRPr="00C66C24">
        <w:rPr>
          <w:iCs w:val="0"/>
          <w:color w:val="000000" w:themeColor="text1"/>
        </w:rPr>
        <w:fldChar w:fldCharType="separate"/>
      </w:r>
      <w:r w:rsidRPr="00C66C24">
        <w:rPr>
          <w:color w:val="000000" w:themeColor="text1"/>
        </w:rPr>
        <w:t>Prather et al., 2001</w:t>
      </w:r>
      <w:r w:rsidRPr="00C66C24">
        <w:rPr>
          <w:iCs w:val="0"/>
          <w:color w:val="000000" w:themeColor="text1"/>
        </w:rPr>
        <w:fldChar w:fldCharType="end"/>
      </w:r>
      <w:r w:rsidRPr="00C66C24">
        <w:rPr>
          <w:iCs w:val="0"/>
          <w:color w:val="000000" w:themeColor="text1"/>
        </w:rPr>
        <w:t>).</w:t>
      </w:r>
    </w:p>
    <w:p w14:paraId="5AE72B93" w14:textId="3C08A1CF" w:rsidR="00B97605" w:rsidRPr="00C66C24" w:rsidRDefault="005E5E17" w:rsidP="00A62D94">
      <w:pPr>
        <w:spacing w:before="0" w:after="120" w:line="257" w:lineRule="auto"/>
        <w:rPr>
          <w:iCs w:val="0"/>
          <w:color w:val="000000" w:themeColor="text1"/>
        </w:rPr>
      </w:pPr>
      <w:r w:rsidRPr="00C66C24">
        <w:rPr>
          <w:iCs w:val="0"/>
          <w:color w:val="000000" w:themeColor="text1"/>
        </w:rPr>
        <w:t>In the period considered, the Atlantic had the highest</w:t>
      </w:r>
      <w:r w:rsidRPr="00C66C24" w:rsidDel="009B5251">
        <w:rPr>
          <w:iCs w:val="0"/>
          <w:color w:val="000000" w:themeColor="text1"/>
        </w:rPr>
        <w:t xml:space="preserve"> </w:t>
      </w:r>
      <w:r w:rsidRPr="00C66C24">
        <w:rPr>
          <w:iCs w:val="0"/>
          <w:color w:val="000000" w:themeColor="text1"/>
        </w:rPr>
        <w:t>average yearly CH</w:t>
      </w:r>
      <w:r w:rsidRPr="00C66C24">
        <w:rPr>
          <w:iCs w:val="0"/>
          <w:color w:val="000000" w:themeColor="text1"/>
          <w:vertAlign w:val="subscript"/>
        </w:rPr>
        <w:t>4</w:t>
      </w:r>
      <w:r w:rsidRPr="00C66C24">
        <w:rPr>
          <w:iCs w:val="0"/>
          <w:color w:val="000000" w:themeColor="text1"/>
        </w:rPr>
        <w:t xml:space="preserve"> emissions, equal to 10 Gg/year, followed by the Mediterranean with 8 Gg/year and the North Sea, 6 Gg/year.</w:t>
      </w:r>
      <w:bookmarkEnd w:id="83"/>
    </w:p>
    <w:p w14:paraId="05305847" w14:textId="5BFB76B4" w:rsidR="00F359DE" w:rsidRPr="00C66C24" w:rsidRDefault="00F359DE" w:rsidP="008C6A9C">
      <w:pPr>
        <w:pStyle w:val="Heading3"/>
        <w:spacing w:line="257" w:lineRule="auto"/>
      </w:pPr>
      <w:bookmarkStart w:id="85" w:name="_Toc156316327"/>
      <w:bookmarkStart w:id="86" w:name="_Ref157689831"/>
      <w:bookmarkStart w:id="87" w:name="_Toc157762067"/>
      <w:r w:rsidRPr="00C66C24">
        <w:t xml:space="preserve">Air </w:t>
      </w:r>
      <w:r w:rsidR="4370ECE9" w:rsidRPr="00C66C24">
        <w:t>Quality</w:t>
      </w:r>
      <w:bookmarkEnd w:id="85"/>
      <w:bookmarkEnd w:id="86"/>
      <w:bookmarkEnd w:id="87"/>
    </w:p>
    <w:p w14:paraId="40EC80CE" w14:textId="77777777" w:rsidR="0058461B" w:rsidRPr="00C66C24" w:rsidRDefault="0058461B" w:rsidP="008C6A9C">
      <w:pPr>
        <w:spacing w:line="257" w:lineRule="auto"/>
        <w:rPr>
          <w:u w:val="single"/>
        </w:rPr>
      </w:pPr>
      <w:r w:rsidRPr="00C66C24">
        <w:rPr>
          <w:u w:val="single"/>
        </w:rPr>
        <w:t>Sulphur Oxides (SOx)</w:t>
      </w:r>
    </w:p>
    <w:bookmarkStart w:id="88" w:name="_Hlk157180096"/>
    <w:p w14:paraId="4C1637ED" w14:textId="438AB709" w:rsidR="00EE116F" w:rsidRPr="00C66C24" w:rsidRDefault="00885097" w:rsidP="00AD4DAB">
      <w:pPr>
        <w:spacing w:before="0" w:after="0" w:line="257" w:lineRule="auto"/>
        <w:rPr>
          <w:rFonts w:ascii="Calibri" w:eastAsia="Calibri" w:hAnsi="Calibri" w:cs="Calibri"/>
          <w:color w:val="000000" w:themeColor="text1"/>
        </w:rPr>
      </w:pPr>
      <w:r w:rsidRPr="00C66C24">
        <w:fldChar w:fldCharType="begin"/>
      </w:r>
      <w:r w:rsidRPr="00C66C24">
        <w:instrText xml:space="preserve"> REF _Ref151110987 \h </w:instrText>
      </w:r>
      <w:r w:rsidRPr="00C66C24">
        <w:fldChar w:fldCharType="separate"/>
      </w:r>
      <w:r w:rsidRPr="00C66C24" w:rsidDel="00AE7E1A">
        <w:t xml:space="preserve">Figure </w:t>
      </w:r>
      <w:r w:rsidR="00F7024A" w:rsidRPr="00C66C24">
        <w:t>2.9</w:t>
      </w:r>
      <w:r w:rsidRPr="00C66C24">
        <w:fldChar w:fldCharType="end"/>
      </w:r>
      <w:r w:rsidR="00EE116F" w:rsidRPr="00C66C24">
        <w:t xml:space="preserve"> shows that </w:t>
      </w:r>
      <w:r w:rsidR="00EE116F" w:rsidRPr="00C66C24">
        <w:rPr>
          <w:rFonts w:ascii="Calibri" w:eastAsia="Calibri" w:hAnsi="Calibri" w:cs="Calibri"/>
          <w:color w:val="000000" w:themeColor="text1"/>
        </w:rPr>
        <w:t xml:space="preserve">the contribution of the maritime sector to overall transport on SOx emissions in the EU-27 from 1990 to 2021 based on </w:t>
      </w:r>
      <w:r w:rsidR="00687CC5" w:rsidRPr="00C66C24">
        <w:rPr>
          <w:rFonts w:ascii="Calibri" w:eastAsia="Calibri" w:hAnsi="Calibri" w:cs="Calibri"/>
          <w:color w:val="000000" w:themeColor="text1"/>
        </w:rPr>
        <w:t>data from</w:t>
      </w:r>
      <w:r w:rsidR="00EE116F" w:rsidRPr="00C66C24">
        <w:rPr>
          <w:rFonts w:ascii="Calibri" w:eastAsia="Calibri" w:hAnsi="Calibri" w:cs="Calibri"/>
          <w:color w:val="000000" w:themeColor="text1"/>
        </w:rPr>
        <w:t xml:space="preserve"> the Long Transboundary Air Pollution Convention (LRTAP). The figure shows a steadily increased over time, reaching a </w:t>
      </w:r>
      <w:r w:rsidR="00AE4649" w:rsidRPr="00C66C24">
        <w:rPr>
          <w:rFonts w:ascii="Calibri" w:eastAsia="Calibri" w:hAnsi="Calibri" w:cs="Calibri"/>
          <w:color w:val="000000" w:themeColor="text1"/>
        </w:rPr>
        <w:t>peak</w:t>
      </w:r>
      <w:r w:rsidR="00EE116F" w:rsidRPr="00C66C24">
        <w:rPr>
          <w:rFonts w:ascii="Calibri" w:eastAsia="Calibri" w:hAnsi="Calibri" w:cs="Calibri"/>
          <w:color w:val="000000" w:themeColor="text1"/>
        </w:rPr>
        <w:t xml:space="preserve"> of 97% in 2005 which in absolute terms represents the emission of approximately 1500 Gg </w:t>
      </w:r>
      <w:r w:rsidR="00C03F7C" w:rsidRPr="00C66C24">
        <w:rPr>
          <w:rFonts w:ascii="Calibri" w:eastAsia="Calibri" w:hAnsi="Calibri" w:cs="Calibri"/>
          <w:color w:val="000000" w:themeColor="text1"/>
        </w:rPr>
        <w:t>of SOx.</w:t>
      </w:r>
      <w:r w:rsidR="00EE116F" w:rsidRPr="00C66C24">
        <w:rPr>
          <w:rFonts w:ascii="Calibri" w:eastAsia="Calibri" w:hAnsi="Calibri" w:cs="Calibri"/>
          <w:color w:val="000000" w:themeColor="text1"/>
        </w:rPr>
        <w:t xml:space="preserve"> Thereafter, it has slightly declined to approximately 92% of the transport total share (-6%), in 2021, where emissions from the sector were equal to 276 Gg. </w:t>
      </w:r>
    </w:p>
    <w:p w14:paraId="5671A2CC" w14:textId="622995EB" w:rsidR="00C03F7C" w:rsidRPr="00C66C24" w:rsidRDefault="00C03F7C" w:rsidP="00AD4DAB">
      <w:pPr>
        <w:spacing w:before="0" w:after="120" w:line="257" w:lineRule="auto"/>
        <w:rPr>
          <w:rFonts w:ascii="Calibri" w:eastAsia="Calibri" w:hAnsi="Calibri" w:cs="Calibri"/>
          <w:color w:val="000000" w:themeColor="text1"/>
        </w:rPr>
      </w:pPr>
      <w:r w:rsidRPr="00C66C24">
        <w:rPr>
          <w:rFonts w:ascii="Calibri" w:eastAsia="Calibri" w:hAnsi="Calibri" w:cs="Calibri"/>
          <w:color w:val="000000" w:themeColor="text1"/>
        </w:rPr>
        <w:t>In 2021, fisheries and domestic navigation constituted approximately 1% and 6% of the total maritime SOx emissions, with the remaining being international navigation. From 2019 to 2020 the overall emissions from the sector decreased by 60%, also due to the reduction of activity caused by the COVID-19 pandemic restrictions. In the same period, for the maritime sector, freight activity decreased by 6% while passenger activity decreased by 51%.</w:t>
      </w:r>
    </w:p>
    <w:p w14:paraId="607F5CF3" w14:textId="4CC3175D" w:rsidR="00C03F7C" w:rsidRPr="00C66C24" w:rsidRDefault="00C03F7C" w:rsidP="008C6A9C">
      <w:pPr>
        <w:keepNext/>
        <w:spacing w:line="257" w:lineRule="auto"/>
        <w:jc w:val="center"/>
      </w:pPr>
      <w:r w:rsidRPr="00C66C24">
        <w:rPr>
          <w:rFonts w:ascii="Calibri" w:hAnsi="Calibri"/>
          <w:noProof/>
          <w:color w:val="000000" w:themeColor="text1"/>
        </w:rPr>
        <w:drawing>
          <wp:inline distT="0" distB="0" distL="0" distR="0" wp14:anchorId="44202514" wp14:editId="2D140B08">
            <wp:extent cx="5022000" cy="3330000"/>
            <wp:effectExtent l="0" t="0" r="762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22000" cy="3330000"/>
                    </a:xfrm>
                    <a:prstGeom prst="rect">
                      <a:avLst/>
                    </a:prstGeom>
                    <a:noFill/>
                    <a:ln>
                      <a:noFill/>
                    </a:ln>
                  </pic:spPr>
                </pic:pic>
              </a:graphicData>
            </a:graphic>
          </wp:inline>
        </w:drawing>
      </w:r>
    </w:p>
    <w:p w14:paraId="111DC540" w14:textId="47145695" w:rsidR="00990129" w:rsidRPr="00C66C24" w:rsidRDefault="00F47AC5" w:rsidP="008C6A9C">
      <w:pPr>
        <w:pStyle w:val="Caption"/>
        <w:spacing w:after="0" w:line="257" w:lineRule="auto"/>
        <w:jc w:val="center"/>
        <w:rPr>
          <w:sz w:val="20"/>
          <w:szCs w:val="20"/>
        </w:rPr>
      </w:pPr>
      <w:bookmarkStart w:id="89" w:name="_Ref151110987"/>
      <w:bookmarkStart w:id="90" w:name="_Ref157608392"/>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9</w:t>
      </w:r>
      <w:r w:rsidR="00A81F61" w:rsidRPr="00C66C24">
        <w:rPr>
          <w:sz w:val="20"/>
          <w:szCs w:val="20"/>
        </w:rPr>
        <w:fldChar w:fldCharType="end"/>
      </w:r>
      <w:bookmarkEnd w:id="89"/>
      <w:r w:rsidRPr="00C66C24">
        <w:rPr>
          <w:sz w:val="20"/>
          <w:szCs w:val="20"/>
        </w:rPr>
        <w:t xml:space="preserve"> SOx emissions from the maritime sector (Gg) and their share in total transport emissions (%) between 1990 and 2021 in the EU-27</w:t>
      </w:r>
      <w:r w:rsidR="00146EB6" w:rsidRPr="00C66C24">
        <w:rPr>
          <w:sz w:val="20"/>
          <w:szCs w:val="20"/>
        </w:rPr>
        <w:t>.</w:t>
      </w:r>
      <w:bookmarkEnd w:id="90"/>
    </w:p>
    <w:p w14:paraId="3E24DC1A" w14:textId="77777777" w:rsidR="00451D38" w:rsidRPr="00C66C24" w:rsidRDefault="001E72B1" w:rsidP="008C6A9C">
      <w:pPr>
        <w:pStyle w:val="Caption"/>
        <w:spacing w:after="0" w:line="257" w:lineRule="auto"/>
        <w:jc w:val="center"/>
        <w:rPr>
          <w:rFonts w:ascii="Calibri" w:eastAsia="Calibri" w:hAnsi="Calibri" w:cs="Calibri"/>
          <w:b w:val="0"/>
          <w:bCs/>
          <w:color w:val="000000" w:themeColor="text1"/>
          <w:sz w:val="20"/>
          <w:szCs w:val="20"/>
        </w:rPr>
      </w:pPr>
      <w:r w:rsidRPr="00C66C24">
        <w:rPr>
          <w:b w:val="0"/>
          <w:bCs/>
          <w:iCs/>
          <w:color w:val="000000" w:themeColor="text1"/>
          <w:sz w:val="20"/>
          <w:szCs w:val="20"/>
        </w:rPr>
        <w:t>Source: LRTAP</w:t>
      </w:r>
      <w:r w:rsidR="008730C0" w:rsidRPr="00C66C24">
        <w:rPr>
          <w:b w:val="0"/>
          <w:bCs/>
          <w:iCs/>
          <w:color w:val="000000" w:themeColor="text1"/>
          <w:sz w:val="20"/>
          <w:szCs w:val="20"/>
        </w:rPr>
        <w:t>.</w:t>
      </w:r>
    </w:p>
    <w:p w14:paraId="1023755F" w14:textId="1E7B1818" w:rsidR="00EE116F" w:rsidRPr="00C66C24" w:rsidRDefault="00EE116F" w:rsidP="008C6A9C">
      <w:pPr>
        <w:spacing w:before="0" w:after="120" w:line="257" w:lineRule="auto"/>
      </w:pPr>
      <w:r w:rsidRPr="00C66C24">
        <w:rPr>
          <w:rFonts w:ascii="Calibri" w:eastAsia="Calibri" w:hAnsi="Calibri" w:cs="Calibri"/>
          <w:color w:val="000000" w:themeColor="text1"/>
        </w:rPr>
        <w:t>The SOx E</w:t>
      </w:r>
      <w:r w:rsidR="00556EC1">
        <w:rPr>
          <w:rFonts w:ascii="Calibri" w:eastAsia="Calibri" w:hAnsi="Calibri" w:cs="Calibri"/>
          <w:color w:val="000000" w:themeColor="text1"/>
        </w:rPr>
        <w:t xml:space="preserve">mission </w:t>
      </w:r>
      <w:r w:rsidRPr="00C66C24">
        <w:rPr>
          <w:rFonts w:ascii="Calibri" w:eastAsia="Calibri" w:hAnsi="Calibri" w:cs="Calibri"/>
          <w:color w:val="000000" w:themeColor="text1"/>
        </w:rPr>
        <w:t>C</w:t>
      </w:r>
      <w:r w:rsidR="00556EC1">
        <w:rPr>
          <w:rFonts w:ascii="Calibri" w:eastAsia="Calibri" w:hAnsi="Calibri" w:cs="Calibri"/>
          <w:color w:val="000000" w:themeColor="text1"/>
        </w:rPr>
        <w:t xml:space="preserve">ontrol </w:t>
      </w:r>
      <w:r w:rsidRPr="00C66C24">
        <w:rPr>
          <w:rFonts w:ascii="Calibri" w:eastAsia="Calibri" w:hAnsi="Calibri" w:cs="Calibri"/>
          <w:color w:val="000000" w:themeColor="text1"/>
        </w:rPr>
        <w:t>A</w:t>
      </w:r>
      <w:r w:rsidR="00556EC1">
        <w:rPr>
          <w:rFonts w:ascii="Calibri" w:eastAsia="Calibri" w:hAnsi="Calibri" w:cs="Calibri"/>
          <w:color w:val="000000" w:themeColor="text1"/>
        </w:rPr>
        <w:t>reas (ECAs)</w:t>
      </w:r>
      <w:r w:rsidRPr="00C66C24">
        <w:rPr>
          <w:rFonts w:ascii="Calibri" w:eastAsia="Calibri" w:hAnsi="Calibri" w:cs="Calibri"/>
          <w:color w:val="000000" w:themeColor="text1"/>
        </w:rPr>
        <w:t xml:space="preserve"> and the Global Sulphur Cap have limited the content of sulphur in marine fuels. Based on the data from the STEAM model, </w:t>
      </w:r>
      <w:r w:rsidR="00152B69" w:rsidRPr="00C66C24">
        <w:fldChar w:fldCharType="begin"/>
      </w:r>
      <w:r w:rsidR="00152B69" w:rsidRPr="00C66C24">
        <w:instrText xml:space="preserve"> REF _Ref157418760 \h </w:instrText>
      </w:r>
      <w:r w:rsidR="00152B69" w:rsidRPr="00C66C24">
        <w:fldChar w:fldCharType="separate"/>
      </w:r>
      <w:r w:rsidR="00152B69" w:rsidRPr="00C66C24">
        <w:t>Figure 2.10</w:t>
      </w:r>
      <w:r w:rsidR="00152B69" w:rsidRPr="00C66C24">
        <w:fldChar w:fldCharType="end"/>
      </w:r>
      <w:r w:rsidR="00B52163" w:rsidRPr="00C66C24">
        <w:t xml:space="preserve"> </w:t>
      </w:r>
      <w:r w:rsidRPr="00C66C24">
        <w:t>sh</w:t>
      </w:r>
      <w:r w:rsidRPr="00C66C24">
        <w:rPr>
          <w:rFonts w:ascii="Calibri" w:eastAsia="Calibri" w:hAnsi="Calibri" w:cs="Calibri"/>
          <w:color w:val="000000" w:themeColor="text1"/>
          <w:szCs w:val="22"/>
        </w:rPr>
        <w:t xml:space="preserve">ows that there has been a large reduction in the </w:t>
      </w:r>
      <w:r w:rsidR="00F10EE5" w:rsidRPr="00C66C24">
        <w:rPr>
          <w:rFonts w:ascii="Calibri" w:eastAsia="Calibri" w:hAnsi="Calibri" w:cs="Calibri"/>
          <w:color w:val="000000" w:themeColor="text1"/>
          <w:szCs w:val="22"/>
        </w:rPr>
        <w:t>monthly</w:t>
      </w:r>
      <w:r w:rsidRPr="00C66C24">
        <w:rPr>
          <w:rFonts w:ascii="Calibri" w:eastAsia="Calibri" w:hAnsi="Calibri" w:cs="Calibri"/>
          <w:color w:val="000000" w:themeColor="text1"/>
          <w:szCs w:val="22"/>
        </w:rPr>
        <w:t xml:space="preserve"> SOx emissions for the EU region as a</w:t>
      </w:r>
      <w:r w:rsidRPr="00C66C24">
        <w:rPr>
          <w:rFonts w:ascii="Calibri" w:eastAsia="Calibri" w:hAnsi="Calibri" w:cs="Calibri"/>
          <w:color w:val="000000" w:themeColor="text1"/>
        </w:rPr>
        <w:t xml:space="preserve"> whole.</w:t>
      </w:r>
    </w:p>
    <w:p w14:paraId="3B5A673F" w14:textId="77777777" w:rsidR="00EE116F" w:rsidRPr="00C66C24" w:rsidRDefault="00C03F7C" w:rsidP="008C6A9C">
      <w:pPr>
        <w:keepNext/>
        <w:spacing w:line="257" w:lineRule="auto"/>
        <w:jc w:val="center"/>
      </w:pPr>
      <w:r w:rsidRPr="00C66C24">
        <w:rPr>
          <w:noProof/>
        </w:rPr>
        <w:drawing>
          <wp:inline distT="0" distB="0" distL="0" distR="0" wp14:anchorId="1D322402" wp14:editId="1D9D118F">
            <wp:extent cx="3999600" cy="3247200"/>
            <wp:effectExtent l="0" t="0" r="1270" b="0"/>
            <wp:docPr id="885398475" name="Picture 885398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99600" cy="3247200"/>
                    </a:xfrm>
                    <a:prstGeom prst="rect">
                      <a:avLst/>
                    </a:prstGeom>
                    <a:noFill/>
                    <a:ln>
                      <a:noFill/>
                    </a:ln>
                  </pic:spPr>
                </pic:pic>
              </a:graphicData>
            </a:graphic>
          </wp:inline>
        </w:drawing>
      </w:r>
    </w:p>
    <w:p w14:paraId="1637BC66" w14:textId="4BE868F6" w:rsidR="00EE116F" w:rsidRPr="00C66C24" w:rsidRDefault="00EE116F" w:rsidP="008C6A9C">
      <w:pPr>
        <w:pStyle w:val="Caption"/>
        <w:spacing w:after="0" w:line="257" w:lineRule="auto"/>
        <w:jc w:val="center"/>
        <w:rPr>
          <w:rFonts w:ascii="Calibri" w:eastAsia="Calibri" w:hAnsi="Calibri" w:cs="Calibri"/>
          <w:color w:val="000000" w:themeColor="text1"/>
          <w:sz w:val="20"/>
          <w:szCs w:val="20"/>
        </w:rPr>
      </w:pPr>
      <w:bookmarkStart w:id="91" w:name="_Ref157418760"/>
      <w:bookmarkStart w:id="92" w:name="_Ref157418753"/>
      <w:r w:rsidRPr="00C66C24">
        <w:rPr>
          <w:sz w:val="20"/>
          <w:szCs w:val="20"/>
        </w:rPr>
        <w:t xml:space="preserve">Figure </w:t>
      </w:r>
      <w:bookmarkStart w:id="93" w:name="Map_34"/>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10</w:t>
      </w:r>
      <w:r w:rsidR="00A81F61" w:rsidRPr="00C66C24">
        <w:rPr>
          <w:sz w:val="20"/>
          <w:szCs w:val="20"/>
        </w:rPr>
        <w:fldChar w:fldCharType="end"/>
      </w:r>
      <w:bookmarkEnd w:id="91"/>
      <w:r w:rsidRPr="00C66C24">
        <w:rPr>
          <w:sz w:val="20"/>
          <w:szCs w:val="20"/>
        </w:rPr>
        <w:t xml:space="preserve"> SOx emissions for EU, 2014-2022.</w:t>
      </w:r>
      <w:bookmarkEnd w:id="92"/>
    </w:p>
    <w:p w14:paraId="734346BB" w14:textId="77777777" w:rsidR="00EE116F" w:rsidRPr="00C66C24" w:rsidRDefault="00EE116F" w:rsidP="008C6A9C">
      <w:pPr>
        <w:spacing w:before="0" w:after="0" w:line="257" w:lineRule="auto"/>
        <w:jc w:val="center"/>
        <w:rPr>
          <w:rFonts w:ascii="Calibri" w:eastAsia="Calibri" w:hAnsi="Calibri" w:cs="Calibri"/>
          <w:color w:val="000000" w:themeColor="text1"/>
          <w:sz w:val="20"/>
          <w:szCs w:val="20"/>
        </w:rPr>
      </w:pPr>
      <w:r w:rsidRPr="00C66C24">
        <w:rPr>
          <w:rFonts w:ascii="Calibri" w:eastAsia="Calibri" w:hAnsi="Calibri" w:cs="Calibri"/>
          <w:color w:val="000000" w:themeColor="text1"/>
          <w:sz w:val="20"/>
          <w:szCs w:val="20"/>
        </w:rPr>
        <w:t>Source: STEAM, FMI.</w:t>
      </w:r>
    </w:p>
    <w:p w14:paraId="76FD5E2E" w14:textId="77777777" w:rsidR="00EE116F" w:rsidRPr="00C66C24" w:rsidRDefault="00EE116F" w:rsidP="008C6A9C">
      <w:pPr>
        <w:spacing w:line="257" w:lineRule="auto"/>
        <w:rPr>
          <w:rFonts w:ascii="Calibri" w:eastAsia="Calibri" w:hAnsi="Calibri" w:cs="Calibri"/>
          <w:color w:val="000000" w:themeColor="text1"/>
        </w:rPr>
      </w:pPr>
    </w:p>
    <w:p w14:paraId="7112FA6D" w14:textId="73641A82" w:rsidR="00C03F7C" w:rsidRPr="00C66C24" w:rsidRDefault="00C03F7C" w:rsidP="008C6A9C">
      <w:pPr>
        <w:keepNext/>
        <w:spacing w:line="257" w:lineRule="auto"/>
        <w:jc w:val="center"/>
      </w:pPr>
      <w:r w:rsidRPr="00C66C24">
        <w:rPr>
          <w:noProof/>
        </w:rPr>
        <w:drawing>
          <wp:inline distT="0" distB="0" distL="0" distR="0" wp14:anchorId="2E0CCF08" wp14:editId="3C6F39D4">
            <wp:extent cx="3244132" cy="27582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rotWithShape="1">
                    <a:blip r:embed="rId34">
                      <a:extLst>
                        <a:ext uri="{28A0092B-C50C-407E-A947-70E740481C1C}">
                          <a14:useLocalDpi xmlns:a14="http://schemas.microsoft.com/office/drawing/2010/main" val="0"/>
                        </a:ext>
                      </a:extLst>
                    </a:blip>
                    <a:srcRect l="27542" t="9057" r="12363" b="14298"/>
                    <a:stretch/>
                  </pic:blipFill>
                  <pic:spPr bwMode="auto">
                    <a:xfrm>
                      <a:off x="0" y="0"/>
                      <a:ext cx="3245131" cy="2759074"/>
                    </a:xfrm>
                    <a:prstGeom prst="rect">
                      <a:avLst/>
                    </a:prstGeom>
                    <a:noFill/>
                    <a:ln>
                      <a:noFill/>
                    </a:ln>
                    <a:extLst>
                      <a:ext uri="{53640926-AAD7-44D8-BBD7-CCE9431645EC}">
                        <a14:shadowObscured xmlns:a14="http://schemas.microsoft.com/office/drawing/2010/main"/>
                      </a:ext>
                    </a:extLst>
                  </pic:spPr>
                </pic:pic>
              </a:graphicData>
            </a:graphic>
          </wp:inline>
        </w:drawing>
      </w:r>
    </w:p>
    <w:p w14:paraId="001E2136" w14:textId="6D8D1798" w:rsidR="00EE116F" w:rsidRPr="00C66C24" w:rsidRDefault="00EE116F" w:rsidP="008C6A9C">
      <w:pPr>
        <w:pStyle w:val="Caption"/>
        <w:spacing w:after="0" w:line="257" w:lineRule="auto"/>
        <w:jc w:val="center"/>
        <w:rPr>
          <w:rFonts w:ascii="Calibri" w:eastAsia="Calibri" w:hAnsi="Calibri" w:cs="Calibri"/>
          <w:b w:val="0"/>
          <w:sz w:val="20"/>
          <w:szCs w:val="20"/>
        </w:rPr>
      </w:pPr>
      <w:bookmarkStart w:id="94" w:name="_Ref157608605"/>
      <w:r w:rsidRPr="00C66C24">
        <w:rPr>
          <w:sz w:val="20"/>
          <w:szCs w:val="20"/>
        </w:rPr>
        <w:t xml:space="preserve">Map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Pr="00C66C24">
        <w:rPr>
          <w:noProof/>
          <w:sz w:val="20"/>
          <w:szCs w:val="20"/>
        </w:rPr>
        <w:t>2</w:t>
      </w:r>
      <w:r w:rsidRPr="00C66C24">
        <w:rPr>
          <w:sz w:val="20"/>
          <w:szCs w:val="20"/>
        </w:rPr>
        <w:fldChar w:fldCharType="end"/>
      </w:r>
      <w:r w:rsidRPr="00C66C24">
        <w:rPr>
          <w:sz w:val="20"/>
          <w:szCs w:val="20"/>
        </w:rPr>
        <w:t>.</w:t>
      </w:r>
      <w:r w:rsidRPr="00C66C24">
        <w:rPr>
          <w:sz w:val="20"/>
          <w:szCs w:val="20"/>
        </w:rPr>
        <w:fldChar w:fldCharType="begin"/>
      </w:r>
      <w:r w:rsidRPr="00C66C24">
        <w:rPr>
          <w:sz w:val="20"/>
          <w:szCs w:val="20"/>
        </w:rPr>
        <w:instrText xml:space="preserve"> SEQ Map \* ARABIC \s 1 </w:instrText>
      </w:r>
      <w:r w:rsidRPr="00C66C24">
        <w:rPr>
          <w:sz w:val="20"/>
          <w:szCs w:val="20"/>
        </w:rPr>
        <w:fldChar w:fldCharType="separate"/>
      </w:r>
      <w:r w:rsidR="00AD4DAB" w:rsidRPr="00C66C24">
        <w:rPr>
          <w:noProof/>
          <w:sz w:val="20"/>
          <w:szCs w:val="20"/>
        </w:rPr>
        <w:t>4</w:t>
      </w:r>
      <w:r w:rsidRPr="00C66C24">
        <w:rPr>
          <w:sz w:val="20"/>
          <w:szCs w:val="20"/>
        </w:rPr>
        <w:fldChar w:fldCharType="end"/>
      </w:r>
      <w:bookmarkEnd w:id="94"/>
      <w:r w:rsidRPr="00C66C24">
        <w:rPr>
          <w:sz w:val="20"/>
          <w:szCs w:val="20"/>
        </w:rPr>
        <w:t xml:space="preserve"> Difference in SOx emissions in European shipping areas between 2015 and 2022.</w:t>
      </w:r>
    </w:p>
    <w:p w14:paraId="7BA59F52" w14:textId="386F6E08" w:rsidR="00EE116F" w:rsidRPr="00C66C24" w:rsidRDefault="00EE116F" w:rsidP="008C6A9C">
      <w:pPr>
        <w:spacing w:before="0" w:after="120" w:line="257" w:lineRule="auto"/>
        <w:jc w:val="center"/>
        <w:rPr>
          <w:rFonts w:ascii="Calibri" w:eastAsia="Calibri" w:hAnsi="Calibri" w:cs="Calibri"/>
          <w:color w:val="000000" w:themeColor="text1"/>
          <w:sz w:val="20"/>
          <w:szCs w:val="20"/>
        </w:rPr>
      </w:pPr>
      <w:r w:rsidRPr="00C66C24">
        <w:rPr>
          <w:rFonts w:ascii="Calibri" w:eastAsia="Calibri" w:hAnsi="Calibri" w:cs="Calibri"/>
          <w:color w:val="000000" w:themeColor="text1"/>
          <w:sz w:val="20"/>
          <w:szCs w:val="20"/>
        </w:rPr>
        <w:t>Source: STEAM, FMI.</w:t>
      </w:r>
    </w:p>
    <w:p w14:paraId="1BDE110A" w14:textId="16DDF02B" w:rsidR="00EE116F" w:rsidRPr="00C66C24" w:rsidRDefault="00EE116F" w:rsidP="00FF7B53">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The STEAM modelled data allows a visual reflection of the uneven distribution of SOx emissions in the different regions of Europe</w:t>
      </w:r>
      <w:r w:rsidR="00061BCF" w:rsidRPr="00C66C24">
        <w:rPr>
          <w:rFonts w:ascii="Calibri" w:eastAsia="Calibri" w:hAnsi="Calibri" w:cs="Calibri"/>
          <w:color w:val="000000" w:themeColor="text1"/>
        </w:rPr>
        <w:t xml:space="preserve"> (see</w:t>
      </w:r>
      <w:r w:rsidR="0053018B" w:rsidRPr="00C66C24">
        <w:rPr>
          <w:rFonts w:ascii="Calibri" w:eastAsia="Calibri" w:hAnsi="Calibri" w:cs="Calibri"/>
          <w:color w:val="000000" w:themeColor="text1"/>
        </w:rPr>
        <w:t xml:space="preserve"> </w:t>
      </w:r>
      <w:r w:rsidR="00A6075A" w:rsidRPr="00C66C24">
        <w:rPr>
          <w:rFonts w:ascii="Calibri" w:eastAsia="Calibri" w:hAnsi="Calibri" w:cs="Calibri"/>
          <w:color w:val="000000" w:themeColor="text1"/>
        </w:rPr>
        <w:fldChar w:fldCharType="begin"/>
      </w:r>
      <w:r w:rsidR="00A6075A" w:rsidRPr="00C66C24">
        <w:rPr>
          <w:rFonts w:ascii="Calibri" w:eastAsia="Calibri" w:hAnsi="Calibri" w:cs="Calibri"/>
          <w:color w:val="000000" w:themeColor="text1"/>
        </w:rPr>
        <w:instrText xml:space="preserve"> REF _Ref157608605 \h  \* MERGEFORMAT </w:instrText>
      </w:r>
      <w:r w:rsidR="00A6075A" w:rsidRPr="00C66C24">
        <w:rPr>
          <w:rFonts w:ascii="Calibri" w:eastAsia="Calibri" w:hAnsi="Calibri" w:cs="Calibri"/>
          <w:color w:val="000000" w:themeColor="text1"/>
        </w:rPr>
      </w:r>
      <w:r w:rsidR="00A6075A" w:rsidRPr="00C66C24">
        <w:rPr>
          <w:rFonts w:ascii="Calibri" w:eastAsia="Calibri" w:hAnsi="Calibri" w:cs="Calibri"/>
          <w:color w:val="000000" w:themeColor="text1"/>
        </w:rPr>
        <w:fldChar w:fldCharType="separate"/>
      </w:r>
      <w:r w:rsidR="00A6075A" w:rsidRPr="00C66C24">
        <w:rPr>
          <w:rFonts w:ascii="Calibri" w:eastAsia="Calibri" w:hAnsi="Calibri" w:cs="Calibri"/>
          <w:color w:val="000000" w:themeColor="text1"/>
        </w:rPr>
        <w:t>Map 2.4</w:t>
      </w:r>
      <w:r w:rsidR="00A6075A" w:rsidRPr="00C66C24">
        <w:rPr>
          <w:rFonts w:ascii="Calibri" w:eastAsia="Calibri" w:hAnsi="Calibri" w:cs="Calibri"/>
          <w:color w:val="000000" w:themeColor="text1"/>
        </w:rPr>
        <w:fldChar w:fldCharType="end"/>
      </w:r>
      <w:r w:rsidR="006D7B2D" w:rsidRPr="00C66C24">
        <w:rPr>
          <w:rFonts w:ascii="Calibri" w:eastAsia="Calibri" w:hAnsi="Calibri" w:cs="Calibri"/>
          <w:color w:val="000000" w:themeColor="text1"/>
        </w:rPr>
        <w:t>)</w:t>
      </w:r>
      <w:r w:rsidR="00D055C8">
        <w:rPr>
          <w:rFonts w:ascii="Calibri" w:eastAsia="Calibri" w:hAnsi="Calibri" w:cs="Calibri"/>
          <w:color w:val="000000" w:themeColor="text1"/>
        </w:rPr>
        <w:t>.</w:t>
      </w:r>
      <w:r w:rsidR="005D35A3" w:rsidRPr="00C66C24">
        <w:rPr>
          <w:rFonts w:ascii="Calibri" w:eastAsia="Calibri" w:hAnsi="Calibri" w:cs="Calibri"/>
          <w:color w:val="000000" w:themeColor="text1"/>
        </w:rPr>
        <w:t xml:space="preserve"> </w:t>
      </w:r>
      <w:r w:rsidR="00914B80" w:rsidRPr="00C66C24">
        <w:rPr>
          <w:rFonts w:ascii="Calibri" w:eastAsia="Calibri" w:hAnsi="Calibri" w:cs="Calibri"/>
          <w:color w:val="000000" w:themeColor="text1"/>
        </w:rPr>
        <w:t>As for GHG emissions, i</w:t>
      </w:r>
      <w:r w:rsidR="000175B3" w:rsidRPr="00C66C24">
        <w:rPr>
          <w:rFonts w:ascii="Calibri" w:eastAsia="Calibri" w:hAnsi="Calibri" w:cs="Calibri"/>
          <w:iCs w:val="0"/>
          <w:color w:val="000000" w:themeColor="text1"/>
        </w:rPr>
        <w:t xml:space="preserve">t is important to consider that variables such as the traffic volume (in absolute number of vessel position messages) will influence the total </w:t>
      </w:r>
      <w:r w:rsidR="00914B80" w:rsidRPr="00C66C24">
        <w:rPr>
          <w:rFonts w:ascii="Calibri" w:eastAsia="Calibri" w:hAnsi="Calibri" w:cs="Calibri"/>
          <w:iCs w:val="0"/>
          <w:color w:val="000000" w:themeColor="text1"/>
        </w:rPr>
        <w:t xml:space="preserve">air quality </w:t>
      </w:r>
      <w:r w:rsidR="000175B3" w:rsidRPr="00C66C24">
        <w:rPr>
          <w:rFonts w:ascii="Calibri" w:eastAsia="Calibri" w:hAnsi="Calibri" w:cs="Calibri"/>
          <w:iCs w:val="0"/>
          <w:color w:val="000000" w:themeColor="text1"/>
        </w:rPr>
        <w:t>emissions.</w:t>
      </w:r>
      <w:r w:rsidRPr="00C66C24">
        <w:rPr>
          <w:rFonts w:ascii="Calibri" w:eastAsia="Calibri" w:hAnsi="Calibri" w:cs="Calibri"/>
          <w:color w:val="000000" w:themeColor="text1"/>
        </w:rPr>
        <w:t xml:space="preserve"> In the 2015-2022 timeframe, SOx emissions have decreased by 71%, 69%, and 61%, in the Mediterranean, Black and Atlantic regions respectively, while they have increased by 29% and 2% in the North and Baltic Seas</w:t>
      </w:r>
      <w:r w:rsidR="00C03F7C"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In the same timeframe and for the same regions, the variation in the distance travelled was respectively 20%, 7%, 208%, 23%, and 13% respectively. In the Arctic region, SOx emissions have increased by 62%, together with a significant increase in the distance travelled in the area, equal to five times</w:t>
      </w:r>
      <w:r w:rsidR="00C03F7C"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This is of particular concern given the vulnerability of the region to the effects of SOx pollution.</w:t>
      </w:r>
    </w:p>
    <w:p w14:paraId="11237C46" w14:textId="51747A04" w:rsidR="00EE116F" w:rsidRPr="00C66C24" w:rsidRDefault="00EE116F" w:rsidP="00FF7B53">
      <w:pPr>
        <w:spacing w:before="0" w:after="120" w:line="257" w:lineRule="auto"/>
        <w:rPr>
          <w:rFonts w:ascii="Calibri" w:eastAsia="Calibri" w:hAnsi="Calibri" w:cs="Calibri"/>
          <w:color w:val="000000" w:themeColor="text1"/>
        </w:rPr>
      </w:pPr>
      <w:r w:rsidRPr="00C66C24">
        <w:rPr>
          <w:rFonts w:ascii="Calibri" w:eastAsia="Calibri" w:hAnsi="Calibri" w:cs="Calibri"/>
          <w:color w:val="000000" w:themeColor="text1"/>
        </w:rPr>
        <w:t>Within the same period, the Mediterranean had the highest</w:t>
      </w:r>
      <w:r w:rsidRPr="00C66C24" w:rsidDel="00271522">
        <w:rPr>
          <w:rFonts w:ascii="Calibri" w:eastAsia="Calibri" w:hAnsi="Calibri" w:cs="Calibri"/>
          <w:color w:val="000000" w:themeColor="text1"/>
        </w:rPr>
        <w:t xml:space="preserve"> </w:t>
      </w:r>
      <w:r w:rsidRPr="00C66C24">
        <w:rPr>
          <w:rFonts w:ascii="Calibri" w:eastAsia="Calibri" w:hAnsi="Calibri" w:cs="Calibri"/>
          <w:color w:val="000000" w:themeColor="text1"/>
        </w:rPr>
        <w:t>average yearly SOx emissions, equal to 503 Gg/year, followed by the Atlantic with 270 Gg/year and the North Sea, 16 Gg/year.</w:t>
      </w:r>
    </w:p>
    <w:bookmarkEnd w:id="93"/>
    <w:p w14:paraId="19634167" w14:textId="77777777" w:rsidR="00F47AC5" w:rsidRPr="00C66C24" w:rsidRDefault="00C03F7C" w:rsidP="008C6A9C">
      <w:pPr>
        <w:keepNext/>
        <w:spacing w:line="257" w:lineRule="auto"/>
      </w:pPr>
      <w:r w:rsidRPr="00C66C24">
        <w:rPr>
          <w:rFonts w:ascii="Calibri" w:hAnsi="Calibri"/>
          <w:noProof/>
          <w:color w:val="000000" w:themeColor="text1"/>
        </w:rPr>
        <w:drawing>
          <wp:inline distT="0" distB="0" distL="0" distR="0" wp14:anchorId="120A3E47" wp14:editId="2E03EF7A">
            <wp:extent cx="5400040" cy="271716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00040" cy="2717165"/>
                    </a:xfrm>
                    <a:prstGeom prst="rect">
                      <a:avLst/>
                    </a:prstGeom>
                    <a:noFill/>
                    <a:ln>
                      <a:noFill/>
                    </a:ln>
                  </pic:spPr>
                </pic:pic>
              </a:graphicData>
            </a:graphic>
          </wp:inline>
        </w:drawing>
      </w:r>
    </w:p>
    <w:p w14:paraId="0FD0DA32" w14:textId="2D93A2EA" w:rsidR="00F5101A" w:rsidRPr="00C66C24" w:rsidRDefault="00F47AC5" w:rsidP="008C6A9C">
      <w:pPr>
        <w:pStyle w:val="Caption"/>
        <w:spacing w:after="0" w:line="257" w:lineRule="auto"/>
        <w:jc w:val="center"/>
        <w:rPr>
          <w:sz w:val="20"/>
          <w:szCs w:val="20"/>
        </w:rPr>
      </w:pPr>
      <w:bookmarkStart w:id="95" w:name="_Ref157603715"/>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11</w:t>
      </w:r>
      <w:r w:rsidR="00A81F61" w:rsidRPr="00C66C24">
        <w:rPr>
          <w:sz w:val="20"/>
          <w:szCs w:val="20"/>
        </w:rPr>
        <w:fldChar w:fldCharType="end"/>
      </w:r>
      <w:bookmarkEnd w:id="95"/>
      <w:r w:rsidRPr="00C66C24">
        <w:rPr>
          <w:sz w:val="20"/>
          <w:szCs w:val="20"/>
        </w:rPr>
        <w:t xml:space="preserve"> SOx specific emissions from selected freight and passenger ship types in (mg/</w:t>
      </w:r>
      <w:proofErr w:type="spellStart"/>
      <w:r w:rsidRPr="00C66C24">
        <w:rPr>
          <w:sz w:val="20"/>
          <w:szCs w:val="20"/>
        </w:rPr>
        <w:t>tkm</w:t>
      </w:r>
      <w:proofErr w:type="spellEnd"/>
      <w:r w:rsidRPr="00C66C24">
        <w:rPr>
          <w:sz w:val="20"/>
          <w:szCs w:val="20"/>
        </w:rPr>
        <w:t>) or (kg/km) respectively, between 2015 and 2022 in the EU</w:t>
      </w:r>
      <w:r w:rsidR="00146EB6" w:rsidRPr="00C66C24">
        <w:rPr>
          <w:sz w:val="20"/>
          <w:szCs w:val="20"/>
        </w:rPr>
        <w:t>.</w:t>
      </w:r>
    </w:p>
    <w:p w14:paraId="5A4F7878" w14:textId="77777777" w:rsidR="00F5101A" w:rsidRPr="00C66C24" w:rsidRDefault="00F5101A" w:rsidP="008C6A9C">
      <w:pPr>
        <w:pStyle w:val="Caption"/>
        <w:spacing w:after="120" w:line="257" w:lineRule="auto"/>
        <w:jc w:val="center"/>
        <w:rPr>
          <w:rFonts w:ascii="Calibri" w:eastAsia="Calibri" w:hAnsi="Calibri" w:cs="Calibri"/>
          <w:b w:val="0"/>
          <w:bCs/>
          <w:color w:val="000000" w:themeColor="text1"/>
          <w:sz w:val="20"/>
          <w:szCs w:val="20"/>
        </w:rPr>
      </w:pPr>
      <w:r w:rsidRPr="00C66C24">
        <w:rPr>
          <w:b w:val="0"/>
          <w:bCs/>
          <w:color w:val="000000" w:themeColor="text1"/>
          <w:sz w:val="20"/>
          <w:szCs w:val="20"/>
        </w:rPr>
        <w:t>Source: STEAM</w:t>
      </w:r>
      <w:r w:rsidR="00FE0789" w:rsidRPr="00C66C24">
        <w:rPr>
          <w:b w:val="0"/>
          <w:bCs/>
          <w:color w:val="000000" w:themeColor="text1"/>
          <w:sz w:val="20"/>
          <w:szCs w:val="20"/>
        </w:rPr>
        <w:t>, FMI.</w:t>
      </w:r>
    </w:p>
    <w:p w14:paraId="268CDA3F" w14:textId="5C1ACD80" w:rsidR="00CD7191" w:rsidRPr="00C66C24" w:rsidRDefault="0017723B" w:rsidP="00FF7B53">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SOx</w:t>
      </w:r>
      <w:r w:rsidR="003B649D" w:rsidRPr="00C66C24">
        <w:rPr>
          <w:rFonts w:ascii="Calibri" w:eastAsia="Calibri" w:hAnsi="Calibri" w:cs="Calibri"/>
          <w:color w:val="000000" w:themeColor="text1"/>
        </w:rPr>
        <w:t xml:space="preserve"> s</w:t>
      </w:r>
      <w:r w:rsidR="00CD7191" w:rsidRPr="00C66C24">
        <w:rPr>
          <w:rFonts w:ascii="Calibri" w:eastAsia="Calibri" w:hAnsi="Calibri" w:cs="Calibri"/>
          <w:color w:val="000000" w:themeColor="text1"/>
        </w:rPr>
        <w:t>pecific emissions have been declining for all the ship types during the period considered</w:t>
      </w:r>
      <w:r w:rsidR="00B963C0">
        <w:rPr>
          <w:rFonts w:ascii="Calibri" w:eastAsia="Calibri" w:hAnsi="Calibri" w:cs="Calibri"/>
          <w:color w:val="000000" w:themeColor="text1"/>
        </w:rPr>
        <w:t xml:space="preserve"> </w:t>
      </w:r>
      <w:r w:rsidR="00B963C0">
        <w:rPr>
          <w:rFonts w:ascii="Calibri" w:eastAsia="Calibri" w:hAnsi="Calibri" w:cs="Calibri"/>
          <w:color w:val="000000" w:themeColor="text1"/>
        </w:rPr>
        <w:t>(see</w:t>
      </w:r>
      <w:r w:rsidR="00B963C0" w:rsidRPr="00C66C24">
        <w:rPr>
          <w:rFonts w:ascii="Calibri" w:eastAsia="Calibri" w:hAnsi="Calibri" w:cs="Calibri"/>
          <w:color w:val="000000" w:themeColor="text1"/>
        </w:rPr>
        <w:t xml:space="preserve"> </w:t>
      </w:r>
      <w:r w:rsidR="00B963C0" w:rsidRPr="00C66C24">
        <w:rPr>
          <w:rFonts w:ascii="Calibri" w:eastAsia="Calibri" w:hAnsi="Calibri" w:cs="Calibri"/>
          <w:color w:val="000000" w:themeColor="text1"/>
        </w:rPr>
        <w:fldChar w:fldCharType="begin"/>
      </w:r>
      <w:r w:rsidR="00B963C0" w:rsidRPr="00C66C24">
        <w:rPr>
          <w:rFonts w:ascii="Calibri" w:eastAsia="Calibri" w:hAnsi="Calibri" w:cs="Calibri"/>
          <w:color w:val="000000" w:themeColor="text1"/>
        </w:rPr>
        <w:instrText xml:space="preserve"> REF _Ref157603715 \h  \* MERGEFORMAT </w:instrText>
      </w:r>
      <w:r w:rsidR="00B963C0" w:rsidRPr="00C66C24">
        <w:rPr>
          <w:rFonts w:ascii="Calibri" w:eastAsia="Calibri" w:hAnsi="Calibri" w:cs="Calibri"/>
          <w:color w:val="000000" w:themeColor="text1"/>
        </w:rPr>
      </w:r>
      <w:r w:rsidR="00B963C0" w:rsidRPr="00C66C24">
        <w:rPr>
          <w:rFonts w:ascii="Calibri" w:eastAsia="Calibri" w:hAnsi="Calibri" w:cs="Calibri"/>
          <w:color w:val="000000" w:themeColor="text1"/>
        </w:rPr>
        <w:fldChar w:fldCharType="separate"/>
      </w:r>
      <w:r w:rsidR="00B963C0" w:rsidRPr="00C66C24">
        <w:rPr>
          <w:rFonts w:ascii="Calibri" w:eastAsia="Calibri" w:hAnsi="Calibri" w:cs="Calibri"/>
          <w:color w:val="000000" w:themeColor="text1"/>
        </w:rPr>
        <w:t>Figure 2.11</w:t>
      </w:r>
      <w:r w:rsidR="00B963C0" w:rsidRPr="00C66C24">
        <w:rPr>
          <w:rFonts w:ascii="Calibri" w:eastAsia="Calibri" w:hAnsi="Calibri" w:cs="Calibri"/>
          <w:color w:val="000000" w:themeColor="text1"/>
        </w:rPr>
        <w:fldChar w:fldCharType="end"/>
      </w:r>
      <w:r w:rsidR="00B963C0">
        <w:rPr>
          <w:rFonts w:ascii="Calibri" w:eastAsia="Calibri" w:hAnsi="Calibri" w:cs="Calibri"/>
          <w:color w:val="000000" w:themeColor="text1"/>
        </w:rPr>
        <w:t>)</w:t>
      </w:r>
      <w:r w:rsidR="00FF200B" w:rsidRPr="00C66C24">
        <w:rPr>
          <w:rFonts w:ascii="Calibri" w:eastAsia="Calibri" w:hAnsi="Calibri" w:cs="Calibri"/>
          <w:color w:val="000000" w:themeColor="text1"/>
        </w:rPr>
        <w:t>.</w:t>
      </w:r>
      <w:r w:rsidR="00CD7191" w:rsidRPr="00C66C24">
        <w:rPr>
          <w:rFonts w:ascii="Calibri" w:eastAsia="Calibri" w:hAnsi="Calibri" w:cs="Calibri"/>
          <w:color w:val="000000" w:themeColor="text1"/>
        </w:rPr>
        <w:t xml:space="preserve"> In particular, they decreased by 78%, 83%, 81% and 79% for cargo, containers, tanker</w:t>
      </w:r>
      <w:r w:rsidR="0098384D" w:rsidRPr="00C66C24">
        <w:rPr>
          <w:rFonts w:ascii="Calibri" w:eastAsia="Calibri" w:hAnsi="Calibri" w:cs="Calibri"/>
          <w:color w:val="000000" w:themeColor="text1"/>
        </w:rPr>
        <w:t>,</w:t>
      </w:r>
      <w:r w:rsidR="00CD7191" w:rsidRPr="00C66C24">
        <w:rPr>
          <w:rFonts w:ascii="Calibri" w:eastAsia="Calibri" w:hAnsi="Calibri" w:cs="Calibri"/>
          <w:color w:val="000000" w:themeColor="text1"/>
        </w:rPr>
        <w:t xml:space="preserve"> and vehicle carrier vessels</w:t>
      </w:r>
      <w:r w:rsidR="00FA462C" w:rsidRPr="00C66C24">
        <w:rPr>
          <w:rFonts w:ascii="Calibri" w:eastAsia="Calibri" w:hAnsi="Calibri" w:cs="Calibri"/>
          <w:color w:val="000000" w:themeColor="text1"/>
        </w:rPr>
        <w:t>,</w:t>
      </w:r>
      <w:r w:rsidR="00CD7191" w:rsidRPr="00C66C24">
        <w:rPr>
          <w:rFonts w:ascii="Calibri" w:eastAsia="Calibri" w:hAnsi="Calibri" w:cs="Calibri"/>
          <w:color w:val="000000" w:themeColor="text1"/>
        </w:rPr>
        <w:t xml:space="preserve"> respectively. This is related to a combination of factors, including the increased average payload transported and</w:t>
      </w:r>
      <w:r w:rsidR="00D8359F" w:rsidRPr="00C66C24">
        <w:rPr>
          <w:rFonts w:ascii="Calibri" w:eastAsia="Calibri" w:hAnsi="Calibri" w:cs="Calibri"/>
          <w:color w:val="000000" w:themeColor="text1"/>
        </w:rPr>
        <w:t xml:space="preserve"> </w:t>
      </w:r>
      <w:r w:rsidR="00CD7191" w:rsidRPr="00C66C24">
        <w:rPr>
          <w:rFonts w:ascii="Calibri" w:eastAsia="Calibri" w:hAnsi="Calibri" w:cs="Calibri"/>
          <w:color w:val="000000" w:themeColor="text1"/>
        </w:rPr>
        <w:t>the introduction of new policies</w:t>
      </w:r>
      <w:r w:rsidR="00A027B4" w:rsidRPr="00C66C24">
        <w:rPr>
          <w:rFonts w:ascii="Calibri" w:eastAsia="Calibri" w:hAnsi="Calibri" w:cs="Calibri"/>
          <w:color w:val="000000" w:themeColor="text1"/>
        </w:rPr>
        <w:t xml:space="preserve"> </w:t>
      </w:r>
      <w:r w:rsidR="00CD7191" w:rsidRPr="00C66C24">
        <w:rPr>
          <w:rFonts w:ascii="Calibri" w:eastAsia="Calibri" w:hAnsi="Calibri" w:cs="Calibri"/>
          <w:color w:val="000000" w:themeColor="text1"/>
        </w:rPr>
        <w:t xml:space="preserve">such as </w:t>
      </w:r>
      <w:r w:rsidR="002428C1" w:rsidRPr="00C66C24">
        <w:rPr>
          <w:rFonts w:ascii="Calibri" w:eastAsia="Calibri" w:hAnsi="Calibri" w:cs="Calibri"/>
          <w:color w:val="000000" w:themeColor="text1"/>
        </w:rPr>
        <w:t xml:space="preserve">the IMO </w:t>
      </w:r>
      <w:r w:rsidR="00AF3831" w:rsidRPr="00C66C24">
        <w:rPr>
          <w:rFonts w:ascii="Calibri" w:eastAsia="Calibri" w:hAnsi="Calibri" w:cs="Calibri"/>
          <w:color w:val="000000" w:themeColor="text1"/>
        </w:rPr>
        <w:t xml:space="preserve">SOx ECAs </w:t>
      </w:r>
      <w:r w:rsidR="00C03F7C" w:rsidRPr="00C66C24">
        <w:rPr>
          <w:rFonts w:ascii="Calibri" w:eastAsia="Calibri" w:hAnsi="Calibri" w:cs="Calibri"/>
          <w:color w:val="000000" w:themeColor="text1"/>
        </w:rPr>
        <w:t>in force from 2015 and the Global Sulphur Cap in 2020.</w:t>
      </w:r>
      <w:r w:rsidR="00CD7191" w:rsidRPr="00C66C24">
        <w:rPr>
          <w:rFonts w:ascii="Calibri" w:eastAsia="Calibri" w:hAnsi="Calibri" w:cs="Calibri"/>
          <w:color w:val="000000" w:themeColor="text1"/>
        </w:rPr>
        <w:t xml:space="preserve"> For reference, in the same region and timeframe, the payload carried </w:t>
      </w:r>
      <w:r w:rsidR="00BA5579" w:rsidRPr="00C66C24">
        <w:rPr>
          <w:rFonts w:ascii="Calibri" w:eastAsia="Calibri" w:hAnsi="Calibri" w:cs="Calibri"/>
          <w:color w:val="000000" w:themeColor="text1"/>
        </w:rPr>
        <w:t xml:space="preserve">by each </w:t>
      </w:r>
      <w:r w:rsidR="00217BD4" w:rsidRPr="00C66C24">
        <w:rPr>
          <w:rFonts w:ascii="Calibri" w:eastAsia="Calibri" w:hAnsi="Calibri" w:cs="Calibri"/>
          <w:color w:val="000000" w:themeColor="text1"/>
        </w:rPr>
        <w:t xml:space="preserve">ship </w:t>
      </w:r>
      <w:r w:rsidR="00BA5579" w:rsidRPr="00C66C24">
        <w:rPr>
          <w:rFonts w:ascii="Calibri" w:eastAsia="Calibri" w:hAnsi="Calibri" w:cs="Calibri"/>
          <w:color w:val="000000" w:themeColor="text1"/>
        </w:rPr>
        <w:t xml:space="preserve">type </w:t>
      </w:r>
      <w:r w:rsidR="00CD7191" w:rsidRPr="00C66C24">
        <w:rPr>
          <w:rFonts w:ascii="Calibri" w:eastAsia="Calibri" w:hAnsi="Calibri" w:cs="Calibri"/>
          <w:color w:val="000000" w:themeColor="text1"/>
        </w:rPr>
        <w:t xml:space="preserve">increased respectively by 39%, 22%, 44% and 8%. </w:t>
      </w:r>
      <w:r w:rsidR="00417AC4" w:rsidRPr="00C66C24">
        <w:rPr>
          <w:rFonts w:ascii="Calibri" w:eastAsia="Calibri" w:hAnsi="Calibri" w:cs="Calibri"/>
          <w:color w:val="000000" w:themeColor="text1"/>
        </w:rPr>
        <w:t>It is important to note that, notwithstanding th</w:t>
      </w:r>
      <w:r w:rsidR="00D91AD6" w:rsidRPr="00C66C24">
        <w:rPr>
          <w:rFonts w:ascii="Calibri" w:eastAsia="Calibri" w:hAnsi="Calibri" w:cs="Calibri"/>
          <w:color w:val="000000" w:themeColor="text1"/>
        </w:rPr>
        <w:t>e</w:t>
      </w:r>
      <w:r w:rsidR="00417AC4" w:rsidRPr="00C66C24">
        <w:rPr>
          <w:rFonts w:ascii="Calibri" w:eastAsia="Calibri" w:hAnsi="Calibri" w:cs="Calibri"/>
          <w:color w:val="000000" w:themeColor="text1"/>
        </w:rPr>
        <w:t xml:space="preserve"> increase</w:t>
      </w:r>
      <w:r w:rsidR="00D91AD6" w:rsidRPr="00C66C24">
        <w:rPr>
          <w:rFonts w:ascii="Calibri" w:eastAsia="Calibri" w:hAnsi="Calibri" w:cs="Calibri"/>
          <w:color w:val="000000" w:themeColor="text1"/>
        </w:rPr>
        <w:t>d activity</w:t>
      </w:r>
      <w:r w:rsidR="00417AC4" w:rsidRPr="00C66C24">
        <w:rPr>
          <w:rFonts w:ascii="Calibri" w:eastAsia="Calibri" w:hAnsi="Calibri" w:cs="Calibri"/>
          <w:color w:val="000000" w:themeColor="text1"/>
        </w:rPr>
        <w:t xml:space="preserve">, </w:t>
      </w:r>
      <w:r w:rsidR="00CD7191" w:rsidRPr="00C66C24">
        <w:rPr>
          <w:rFonts w:ascii="Calibri" w:eastAsia="Calibri" w:hAnsi="Calibri" w:cs="Calibri"/>
          <w:color w:val="000000" w:themeColor="text1"/>
        </w:rPr>
        <w:t>the</w:t>
      </w:r>
      <w:r w:rsidR="00D91AD6" w:rsidRPr="00C66C24">
        <w:rPr>
          <w:rFonts w:ascii="Calibri" w:eastAsia="Calibri" w:hAnsi="Calibri" w:cs="Calibri"/>
          <w:color w:val="000000" w:themeColor="text1"/>
        </w:rPr>
        <w:t>re has been an overall</w:t>
      </w:r>
      <w:r w:rsidR="00CD7191" w:rsidRPr="00C66C24">
        <w:rPr>
          <w:rFonts w:ascii="Calibri" w:eastAsia="Calibri" w:hAnsi="Calibri" w:cs="Calibri"/>
          <w:color w:val="000000" w:themeColor="text1"/>
        </w:rPr>
        <w:t xml:space="preserve"> absolute </w:t>
      </w:r>
      <w:r w:rsidR="00183F62" w:rsidRPr="00C66C24">
        <w:rPr>
          <w:rFonts w:ascii="Calibri" w:eastAsia="Calibri" w:hAnsi="Calibri" w:cs="Calibri"/>
          <w:color w:val="000000" w:themeColor="text1"/>
        </w:rPr>
        <w:t>sulphur</w:t>
      </w:r>
      <w:r w:rsidR="00FA462C" w:rsidRPr="00C66C24">
        <w:rPr>
          <w:rFonts w:ascii="Calibri" w:eastAsia="Calibri" w:hAnsi="Calibri" w:cs="Calibri"/>
          <w:color w:val="000000" w:themeColor="text1"/>
        </w:rPr>
        <w:t xml:space="preserve"> </w:t>
      </w:r>
      <w:r w:rsidR="00CD7191" w:rsidRPr="00C66C24">
        <w:rPr>
          <w:rFonts w:ascii="Calibri" w:eastAsia="Calibri" w:hAnsi="Calibri" w:cs="Calibri"/>
          <w:color w:val="000000" w:themeColor="text1"/>
        </w:rPr>
        <w:t xml:space="preserve">emission </w:t>
      </w:r>
      <w:r w:rsidR="00D91AD6" w:rsidRPr="00C66C24">
        <w:rPr>
          <w:rFonts w:ascii="Calibri" w:eastAsia="Calibri" w:hAnsi="Calibri" w:cs="Calibri"/>
          <w:color w:val="000000" w:themeColor="text1"/>
        </w:rPr>
        <w:t>decrease</w:t>
      </w:r>
      <w:r w:rsidR="00CD7191" w:rsidRPr="00C66C24">
        <w:rPr>
          <w:rFonts w:ascii="Calibri" w:eastAsia="Calibri" w:hAnsi="Calibri" w:cs="Calibri"/>
          <w:color w:val="000000" w:themeColor="text1"/>
        </w:rPr>
        <w:t xml:space="preserve"> of 70%, 79%, 73% and 77% respectively, showing the important role of cleaner fuels and aftertreatment technologies</w:t>
      </w:r>
      <w:r w:rsidR="00206CCB" w:rsidRPr="00C66C24">
        <w:rPr>
          <w:rFonts w:ascii="Calibri" w:eastAsia="Calibri" w:hAnsi="Calibri" w:cs="Calibri"/>
          <w:color w:val="000000" w:themeColor="text1"/>
        </w:rPr>
        <w:t>.</w:t>
      </w:r>
      <w:r w:rsidR="004B596B" w:rsidRPr="00C66C24">
        <w:rPr>
          <w:rFonts w:ascii="Calibri" w:eastAsia="Calibri" w:hAnsi="Calibri" w:cs="Calibri"/>
          <w:color w:val="000000" w:themeColor="text1"/>
        </w:rPr>
        <w:t xml:space="preserve"> </w:t>
      </w:r>
      <w:r w:rsidR="00CD7191" w:rsidRPr="00C66C24">
        <w:rPr>
          <w:rFonts w:ascii="Calibri" w:eastAsia="Calibri" w:hAnsi="Calibri" w:cs="Calibri"/>
          <w:color w:val="000000" w:themeColor="text1"/>
        </w:rPr>
        <w:t>Over the time period considered, tankers, cargo ships</w:t>
      </w:r>
      <w:r w:rsidR="00690F74" w:rsidRPr="00C66C24">
        <w:rPr>
          <w:rFonts w:ascii="Calibri" w:eastAsia="Calibri" w:hAnsi="Calibri" w:cs="Calibri"/>
          <w:color w:val="000000" w:themeColor="text1"/>
        </w:rPr>
        <w:t>,</w:t>
      </w:r>
      <w:r w:rsidR="00CD7191" w:rsidRPr="00C66C24">
        <w:rPr>
          <w:rFonts w:ascii="Calibri" w:eastAsia="Calibri" w:hAnsi="Calibri" w:cs="Calibri"/>
          <w:color w:val="000000" w:themeColor="text1"/>
        </w:rPr>
        <w:t xml:space="preserve"> and container ships had the lowest yearly emission</w:t>
      </w:r>
      <w:r w:rsidR="00690F74" w:rsidRPr="00C66C24">
        <w:rPr>
          <w:rFonts w:ascii="Calibri" w:eastAsia="Calibri" w:hAnsi="Calibri" w:cs="Calibri"/>
          <w:color w:val="000000" w:themeColor="text1"/>
        </w:rPr>
        <w:t>s</w:t>
      </w:r>
      <w:r w:rsidR="00CD7191" w:rsidRPr="00C66C24">
        <w:rPr>
          <w:rFonts w:ascii="Calibri" w:eastAsia="Calibri" w:hAnsi="Calibri" w:cs="Calibri"/>
          <w:color w:val="000000" w:themeColor="text1"/>
        </w:rPr>
        <w:t xml:space="preserve"> with 41 mg/</w:t>
      </w:r>
      <w:proofErr w:type="spellStart"/>
      <w:r w:rsidR="00CD7191" w:rsidRPr="00C66C24">
        <w:rPr>
          <w:rFonts w:ascii="Calibri" w:eastAsia="Calibri" w:hAnsi="Calibri" w:cs="Calibri"/>
          <w:color w:val="000000" w:themeColor="text1"/>
        </w:rPr>
        <w:t>tkm</w:t>
      </w:r>
      <w:proofErr w:type="spellEnd"/>
      <w:r w:rsidR="00CD7191" w:rsidRPr="00C66C24">
        <w:rPr>
          <w:rFonts w:ascii="Calibri" w:eastAsia="Calibri" w:hAnsi="Calibri" w:cs="Calibri"/>
          <w:color w:val="000000" w:themeColor="text1"/>
        </w:rPr>
        <w:t>, 42 mg/</w:t>
      </w:r>
      <w:proofErr w:type="spellStart"/>
      <w:r w:rsidR="00CD7191" w:rsidRPr="00C66C24">
        <w:rPr>
          <w:rFonts w:ascii="Calibri" w:eastAsia="Calibri" w:hAnsi="Calibri" w:cs="Calibri"/>
          <w:color w:val="000000" w:themeColor="text1"/>
        </w:rPr>
        <w:t>tkm</w:t>
      </w:r>
      <w:proofErr w:type="spellEnd"/>
      <w:r w:rsidR="00CD7191" w:rsidRPr="00C66C24">
        <w:rPr>
          <w:rFonts w:ascii="Calibri" w:eastAsia="Calibri" w:hAnsi="Calibri" w:cs="Calibri"/>
          <w:color w:val="000000" w:themeColor="text1"/>
        </w:rPr>
        <w:t xml:space="preserve">, </w:t>
      </w:r>
      <w:r w:rsidR="00690F74" w:rsidRPr="00C66C24">
        <w:rPr>
          <w:rFonts w:ascii="Calibri" w:eastAsia="Calibri" w:hAnsi="Calibri" w:cs="Calibri"/>
          <w:color w:val="000000" w:themeColor="text1"/>
        </w:rPr>
        <w:t>and</w:t>
      </w:r>
      <w:r w:rsidR="00CD7191" w:rsidRPr="00C66C24">
        <w:rPr>
          <w:rFonts w:ascii="Calibri" w:eastAsia="Calibri" w:hAnsi="Calibri" w:cs="Calibri"/>
          <w:color w:val="000000" w:themeColor="text1"/>
        </w:rPr>
        <w:t xml:space="preserve"> 61 mg/</w:t>
      </w:r>
      <w:proofErr w:type="spellStart"/>
      <w:r w:rsidR="00CD7191" w:rsidRPr="00C66C24">
        <w:rPr>
          <w:rFonts w:ascii="Calibri" w:eastAsia="Calibri" w:hAnsi="Calibri" w:cs="Calibri"/>
          <w:color w:val="000000" w:themeColor="text1"/>
        </w:rPr>
        <w:t>tkm</w:t>
      </w:r>
      <w:proofErr w:type="spellEnd"/>
      <w:r w:rsidR="00CD7191" w:rsidRPr="00C66C24">
        <w:rPr>
          <w:rFonts w:ascii="Calibri" w:eastAsia="Calibri" w:hAnsi="Calibri" w:cs="Calibri"/>
          <w:color w:val="000000" w:themeColor="text1"/>
        </w:rPr>
        <w:t xml:space="preserve">. By </w:t>
      </w:r>
      <w:r w:rsidR="007433B4" w:rsidRPr="00C66C24">
        <w:rPr>
          <w:rFonts w:ascii="Calibri" w:eastAsia="Calibri" w:hAnsi="Calibri" w:cs="Calibri"/>
          <w:color w:val="000000" w:themeColor="text1"/>
        </w:rPr>
        <w:t>contrast</w:t>
      </w:r>
      <w:r w:rsidR="00CD7191" w:rsidRPr="00C66C24">
        <w:rPr>
          <w:rFonts w:ascii="Calibri" w:eastAsia="Calibri" w:hAnsi="Calibri" w:cs="Calibri"/>
          <w:color w:val="000000" w:themeColor="text1"/>
        </w:rPr>
        <w:t>, vehicle carriers emitted 139 mg/</w:t>
      </w:r>
      <w:proofErr w:type="spellStart"/>
      <w:r w:rsidR="00CD7191" w:rsidRPr="00C66C24">
        <w:rPr>
          <w:rFonts w:ascii="Calibri" w:eastAsia="Calibri" w:hAnsi="Calibri" w:cs="Calibri"/>
          <w:color w:val="000000" w:themeColor="text1"/>
        </w:rPr>
        <w:t>tkm</w:t>
      </w:r>
      <w:proofErr w:type="spellEnd"/>
      <w:r w:rsidR="00CD7191" w:rsidRPr="00C66C24">
        <w:rPr>
          <w:rFonts w:ascii="Calibri" w:eastAsia="Calibri" w:hAnsi="Calibri" w:cs="Calibri"/>
          <w:color w:val="000000" w:themeColor="text1"/>
        </w:rPr>
        <w:t>.</w:t>
      </w:r>
    </w:p>
    <w:p w14:paraId="049D662D" w14:textId="5F893DA3" w:rsidR="00CD7191" w:rsidRPr="00C66C24" w:rsidRDefault="00EE116F" w:rsidP="00FF7B53">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 xml:space="preserve">Specific emissions of cruisers in Europe have been decreasing by 72% during the period considered, with an increase in the distance travelled of 21%, in absolute terms, the emissions of this industry decreased by 66%. As the STEAM model separates the information from passenger ships and cruiser ships, it is possible to </w:t>
      </w:r>
      <w:r w:rsidR="00AB5A89" w:rsidRPr="00C66C24">
        <w:rPr>
          <w:rFonts w:ascii="Calibri" w:eastAsia="Calibri" w:hAnsi="Calibri" w:cs="Calibri"/>
          <w:color w:val="000000" w:themeColor="text1"/>
        </w:rPr>
        <w:t>observe</w:t>
      </w:r>
      <w:r w:rsidRPr="00C66C24">
        <w:rPr>
          <w:rFonts w:ascii="Calibri" w:eastAsia="Calibri" w:hAnsi="Calibri" w:cs="Calibri"/>
          <w:color w:val="000000" w:themeColor="text1"/>
        </w:rPr>
        <w:t xml:space="preserve"> that in the passenger ships side, the emissions in the same timeframe increased by 35%, with a 3% increase in distance travelled and in absolute terms the emissions of SOx increased by 39%. It is important to highlight that in these two modes of passenger transport are of different magnitude, and that cruiser ships emitted on average of 1 kg/km per year, on the contrary on average, per year a conventional passenger ship emits 10 times less. </w:t>
      </w:r>
    </w:p>
    <w:p w14:paraId="428C4BD3" w14:textId="7EFAFE40" w:rsidR="00EE116F" w:rsidRPr="00C66C24" w:rsidRDefault="00EE116F" w:rsidP="00FF7B53">
      <w:pPr>
        <w:spacing w:before="0" w:after="120" w:line="257" w:lineRule="auto"/>
        <w:rPr>
          <w:rFonts w:ascii="Calibri" w:eastAsia="Calibri" w:hAnsi="Calibri" w:cs="Calibri"/>
          <w:color w:val="000000" w:themeColor="text1"/>
        </w:rPr>
      </w:pPr>
      <w:r w:rsidRPr="00C66C24">
        <w:rPr>
          <w:rFonts w:ascii="Calibri" w:eastAsia="Calibri" w:hAnsi="Calibri" w:cs="Calibri"/>
          <w:color w:val="000000" w:themeColor="text1"/>
        </w:rPr>
        <w:t>Finally, the STEAM data also shows that average emissions per ship of fishing has decreased by 44% from 2015. On average in 2020, a fishing vessel was emitting approximately 975 g</w:t>
      </w:r>
      <w:r w:rsidRPr="00C66C24" w:rsidDel="00866C39">
        <w:rPr>
          <w:rFonts w:ascii="Calibri" w:eastAsia="Calibri" w:hAnsi="Calibri" w:cs="Calibri"/>
          <w:color w:val="000000" w:themeColor="text1"/>
        </w:rPr>
        <w:t xml:space="preserve"> </w:t>
      </w:r>
      <w:r w:rsidR="00C03F7C" w:rsidRPr="00C66C24">
        <w:rPr>
          <w:rFonts w:ascii="Calibri" w:eastAsia="Calibri" w:hAnsi="Calibri" w:cs="Calibri"/>
          <w:color w:val="000000" w:themeColor="text1"/>
        </w:rPr>
        <w:t>of SOx per year.</w:t>
      </w:r>
      <w:r w:rsidRPr="00C66C24">
        <w:rPr>
          <w:rFonts w:ascii="Calibri" w:eastAsia="Calibri" w:hAnsi="Calibri" w:cs="Calibri"/>
          <w:color w:val="000000" w:themeColor="text1"/>
        </w:rPr>
        <w:t xml:space="preserve"> It is worth noting that the fishing fleet has only slightly decreased over the same period, i.e. 7%, while absolute SOx emissions decreased by 48%.</w:t>
      </w:r>
    </w:p>
    <w:p w14:paraId="1B45AE34" w14:textId="77777777" w:rsidR="00EE116F" w:rsidRPr="00C66C24" w:rsidRDefault="00EE116F" w:rsidP="008C6A9C">
      <w:pPr>
        <w:spacing w:line="257" w:lineRule="auto"/>
        <w:rPr>
          <w:u w:val="single"/>
        </w:rPr>
      </w:pPr>
      <w:r w:rsidRPr="00C66C24">
        <w:rPr>
          <w:u w:val="single"/>
        </w:rPr>
        <w:t>Nitrogen oxides (NOx)</w:t>
      </w:r>
    </w:p>
    <w:p w14:paraId="5B38BE7B" w14:textId="77777777" w:rsidR="00EE116F" w:rsidRPr="00C66C24" w:rsidRDefault="00C03F7C" w:rsidP="008C6A9C">
      <w:pPr>
        <w:keepNext/>
        <w:spacing w:line="257" w:lineRule="auto"/>
        <w:jc w:val="center"/>
      </w:pPr>
      <w:r w:rsidRPr="00C66C24">
        <w:rPr>
          <w:noProof/>
          <w:u w:val="single"/>
        </w:rPr>
        <w:drawing>
          <wp:inline distT="0" distB="0" distL="0" distR="0" wp14:anchorId="6806F24F" wp14:editId="357A2225">
            <wp:extent cx="5022000" cy="3330000"/>
            <wp:effectExtent l="0" t="0" r="762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22000" cy="3330000"/>
                    </a:xfrm>
                    <a:prstGeom prst="rect">
                      <a:avLst/>
                    </a:prstGeom>
                    <a:noFill/>
                    <a:ln>
                      <a:noFill/>
                    </a:ln>
                  </pic:spPr>
                </pic:pic>
              </a:graphicData>
            </a:graphic>
          </wp:inline>
        </w:drawing>
      </w:r>
    </w:p>
    <w:p w14:paraId="2AF05A5D" w14:textId="2CFE844C" w:rsidR="00EE116F" w:rsidRPr="00C66C24" w:rsidRDefault="00EE116F" w:rsidP="008C6A9C">
      <w:pPr>
        <w:pStyle w:val="Caption"/>
        <w:spacing w:after="0" w:line="257" w:lineRule="auto"/>
        <w:jc w:val="center"/>
        <w:rPr>
          <w:sz w:val="20"/>
          <w:szCs w:val="20"/>
        </w:rPr>
      </w:pPr>
      <w:bookmarkStart w:id="96" w:name="_Ref157418886"/>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12</w:t>
      </w:r>
      <w:r w:rsidR="00A81F61" w:rsidRPr="00C66C24">
        <w:rPr>
          <w:sz w:val="20"/>
          <w:szCs w:val="20"/>
        </w:rPr>
        <w:fldChar w:fldCharType="end"/>
      </w:r>
      <w:bookmarkEnd w:id="96"/>
      <w:r w:rsidRPr="00C66C24">
        <w:rPr>
          <w:sz w:val="20"/>
          <w:szCs w:val="20"/>
        </w:rPr>
        <w:t xml:space="preserve"> NOx emissions from the maritime sector (Gg) and their share in total transport emissions (%) between 1990 and 2021 in the EU-27.</w:t>
      </w:r>
    </w:p>
    <w:p w14:paraId="61C767EB" w14:textId="77777777" w:rsidR="00EE116F" w:rsidRPr="00C66C24" w:rsidRDefault="00EE116F" w:rsidP="00090488">
      <w:pPr>
        <w:pStyle w:val="Caption"/>
        <w:spacing w:after="120" w:line="257" w:lineRule="auto"/>
        <w:jc w:val="center"/>
        <w:rPr>
          <w:rFonts w:ascii="Calibri" w:eastAsia="Calibri" w:hAnsi="Calibri" w:cs="Calibri"/>
          <w:b w:val="0"/>
          <w:iCs/>
          <w:color w:val="000000" w:themeColor="text1"/>
          <w:sz w:val="20"/>
          <w:szCs w:val="20"/>
        </w:rPr>
      </w:pPr>
      <w:r w:rsidRPr="00C66C24">
        <w:rPr>
          <w:rFonts w:ascii="Calibri" w:eastAsia="Calibri" w:hAnsi="Calibri" w:cs="Calibri"/>
          <w:b w:val="0"/>
          <w:iCs/>
          <w:color w:val="000000" w:themeColor="text1"/>
          <w:sz w:val="20"/>
          <w:szCs w:val="20"/>
        </w:rPr>
        <w:t>Source: LRTAP.</w:t>
      </w:r>
    </w:p>
    <w:p w14:paraId="73C2F440" w14:textId="6E804DA6" w:rsidR="00C03F7C" w:rsidRPr="00C66C24" w:rsidRDefault="003668AB" w:rsidP="008C6A9C">
      <w:pPr>
        <w:pStyle w:val="NormalWeb"/>
        <w:shd w:val="clear" w:color="auto" w:fill="FFFFFF"/>
        <w:spacing w:before="0" w:beforeAutospacing="0" w:after="120" w:afterAutospacing="0" w:line="257" w:lineRule="auto"/>
        <w:jc w:val="both"/>
        <w:rPr>
          <w:rFonts w:ascii="Calibri" w:eastAsia="Calibri" w:hAnsi="Calibri" w:cs="Calibri"/>
          <w:color w:val="000000" w:themeColor="text1"/>
        </w:rPr>
      </w:pPr>
      <w:r w:rsidRPr="00C66C24">
        <w:rPr>
          <w:rFonts w:asciiTheme="minorHAnsi" w:eastAsia="Calibri" w:hAnsiTheme="minorHAnsi" w:cstheme="minorHAnsi"/>
          <w:color w:val="000000" w:themeColor="text1"/>
          <w:sz w:val="22"/>
          <w:szCs w:val="22"/>
          <w:lang w:eastAsia="en-US"/>
        </w:rPr>
        <w:fldChar w:fldCharType="begin"/>
      </w:r>
      <w:r w:rsidRPr="00C66C24">
        <w:rPr>
          <w:rFonts w:asciiTheme="minorHAnsi" w:eastAsia="Calibri" w:hAnsiTheme="minorHAnsi" w:cstheme="minorHAnsi"/>
          <w:color w:val="000000" w:themeColor="text1"/>
          <w:sz w:val="22"/>
          <w:szCs w:val="22"/>
          <w:lang w:eastAsia="en-US"/>
        </w:rPr>
        <w:instrText xml:space="preserve"> REF _Ref157418886 \h  \* MERGEFORMAT </w:instrText>
      </w:r>
      <w:r w:rsidRPr="00C66C24">
        <w:rPr>
          <w:rFonts w:asciiTheme="minorHAnsi" w:eastAsia="Calibri" w:hAnsiTheme="minorHAnsi" w:cstheme="minorHAnsi"/>
          <w:color w:val="000000" w:themeColor="text1"/>
          <w:sz w:val="22"/>
          <w:szCs w:val="22"/>
          <w:lang w:eastAsia="en-US"/>
        </w:rPr>
      </w:r>
      <w:r w:rsidRPr="00C66C24">
        <w:rPr>
          <w:rFonts w:asciiTheme="minorHAnsi" w:eastAsia="Calibri" w:hAnsiTheme="minorHAnsi" w:cstheme="minorHAnsi"/>
          <w:color w:val="000000" w:themeColor="text1"/>
          <w:sz w:val="22"/>
          <w:szCs w:val="22"/>
          <w:lang w:eastAsia="en-US"/>
        </w:rPr>
        <w:fldChar w:fldCharType="separate"/>
      </w:r>
      <w:r w:rsidRPr="00C66C24">
        <w:rPr>
          <w:rFonts w:asciiTheme="minorHAnsi" w:hAnsiTheme="minorHAnsi" w:cstheme="minorHAnsi"/>
          <w:sz w:val="22"/>
          <w:szCs w:val="22"/>
        </w:rPr>
        <w:t xml:space="preserve">Figure </w:t>
      </w:r>
      <w:r w:rsidRPr="00C66C24">
        <w:rPr>
          <w:rFonts w:asciiTheme="minorHAnsi" w:hAnsiTheme="minorHAnsi" w:cstheme="minorHAnsi"/>
          <w:noProof/>
          <w:sz w:val="22"/>
          <w:szCs w:val="22"/>
        </w:rPr>
        <w:t>2</w:t>
      </w:r>
      <w:r w:rsidRPr="00C66C24">
        <w:rPr>
          <w:rFonts w:asciiTheme="minorHAnsi" w:hAnsiTheme="minorHAnsi" w:cstheme="minorHAnsi"/>
          <w:sz w:val="22"/>
          <w:szCs w:val="22"/>
        </w:rPr>
        <w:t>.</w:t>
      </w:r>
      <w:r w:rsidRPr="00C66C24">
        <w:rPr>
          <w:rFonts w:asciiTheme="minorHAnsi" w:hAnsiTheme="minorHAnsi" w:cstheme="minorHAnsi"/>
          <w:noProof/>
          <w:sz w:val="22"/>
          <w:szCs w:val="22"/>
        </w:rPr>
        <w:t>12</w:t>
      </w:r>
      <w:r w:rsidRPr="00C66C24">
        <w:rPr>
          <w:rFonts w:asciiTheme="minorHAnsi" w:eastAsia="Calibri" w:hAnsiTheme="minorHAnsi" w:cstheme="minorHAnsi"/>
          <w:color w:val="000000" w:themeColor="text1"/>
          <w:sz w:val="22"/>
          <w:szCs w:val="22"/>
          <w:lang w:eastAsia="en-US"/>
        </w:rPr>
        <w:fldChar w:fldCharType="end"/>
      </w:r>
      <w:r w:rsidRPr="00C66C24">
        <w:rPr>
          <w:rFonts w:asciiTheme="minorHAnsi" w:eastAsia="Calibri" w:hAnsiTheme="minorHAnsi" w:cstheme="minorHAnsi"/>
          <w:color w:val="000000" w:themeColor="text1"/>
          <w:sz w:val="22"/>
          <w:szCs w:val="22"/>
          <w:lang w:eastAsia="en-US"/>
        </w:rPr>
        <w:t xml:space="preserve"> </w:t>
      </w:r>
      <w:r w:rsidR="00482A80" w:rsidRPr="00C66C24">
        <w:rPr>
          <w:rFonts w:ascii="Calibri" w:eastAsia="Calibri" w:hAnsi="Calibri" w:cs="Calibri"/>
          <w:color w:val="000000" w:themeColor="text1"/>
          <w:sz w:val="22"/>
          <w:lang w:eastAsia="en-US"/>
        </w:rPr>
        <w:t xml:space="preserve">shows </w:t>
      </w:r>
      <w:r w:rsidR="00C03F7C" w:rsidRPr="00C66C24">
        <w:rPr>
          <w:rFonts w:ascii="Calibri" w:eastAsia="Calibri" w:hAnsi="Calibri" w:cs="Calibri"/>
          <w:color w:val="000000" w:themeColor="text1"/>
          <w:sz w:val="22"/>
          <w:lang w:eastAsia="en-US"/>
        </w:rPr>
        <w:t>the</w:t>
      </w:r>
      <w:r w:rsidR="00C03F7C" w:rsidRPr="00C66C24">
        <w:rPr>
          <w:rFonts w:ascii="Calibri" w:eastAsia="Calibri" w:hAnsi="Calibri" w:cs="Calibri"/>
          <w:iCs/>
          <w:color w:val="000000" w:themeColor="text1"/>
          <w:sz w:val="22"/>
          <w:lang w:eastAsia="en-US"/>
        </w:rPr>
        <w:t xml:space="preserve"> contribution of the maritime sector to overall transport </w:t>
      </w:r>
      <w:r w:rsidR="00340F0F">
        <w:rPr>
          <w:rFonts w:ascii="Calibri" w:eastAsia="Calibri" w:hAnsi="Calibri" w:cs="Calibri"/>
          <w:iCs/>
          <w:color w:val="000000" w:themeColor="text1"/>
          <w:sz w:val="22"/>
          <w:lang w:eastAsia="en-US"/>
        </w:rPr>
        <w:t xml:space="preserve">NOx </w:t>
      </w:r>
      <w:r w:rsidR="00C03F7C" w:rsidRPr="00C66C24">
        <w:rPr>
          <w:rFonts w:ascii="Calibri" w:eastAsia="Calibri" w:hAnsi="Calibri" w:cs="Calibri"/>
          <w:color w:val="000000" w:themeColor="text1"/>
          <w:sz w:val="22"/>
          <w:lang w:eastAsia="en-US"/>
        </w:rPr>
        <w:t>emissions in the EU-27 from 1990 to 2021 based on LRTAP data</w:t>
      </w:r>
      <w:r w:rsidR="003B449B" w:rsidRPr="00C66C24">
        <w:rPr>
          <w:rFonts w:ascii="Calibri" w:eastAsia="Calibri" w:hAnsi="Calibri" w:cs="Calibri"/>
          <w:color w:val="000000" w:themeColor="text1"/>
          <w:sz w:val="22"/>
          <w:lang w:eastAsia="en-US"/>
        </w:rPr>
        <w:t>, highlighting how</w:t>
      </w:r>
      <w:r w:rsidR="00C03F7C" w:rsidRPr="00C66C24">
        <w:rPr>
          <w:rFonts w:ascii="Calibri" w:eastAsia="Calibri" w:hAnsi="Calibri" w:cs="Calibri"/>
          <w:color w:val="000000" w:themeColor="text1"/>
          <w:sz w:val="22"/>
          <w:lang w:eastAsia="en-US"/>
        </w:rPr>
        <w:t xml:space="preserve"> emissions </w:t>
      </w:r>
      <w:r w:rsidR="00C03F7C" w:rsidRPr="00C66C24">
        <w:rPr>
          <w:rFonts w:ascii="Calibri" w:eastAsia="Calibri" w:hAnsi="Calibri" w:cs="Calibri"/>
          <w:iCs/>
          <w:color w:val="000000" w:themeColor="text1"/>
          <w:sz w:val="22"/>
          <w:lang w:eastAsia="en-US"/>
        </w:rPr>
        <w:t>ha</w:t>
      </w:r>
      <w:r w:rsidR="009C5038" w:rsidRPr="00C66C24">
        <w:rPr>
          <w:rFonts w:ascii="Calibri" w:eastAsia="Calibri" w:hAnsi="Calibri" w:cs="Calibri"/>
          <w:iCs/>
          <w:color w:val="000000" w:themeColor="text1"/>
          <w:sz w:val="22"/>
          <w:lang w:eastAsia="en-US"/>
        </w:rPr>
        <w:t>ve</w:t>
      </w:r>
      <w:r w:rsidR="00C03F7C" w:rsidRPr="00C66C24">
        <w:rPr>
          <w:rFonts w:ascii="Calibri" w:eastAsia="Calibri" w:hAnsi="Calibri" w:cs="Calibri"/>
          <w:iCs/>
          <w:color w:val="000000" w:themeColor="text1"/>
          <w:sz w:val="22"/>
          <w:lang w:eastAsia="en-US"/>
        </w:rPr>
        <w:t xml:space="preserve"> steadily increased over time, reaching approximately 39% in 2021. In 2021, emissions from the sector reached 1,531 Gg. </w:t>
      </w:r>
      <w:r w:rsidR="00C03F7C" w:rsidRPr="00C66C24">
        <w:rPr>
          <w:rFonts w:ascii="Calibri" w:eastAsia="Calibri" w:hAnsi="Calibri"/>
          <w:iCs/>
          <w:color w:val="000000" w:themeColor="text1"/>
          <w:sz w:val="22"/>
        </w:rPr>
        <w:t xml:space="preserve">From 2019 to 2020 the overall emissions from the sector decreased by 13%, in line with the reduction of activity caused by the COVID-19 pandemic restrictions. </w:t>
      </w:r>
      <w:r w:rsidR="00C03F7C" w:rsidRPr="00C66C24">
        <w:rPr>
          <w:rFonts w:ascii="Calibri" w:eastAsia="Calibri" w:hAnsi="Calibri"/>
          <w:color w:val="000000" w:themeColor="text1"/>
          <w:sz w:val="22"/>
        </w:rPr>
        <w:t xml:space="preserve">In 2021, fisheries and domestic navigation constituted approximately 4% and 13% of the total maritime emissions. </w:t>
      </w:r>
    </w:p>
    <w:p w14:paraId="19214066" w14:textId="77777777" w:rsidR="00F47AC5" w:rsidRPr="00C66C24" w:rsidRDefault="00C03F7C" w:rsidP="008C6A9C">
      <w:pPr>
        <w:keepNext/>
        <w:spacing w:line="257" w:lineRule="auto"/>
        <w:jc w:val="center"/>
      </w:pPr>
      <w:r w:rsidRPr="00C66C24">
        <w:rPr>
          <w:noProof/>
        </w:rPr>
        <w:drawing>
          <wp:inline distT="0" distB="0" distL="0" distR="0" wp14:anchorId="7E6D9737" wp14:editId="058121F6">
            <wp:extent cx="3225600" cy="2739600"/>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rotWithShape="1">
                    <a:blip r:embed="rId37">
                      <a:extLst>
                        <a:ext uri="{28A0092B-C50C-407E-A947-70E740481C1C}">
                          <a14:useLocalDpi xmlns:a14="http://schemas.microsoft.com/office/drawing/2010/main" val="0"/>
                        </a:ext>
                      </a:extLst>
                    </a:blip>
                    <a:srcRect l="27103" t="8175" r="11907" b="14077"/>
                    <a:stretch/>
                  </pic:blipFill>
                  <pic:spPr bwMode="auto">
                    <a:xfrm>
                      <a:off x="0" y="0"/>
                      <a:ext cx="3225600" cy="2739600"/>
                    </a:xfrm>
                    <a:prstGeom prst="rect">
                      <a:avLst/>
                    </a:prstGeom>
                    <a:noFill/>
                    <a:ln>
                      <a:noFill/>
                    </a:ln>
                    <a:extLst>
                      <a:ext uri="{53640926-AAD7-44D8-BBD7-CCE9431645EC}">
                        <a14:shadowObscured xmlns:a14="http://schemas.microsoft.com/office/drawing/2010/main"/>
                      </a:ext>
                    </a:extLst>
                  </pic:spPr>
                </pic:pic>
              </a:graphicData>
            </a:graphic>
          </wp:inline>
        </w:drawing>
      </w:r>
    </w:p>
    <w:p w14:paraId="2BB05A5A" w14:textId="610E0E6F" w:rsidR="0043753C" w:rsidRPr="00C66C24" w:rsidRDefault="00F47AC5" w:rsidP="00A6075A">
      <w:pPr>
        <w:pStyle w:val="Caption"/>
        <w:keepNext/>
        <w:spacing w:after="0" w:line="257" w:lineRule="auto"/>
        <w:jc w:val="center"/>
        <w:rPr>
          <w:sz w:val="20"/>
          <w:szCs w:val="20"/>
          <w:highlight w:val="yellow"/>
        </w:rPr>
      </w:pPr>
      <w:bookmarkStart w:id="97" w:name="Map_35"/>
      <w:bookmarkStart w:id="98" w:name="_Hlk157608107"/>
      <w:bookmarkStart w:id="99" w:name="_Ref157608511"/>
      <w:r w:rsidRPr="00C66C24">
        <w:rPr>
          <w:sz w:val="20"/>
          <w:szCs w:val="20"/>
        </w:rPr>
        <w:t xml:space="preserve">Map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00444DAE" w:rsidRPr="00C66C24">
        <w:rPr>
          <w:noProof/>
          <w:sz w:val="20"/>
          <w:szCs w:val="20"/>
        </w:rPr>
        <w:t>2</w:t>
      </w:r>
      <w:r w:rsidRPr="00C66C24">
        <w:rPr>
          <w:sz w:val="20"/>
          <w:szCs w:val="20"/>
        </w:rPr>
        <w:fldChar w:fldCharType="end"/>
      </w:r>
      <w:r w:rsidRPr="00C66C24">
        <w:rPr>
          <w:sz w:val="20"/>
          <w:szCs w:val="20"/>
        </w:rPr>
        <w:t>.</w:t>
      </w:r>
      <w:r w:rsidR="00324FA9" w:rsidRPr="00C66C24">
        <w:rPr>
          <w:sz w:val="20"/>
          <w:szCs w:val="20"/>
        </w:rPr>
        <w:t>5</w:t>
      </w:r>
      <w:r w:rsidR="005936C3" w:rsidRPr="00C66C24">
        <w:rPr>
          <w:sz w:val="20"/>
          <w:szCs w:val="20"/>
        </w:rPr>
        <w:fldChar w:fldCharType="begin"/>
      </w:r>
      <w:r w:rsidR="005936C3" w:rsidRPr="00C66C24">
        <w:rPr>
          <w:sz w:val="20"/>
          <w:szCs w:val="20"/>
        </w:rPr>
        <w:instrText xml:space="preserve"> SEQ Map \* ARABIC \s 1 </w:instrText>
      </w:r>
      <w:r w:rsidR="00D77731" w:rsidRPr="00C66C24">
        <w:rPr>
          <w:sz w:val="20"/>
          <w:szCs w:val="20"/>
        </w:rPr>
        <w:fldChar w:fldCharType="separate"/>
      </w:r>
      <w:r w:rsidR="005936C3" w:rsidRPr="00C66C24">
        <w:rPr>
          <w:sz w:val="20"/>
          <w:szCs w:val="20"/>
        </w:rPr>
        <w:fldChar w:fldCharType="end"/>
      </w:r>
      <w:bookmarkEnd w:id="97"/>
      <w:r w:rsidRPr="00C66C24">
        <w:rPr>
          <w:sz w:val="20"/>
          <w:szCs w:val="20"/>
        </w:rPr>
        <w:t xml:space="preserve"> </w:t>
      </w:r>
      <w:bookmarkEnd w:id="98"/>
      <w:r w:rsidRPr="00C66C24">
        <w:rPr>
          <w:sz w:val="20"/>
          <w:szCs w:val="20"/>
        </w:rPr>
        <w:t>Difference in NOx emissions in European shipping areas between 2015 and 2022</w:t>
      </w:r>
      <w:r w:rsidR="00146EB6" w:rsidRPr="00C66C24">
        <w:rPr>
          <w:sz w:val="20"/>
          <w:szCs w:val="20"/>
        </w:rPr>
        <w:t>.</w:t>
      </w:r>
      <w:bookmarkEnd w:id="99"/>
    </w:p>
    <w:p w14:paraId="02D51C25" w14:textId="24CA6A83" w:rsidR="00993C0A" w:rsidRPr="00C66C24" w:rsidRDefault="00993C0A" w:rsidP="008C6A9C">
      <w:pPr>
        <w:spacing w:before="0" w:after="120" w:line="257" w:lineRule="auto"/>
        <w:jc w:val="center"/>
        <w:rPr>
          <w:sz w:val="20"/>
          <w:szCs w:val="20"/>
        </w:rPr>
      </w:pPr>
      <w:r w:rsidRPr="00C66C24">
        <w:rPr>
          <w:sz w:val="20"/>
          <w:szCs w:val="20"/>
        </w:rPr>
        <w:t>Source: STEAM</w:t>
      </w:r>
      <w:r w:rsidR="00FE0789" w:rsidRPr="00C66C24">
        <w:rPr>
          <w:sz w:val="20"/>
          <w:szCs w:val="20"/>
        </w:rPr>
        <w:t>, FMI.</w:t>
      </w:r>
    </w:p>
    <w:p w14:paraId="44A55AF5" w14:textId="2A4707F8" w:rsidR="00EE116F" w:rsidRPr="00C66C24" w:rsidRDefault="00EE116F" w:rsidP="009C1311">
      <w:pPr>
        <w:pStyle w:val="NormalWeb"/>
        <w:shd w:val="clear" w:color="auto" w:fill="FFFFFF"/>
        <w:spacing w:before="0" w:beforeAutospacing="0" w:after="0" w:afterAutospacing="0" w:line="257" w:lineRule="auto"/>
        <w:jc w:val="both"/>
        <w:rPr>
          <w:rFonts w:ascii="Calibri" w:eastAsia="Calibri" w:hAnsi="Calibri" w:cs="Calibri"/>
          <w:iCs/>
          <w:color w:val="000000" w:themeColor="text1"/>
          <w:sz w:val="22"/>
          <w:lang w:eastAsia="en-US"/>
        </w:rPr>
      </w:pPr>
      <w:r w:rsidRPr="00C66C24">
        <w:rPr>
          <w:rFonts w:ascii="Calibri" w:eastAsia="Calibri" w:hAnsi="Calibri" w:cs="Calibri"/>
          <w:iCs/>
          <w:color w:val="000000" w:themeColor="text1"/>
          <w:sz w:val="22"/>
          <w:lang w:eastAsia="en-US"/>
        </w:rPr>
        <w:t xml:space="preserve">The STEAM modelled data allows </w:t>
      </w:r>
      <w:r w:rsidR="00BF7C6B" w:rsidRPr="00C66C24">
        <w:rPr>
          <w:rFonts w:ascii="Calibri" w:eastAsia="Calibri" w:hAnsi="Calibri" w:cs="Calibri"/>
          <w:iCs/>
          <w:color w:val="000000" w:themeColor="text1"/>
          <w:sz w:val="22"/>
          <w:lang w:eastAsia="en-US"/>
        </w:rPr>
        <w:t>to visualise</w:t>
      </w:r>
      <w:r w:rsidRPr="00C66C24">
        <w:rPr>
          <w:rFonts w:ascii="Calibri" w:eastAsia="Calibri" w:hAnsi="Calibri" w:cs="Calibri"/>
          <w:iCs/>
          <w:color w:val="000000" w:themeColor="text1"/>
          <w:sz w:val="22"/>
          <w:lang w:eastAsia="en-US"/>
        </w:rPr>
        <w:t xml:space="preserve"> the uneven distribution of NOx emissions in the different regions of Europe</w:t>
      </w:r>
      <w:r w:rsidR="006D7B2D" w:rsidRPr="00C66C24">
        <w:rPr>
          <w:rFonts w:ascii="Calibri" w:eastAsia="Calibri" w:hAnsi="Calibri" w:cs="Calibri"/>
          <w:iCs/>
          <w:color w:val="000000" w:themeColor="text1"/>
          <w:sz w:val="22"/>
          <w:lang w:eastAsia="en-US"/>
        </w:rPr>
        <w:t xml:space="preserve"> </w:t>
      </w:r>
      <w:r w:rsidR="00FE51B3">
        <w:rPr>
          <w:rFonts w:ascii="Calibri" w:eastAsia="Calibri" w:hAnsi="Calibri" w:cs="Calibri"/>
          <w:iCs/>
          <w:color w:val="000000" w:themeColor="text1"/>
          <w:sz w:val="22"/>
          <w:lang w:eastAsia="en-US"/>
        </w:rPr>
        <w:t>(see</w:t>
      </w:r>
      <w:r w:rsidR="0091195E" w:rsidRPr="00C66C24">
        <w:rPr>
          <w:rFonts w:ascii="Calibri" w:eastAsia="Calibri" w:hAnsi="Calibri" w:cs="Calibri"/>
          <w:iCs/>
          <w:color w:val="000000" w:themeColor="text1"/>
          <w:sz w:val="22"/>
          <w:lang w:eastAsia="en-US"/>
        </w:rPr>
        <w:t xml:space="preserve"> </w:t>
      </w:r>
      <w:r w:rsidR="00A6075A" w:rsidRPr="00C66C24">
        <w:rPr>
          <w:rFonts w:ascii="Calibri" w:eastAsia="Calibri" w:hAnsi="Calibri" w:cs="Calibri"/>
          <w:iCs/>
          <w:color w:val="000000" w:themeColor="text1"/>
          <w:sz w:val="22"/>
          <w:lang w:eastAsia="en-US"/>
        </w:rPr>
        <w:fldChar w:fldCharType="begin"/>
      </w:r>
      <w:r w:rsidR="00A6075A" w:rsidRPr="00C66C24">
        <w:rPr>
          <w:rFonts w:ascii="Calibri" w:eastAsia="Calibri" w:hAnsi="Calibri" w:cs="Calibri"/>
          <w:iCs/>
          <w:color w:val="000000" w:themeColor="text1"/>
          <w:sz w:val="22"/>
          <w:lang w:eastAsia="en-US"/>
        </w:rPr>
        <w:instrText xml:space="preserve"> REF Map_35 \h  \* MERGEFORMAT </w:instrText>
      </w:r>
      <w:r w:rsidR="00A6075A" w:rsidRPr="00C66C24">
        <w:rPr>
          <w:rFonts w:ascii="Calibri" w:eastAsia="Calibri" w:hAnsi="Calibri" w:cs="Calibri"/>
          <w:iCs/>
          <w:color w:val="000000" w:themeColor="text1"/>
          <w:sz w:val="22"/>
          <w:lang w:eastAsia="en-US"/>
        </w:rPr>
      </w:r>
      <w:r w:rsidR="00A6075A" w:rsidRPr="00C66C24">
        <w:rPr>
          <w:rFonts w:ascii="Calibri" w:eastAsia="Calibri" w:hAnsi="Calibri" w:cs="Calibri"/>
          <w:iCs/>
          <w:color w:val="000000" w:themeColor="text1"/>
          <w:sz w:val="22"/>
          <w:lang w:eastAsia="en-US"/>
        </w:rPr>
        <w:fldChar w:fldCharType="separate"/>
      </w:r>
      <w:r w:rsidR="00A6075A" w:rsidRPr="00C66C24">
        <w:rPr>
          <w:rFonts w:ascii="Calibri" w:eastAsia="Calibri" w:hAnsi="Calibri" w:cs="Calibri"/>
          <w:iCs/>
          <w:color w:val="000000" w:themeColor="text1"/>
          <w:sz w:val="22"/>
          <w:lang w:eastAsia="en-US"/>
        </w:rPr>
        <w:t>Map 2.5</w:t>
      </w:r>
      <w:r w:rsidR="00A6075A" w:rsidRPr="00C66C24">
        <w:rPr>
          <w:rFonts w:ascii="Calibri" w:eastAsia="Calibri" w:hAnsi="Calibri" w:cs="Calibri"/>
          <w:iCs/>
          <w:color w:val="000000" w:themeColor="text1"/>
          <w:sz w:val="22"/>
          <w:lang w:eastAsia="en-US"/>
        </w:rPr>
        <w:fldChar w:fldCharType="end"/>
      </w:r>
      <w:r w:rsidR="00FE51B3">
        <w:rPr>
          <w:rFonts w:ascii="Calibri" w:eastAsia="Calibri" w:hAnsi="Calibri" w:cs="Calibri"/>
          <w:iCs/>
          <w:color w:val="000000" w:themeColor="text1"/>
          <w:sz w:val="22"/>
          <w:lang w:eastAsia="en-US"/>
        </w:rPr>
        <w:t>)</w:t>
      </w:r>
      <w:r w:rsidR="00A6075A" w:rsidRPr="00C66C24">
        <w:rPr>
          <w:rFonts w:ascii="Calibri" w:eastAsia="Calibri" w:hAnsi="Calibri" w:cs="Calibri"/>
          <w:iCs/>
          <w:color w:val="000000" w:themeColor="text1"/>
          <w:sz w:val="22"/>
          <w:lang w:eastAsia="en-US"/>
        </w:rPr>
        <w:t xml:space="preserve">. </w:t>
      </w:r>
      <w:r w:rsidRPr="00C66C24">
        <w:rPr>
          <w:rFonts w:ascii="Calibri" w:eastAsia="Calibri" w:hAnsi="Calibri" w:cs="Calibri"/>
          <w:iCs/>
          <w:color w:val="000000" w:themeColor="text1"/>
          <w:sz w:val="22"/>
          <w:lang w:eastAsia="en-US"/>
        </w:rPr>
        <w:t>In the period considered, the Mediterranean Sea had the higher average yearly NOx emissions, equal to 1,252 Gg/year, followed by the Atlantic with 660 Gg/year and the North Sea, 473 Gg/year</w:t>
      </w:r>
      <w:r w:rsidR="00C03F7C" w:rsidRPr="00C66C24" w:rsidDel="00F63FBA">
        <w:rPr>
          <w:rFonts w:ascii="Calibri" w:eastAsia="Calibri" w:hAnsi="Calibri" w:cs="Calibri"/>
          <w:iCs/>
          <w:color w:val="000000" w:themeColor="text1"/>
          <w:sz w:val="22"/>
          <w:lang w:eastAsia="en-US"/>
        </w:rPr>
        <w:t>.</w:t>
      </w:r>
    </w:p>
    <w:p w14:paraId="169F4698" w14:textId="77777777" w:rsidR="00EE116F" w:rsidRPr="00C66C24" w:rsidRDefault="00EE116F" w:rsidP="009C1311">
      <w:pPr>
        <w:pStyle w:val="NormalWeb"/>
        <w:shd w:val="clear" w:color="auto" w:fill="FFFFFF"/>
        <w:spacing w:before="0" w:beforeAutospacing="0" w:after="120" w:afterAutospacing="0" w:line="257" w:lineRule="auto"/>
        <w:jc w:val="both"/>
        <w:rPr>
          <w:rFonts w:ascii="Calibri" w:eastAsia="Calibri" w:hAnsi="Calibri" w:cs="Calibri"/>
          <w:iCs/>
          <w:color w:val="000000" w:themeColor="text1"/>
          <w:sz w:val="22"/>
          <w:lang w:eastAsia="en-US"/>
        </w:rPr>
      </w:pPr>
      <w:r w:rsidRPr="00C66C24">
        <w:rPr>
          <w:rFonts w:ascii="Calibri" w:eastAsia="Calibri" w:hAnsi="Calibri" w:cs="Calibri"/>
          <w:color w:val="000000" w:themeColor="text1"/>
          <w:sz w:val="22"/>
          <w:lang w:eastAsia="en-US"/>
        </w:rPr>
        <w:t>In</w:t>
      </w:r>
      <w:r w:rsidRPr="00C66C24">
        <w:rPr>
          <w:rFonts w:ascii="Calibri" w:eastAsia="Calibri" w:hAnsi="Calibri" w:cs="Calibri"/>
          <w:iCs/>
          <w:color w:val="000000" w:themeColor="text1"/>
          <w:sz w:val="22"/>
          <w:lang w:eastAsia="en-US"/>
        </w:rPr>
        <w:t xml:space="preserve"> the 2015-2022 timeframe, NOx emissions have increased by respectively 96%, 27% and 21% in the Atlantic, Mediterranean Sea, and North Sea, while they have decreased by 5% and 4% in the Baltic and Black Seas. In the same timeframe and for the same regions, the variation in the shipping activity (via the proxy distance travelled) was respectively 208% (Atlantic), 20% (Mediterranean), 23% (North Sea), 13% (Baltic Sea), and 7% (Black Sea). In the </w:t>
      </w:r>
      <w:r w:rsidRPr="00C66C24">
        <w:rPr>
          <w:rFonts w:ascii="Calibri" w:eastAsia="Calibri" w:hAnsi="Calibri" w:cs="Calibri"/>
          <w:color w:val="000000" w:themeColor="text1"/>
          <w:sz w:val="22"/>
          <w:lang w:eastAsia="en-US"/>
        </w:rPr>
        <w:t>Arctic</w:t>
      </w:r>
      <w:r w:rsidRPr="00C66C24">
        <w:rPr>
          <w:rFonts w:ascii="Calibri" w:eastAsia="Calibri" w:hAnsi="Calibri" w:cs="Calibri"/>
          <w:iCs/>
          <w:color w:val="000000" w:themeColor="text1"/>
          <w:sz w:val="22"/>
          <w:lang w:eastAsia="en-US"/>
        </w:rPr>
        <w:t xml:space="preserve"> region, NOx emissions have increased around 4 times and which distance travelled </w:t>
      </w:r>
      <w:r w:rsidRPr="00C66C24">
        <w:rPr>
          <w:rFonts w:ascii="Calibri" w:eastAsia="Calibri" w:hAnsi="Calibri" w:cs="Calibri"/>
          <w:color w:val="000000" w:themeColor="text1"/>
          <w:sz w:val="22"/>
          <w:lang w:eastAsia="en-US"/>
        </w:rPr>
        <w:t xml:space="preserve">increased around five times. </w:t>
      </w:r>
      <w:r w:rsidRPr="00C66C24">
        <w:rPr>
          <w:rFonts w:ascii="Calibri" w:eastAsia="Calibri" w:hAnsi="Calibri" w:cs="Calibri"/>
          <w:iCs/>
          <w:color w:val="000000" w:themeColor="text1"/>
          <w:sz w:val="22"/>
          <w:lang w:eastAsia="en-US"/>
        </w:rPr>
        <w:t xml:space="preserve">This is of particular concern given the vulnerability of the region </w:t>
      </w:r>
      <w:r w:rsidRPr="00C66C24">
        <w:rPr>
          <w:rFonts w:ascii="Calibri" w:eastAsia="Calibri" w:hAnsi="Calibri" w:cs="Calibri"/>
          <w:color w:val="000000" w:themeColor="text1"/>
          <w:sz w:val="22"/>
          <w:lang w:eastAsia="en-US"/>
        </w:rPr>
        <w:t>to</w:t>
      </w:r>
      <w:r w:rsidRPr="00C66C24">
        <w:rPr>
          <w:rFonts w:ascii="Calibri" w:eastAsia="Calibri" w:hAnsi="Calibri" w:cs="Calibri"/>
          <w:iCs/>
          <w:color w:val="000000" w:themeColor="text1"/>
          <w:sz w:val="22"/>
          <w:lang w:eastAsia="en-US"/>
        </w:rPr>
        <w:t xml:space="preserve"> the effects of NOx pollution.</w:t>
      </w:r>
    </w:p>
    <w:p w14:paraId="7763FAAD" w14:textId="77777777" w:rsidR="00EE116F" w:rsidRPr="00C66C24" w:rsidRDefault="00C03F7C" w:rsidP="008C6A9C">
      <w:pPr>
        <w:pStyle w:val="NormalWeb"/>
        <w:keepNext/>
        <w:shd w:val="clear" w:color="auto" w:fill="FFFFFF"/>
        <w:spacing w:before="0" w:beforeAutospacing="0" w:after="0" w:afterAutospacing="0" w:line="257" w:lineRule="auto"/>
        <w:jc w:val="both"/>
      </w:pPr>
      <w:r w:rsidRPr="00C66C24">
        <w:rPr>
          <w:rFonts w:ascii="Calibri" w:eastAsia="Calibri" w:hAnsi="Calibri"/>
          <w:noProof/>
          <w:color w:val="000000" w:themeColor="text1"/>
          <w:sz w:val="22"/>
        </w:rPr>
        <w:drawing>
          <wp:inline distT="0" distB="0" distL="0" distR="0" wp14:anchorId="7068DC17" wp14:editId="0931496E">
            <wp:extent cx="5400000" cy="27180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00000" cy="2718000"/>
                    </a:xfrm>
                    <a:prstGeom prst="rect">
                      <a:avLst/>
                    </a:prstGeom>
                    <a:noFill/>
                    <a:ln>
                      <a:noFill/>
                    </a:ln>
                  </pic:spPr>
                </pic:pic>
              </a:graphicData>
            </a:graphic>
          </wp:inline>
        </w:drawing>
      </w:r>
    </w:p>
    <w:p w14:paraId="5194A74C" w14:textId="3247B350" w:rsidR="00EE116F" w:rsidRPr="00C66C24" w:rsidRDefault="00EE116F" w:rsidP="008C6A9C">
      <w:pPr>
        <w:pStyle w:val="Caption"/>
        <w:spacing w:after="0" w:line="257" w:lineRule="auto"/>
        <w:jc w:val="center"/>
        <w:rPr>
          <w:sz w:val="20"/>
          <w:szCs w:val="20"/>
        </w:rPr>
      </w:pPr>
      <w:bookmarkStart w:id="100" w:name="_Ref157423841"/>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13</w:t>
      </w:r>
      <w:r w:rsidR="00A81F61" w:rsidRPr="00C66C24">
        <w:rPr>
          <w:sz w:val="20"/>
          <w:szCs w:val="20"/>
        </w:rPr>
        <w:fldChar w:fldCharType="end"/>
      </w:r>
      <w:bookmarkEnd w:id="100"/>
      <w:r w:rsidRPr="00C66C24">
        <w:rPr>
          <w:sz w:val="20"/>
          <w:szCs w:val="20"/>
        </w:rPr>
        <w:t xml:space="preserve"> NOx specific emissions from selected freight and passenger ship types in (mg/</w:t>
      </w:r>
      <w:proofErr w:type="spellStart"/>
      <w:r w:rsidRPr="00C66C24">
        <w:rPr>
          <w:sz w:val="20"/>
          <w:szCs w:val="20"/>
        </w:rPr>
        <w:t>tkm</w:t>
      </w:r>
      <w:proofErr w:type="spellEnd"/>
      <w:r w:rsidRPr="00C66C24">
        <w:rPr>
          <w:sz w:val="20"/>
          <w:szCs w:val="20"/>
        </w:rPr>
        <w:t>) or (kg/km) respectively, between 2015 and 2022 in the EU.</w:t>
      </w:r>
    </w:p>
    <w:p w14:paraId="7332C77B" w14:textId="3F28BB77" w:rsidR="00C03F7C" w:rsidRPr="00C66C24" w:rsidRDefault="00EE116F" w:rsidP="008C6A9C">
      <w:pPr>
        <w:pStyle w:val="Caption"/>
        <w:spacing w:after="120" w:line="257" w:lineRule="auto"/>
        <w:jc w:val="center"/>
        <w:rPr>
          <w:b w:val="0"/>
          <w:bCs/>
          <w:iCs/>
          <w:color w:val="000000" w:themeColor="text1"/>
          <w:sz w:val="20"/>
          <w:szCs w:val="20"/>
        </w:rPr>
      </w:pPr>
      <w:r w:rsidRPr="00C66C24">
        <w:rPr>
          <w:b w:val="0"/>
          <w:bCs/>
          <w:iCs/>
          <w:color w:val="000000" w:themeColor="text1"/>
          <w:sz w:val="20"/>
          <w:szCs w:val="20"/>
        </w:rPr>
        <w:t>Source: STEAM, FMI.</w:t>
      </w:r>
    </w:p>
    <w:p w14:paraId="49BC2B7C" w14:textId="2555CCC3" w:rsidR="00265DE4" w:rsidRPr="00C66C24" w:rsidRDefault="00265DE4" w:rsidP="009C1311">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Over the time period considered, cargo ships and tankers had the lowest yearly emission with 125 mg/</w:t>
      </w:r>
      <w:proofErr w:type="spellStart"/>
      <w:r w:rsidRPr="00C66C24">
        <w:rPr>
          <w:rFonts w:ascii="Calibri" w:eastAsia="Calibri" w:hAnsi="Calibri" w:cs="Calibri"/>
          <w:color w:val="000000" w:themeColor="text1"/>
        </w:rPr>
        <w:t>tkm</w:t>
      </w:r>
      <w:proofErr w:type="spellEnd"/>
      <w:r w:rsidRPr="00C66C24">
        <w:rPr>
          <w:rFonts w:ascii="Calibri" w:eastAsia="Calibri" w:hAnsi="Calibri" w:cs="Calibri"/>
          <w:color w:val="000000" w:themeColor="text1"/>
        </w:rPr>
        <w:t>. By comparison, container ships emitted on average 166 mg/</w:t>
      </w:r>
      <w:proofErr w:type="spellStart"/>
      <w:r w:rsidRPr="00C66C24">
        <w:rPr>
          <w:rFonts w:ascii="Calibri" w:eastAsia="Calibri" w:hAnsi="Calibri" w:cs="Calibri"/>
          <w:color w:val="000000" w:themeColor="text1"/>
        </w:rPr>
        <w:t>tkm</w:t>
      </w:r>
      <w:proofErr w:type="spellEnd"/>
      <w:r w:rsidRPr="00C66C24">
        <w:rPr>
          <w:rFonts w:ascii="Calibri" w:eastAsia="Calibri" w:hAnsi="Calibri" w:cs="Calibri"/>
          <w:color w:val="000000" w:themeColor="text1"/>
        </w:rPr>
        <w:t xml:space="preserve">, while vehicle </w:t>
      </w:r>
      <w:r w:rsidRPr="00C66C24">
        <w:rPr>
          <w:rFonts w:ascii="Calibri" w:eastAsia="Calibri" w:hAnsi="Calibri" w:cs="Calibri"/>
          <w:color w:val="000000" w:themeColor="text1"/>
          <w:szCs w:val="22"/>
        </w:rPr>
        <w:t>carriers up to 432 mg/</w:t>
      </w:r>
      <w:proofErr w:type="spellStart"/>
      <w:r w:rsidRPr="00C66C24">
        <w:rPr>
          <w:rFonts w:ascii="Calibri" w:eastAsia="Calibri" w:hAnsi="Calibri" w:cs="Calibri"/>
          <w:color w:val="000000" w:themeColor="text1"/>
          <w:szCs w:val="22"/>
        </w:rPr>
        <w:t>tkm</w:t>
      </w:r>
      <w:proofErr w:type="spellEnd"/>
      <w:r w:rsidR="00AE0B1A" w:rsidRPr="00C66C24">
        <w:rPr>
          <w:rFonts w:ascii="Calibri" w:eastAsia="Calibri" w:hAnsi="Calibri" w:cs="Calibri"/>
          <w:color w:val="000000" w:themeColor="text1"/>
          <w:szCs w:val="22"/>
        </w:rPr>
        <w:t xml:space="preserve"> (see </w:t>
      </w:r>
      <w:r w:rsidR="00AE0B1A" w:rsidRPr="00C66C24">
        <w:rPr>
          <w:rFonts w:ascii="Calibri" w:eastAsia="Calibri" w:hAnsi="Calibri" w:cs="Calibri"/>
          <w:color w:val="000000" w:themeColor="text1"/>
          <w:szCs w:val="22"/>
        </w:rPr>
        <w:fldChar w:fldCharType="begin"/>
      </w:r>
      <w:r w:rsidR="00AE0B1A" w:rsidRPr="00C66C24">
        <w:rPr>
          <w:rFonts w:ascii="Calibri" w:eastAsia="Calibri" w:hAnsi="Calibri" w:cs="Calibri"/>
          <w:color w:val="000000" w:themeColor="text1"/>
          <w:szCs w:val="22"/>
        </w:rPr>
        <w:instrText xml:space="preserve"> REF _Ref157423841 \h </w:instrText>
      </w:r>
      <w:r w:rsidR="00B64015" w:rsidRPr="00C66C24">
        <w:rPr>
          <w:rFonts w:ascii="Calibri" w:eastAsia="Calibri" w:hAnsi="Calibri" w:cs="Calibri"/>
          <w:color w:val="000000" w:themeColor="text1"/>
          <w:szCs w:val="22"/>
        </w:rPr>
        <w:instrText xml:space="preserve"> \* MERGEFORMAT </w:instrText>
      </w:r>
      <w:r w:rsidR="00AE0B1A" w:rsidRPr="00C66C24">
        <w:rPr>
          <w:rFonts w:ascii="Calibri" w:eastAsia="Calibri" w:hAnsi="Calibri" w:cs="Calibri"/>
          <w:color w:val="000000" w:themeColor="text1"/>
          <w:szCs w:val="22"/>
        </w:rPr>
      </w:r>
      <w:r w:rsidR="00AE0B1A" w:rsidRPr="00C66C24">
        <w:rPr>
          <w:rFonts w:ascii="Calibri" w:eastAsia="Calibri" w:hAnsi="Calibri" w:cs="Calibri"/>
          <w:color w:val="000000" w:themeColor="text1"/>
          <w:szCs w:val="22"/>
        </w:rPr>
        <w:fldChar w:fldCharType="separate"/>
      </w:r>
      <w:r w:rsidR="00AE0B1A" w:rsidRPr="00C66C24">
        <w:rPr>
          <w:szCs w:val="22"/>
        </w:rPr>
        <w:t xml:space="preserve">Figure </w:t>
      </w:r>
      <w:r w:rsidR="00AE0B1A" w:rsidRPr="00C66C24">
        <w:rPr>
          <w:noProof/>
          <w:szCs w:val="22"/>
        </w:rPr>
        <w:t>2</w:t>
      </w:r>
      <w:r w:rsidR="00AE0B1A" w:rsidRPr="00C66C24">
        <w:rPr>
          <w:szCs w:val="22"/>
        </w:rPr>
        <w:t>.</w:t>
      </w:r>
      <w:r w:rsidR="00AE0B1A" w:rsidRPr="00C66C24">
        <w:rPr>
          <w:noProof/>
          <w:szCs w:val="22"/>
        </w:rPr>
        <w:t>13</w:t>
      </w:r>
      <w:r w:rsidR="00AE0B1A" w:rsidRPr="00C66C24">
        <w:rPr>
          <w:rFonts w:ascii="Calibri" w:eastAsia="Calibri" w:hAnsi="Calibri" w:cs="Calibri"/>
          <w:color w:val="000000" w:themeColor="text1"/>
          <w:szCs w:val="22"/>
        </w:rPr>
        <w:fldChar w:fldCharType="end"/>
      </w:r>
      <w:r w:rsidR="00AE0B1A"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w:t>
      </w:r>
    </w:p>
    <w:p w14:paraId="053073D3" w14:textId="2ECB5658" w:rsidR="00EE116F" w:rsidRPr="00C66C24" w:rsidRDefault="00EE116F" w:rsidP="009C1311">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Specific emissions have been declining for all these ship types during the period considered. In particular, they decreased by 19%, 10%, 20% and 4% for cargo, containers, tanker, and vehicle carrier vessels respectively. This is related to a combination of factors, including the increased average payload transported. For reference, in the same region and timeframe, the payload carried increased respectively by 39%, 22%, 44%, and 8%. This overcompensated the absolute pollutant emission increase of 12%, 10%, 15%, and 4% respectively (not shown in the figure).</w:t>
      </w:r>
    </w:p>
    <w:p w14:paraId="2ED81562" w14:textId="64D61902" w:rsidR="00EE116F" w:rsidRPr="00C66C24" w:rsidRDefault="00EE116F" w:rsidP="009C1311">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Specific emissions of cruisers in Europe have been decreasing by 1% during the period considered, with an increase in the distance travelled of 21%</w:t>
      </w:r>
      <w:r w:rsidR="006D1025" w:rsidRPr="00C66C24">
        <w:rPr>
          <w:rFonts w:ascii="Calibri" w:eastAsia="Calibri" w:hAnsi="Calibri" w:cs="Calibri"/>
          <w:color w:val="000000" w:themeColor="text1"/>
        </w:rPr>
        <w:t>. I</w:t>
      </w:r>
      <w:r w:rsidRPr="00C66C24">
        <w:rPr>
          <w:rFonts w:ascii="Calibri" w:eastAsia="Calibri" w:hAnsi="Calibri" w:cs="Calibri"/>
          <w:color w:val="000000" w:themeColor="text1"/>
        </w:rPr>
        <w:t>n absolute terms the emissions of NOx increased by 19%. The situation is different for passenger ships for which emissions have increased significantly by 132% and a small increase on the distance travelled of 3% and in absolute terms the emissions of NOx increased by 139%.</w:t>
      </w:r>
    </w:p>
    <w:p w14:paraId="02EBF641" w14:textId="2CED4B99" w:rsidR="00C03F7C" w:rsidRPr="00C66C24" w:rsidRDefault="00EE116F" w:rsidP="009C1311">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 xml:space="preserve">Over the time period considered, cruiser ships emitted 7 kg/km. This is approximately 10 times more than what was emitted by conventional passenger ships in the same region and period, 0.7 kg/km. </w:t>
      </w:r>
    </w:p>
    <w:p w14:paraId="52130931" w14:textId="50C2116E" w:rsidR="00EE116F" w:rsidRPr="00C66C24" w:rsidRDefault="00EE116F" w:rsidP="009C1311">
      <w:pPr>
        <w:spacing w:before="0" w:after="120" w:line="257" w:lineRule="auto"/>
        <w:rPr>
          <w:rFonts w:ascii="Calibri" w:eastAsia="Calibri" w:hAnsi="Calibri" w:cs="Calibri"/>
          <w:color w:val="000000" w:themeColor="text1"/>
        </w:rPr>
      </w:pPr>
      <w:r w:rsidRPr="00C66C24">
        <w:rPr>
          <w:rFonts w:ascii="Calibri" w:eastAsia="Calibri" w:hAnsi="Calibri" w:cs="Calibri"/>
          <w:color w:val="000000" w:themeColor="text1"/>
        </w:rPr>
        <w:t xml:space="preserve">Finally, the average emissions per ship of fishing vessels decreased by 4% from 2015. On average in 2020, a fishing vessel was emitting approximately 740g </w:t>
      </w:r>
      <w:r w:rsidR="00C03F7C" w:rsidRPr="00C66C24">
        <w:rPr>
          <w:rFonts w:ascii="Calibri" w:eastAsia="Calibri" w:hAnsi="Calibri" w:cs="Calibri"/>
          <w:color w:val="000000" w:themeColor="text1"/>
        </w:rPr>
        <w:t>of NOx per year.</w:t>
      </w:r>
      <w:r w:rsidRPr="00C66C24">
        <w:rPr>
          <w:rFonts w:ascii="Calibri" w:eastAsia="Calibri" w:hAnsi="Calibri" w:cs="Calibri"/>
          <w:color w:val="000000" w:themeColor="text1"/>
        </w:rPr>
        <w:t xml:space="preserve"> It is worth noticing that the fishing fleet has slightly decreased over the same period, i.e. 7%, and absolute NOx emissions decreased by 10%.</w:t>
      </w:r>
    </w:p>
    <w:p w14:paraId="3F547A3D" w14:textId="77777777" w:rsidR="00EE116F" w:rsidRPr="00C66C24" w:rsidRDefault="00EE116F" w:rsidP="008C6A9C">
      <w:pPr>
        <w:spacing w:line="257" w:lineRule="auto"/>
        <w:rPr>
          <w:u w:val="single"/>
        </w:rPr>
      </w:pPr>
      <w:r w:rsidRPr="00C66C24">
        <w:rPr>
          <w:u w:val="single"/>
        </w:rPr>
        <w:t>Particulate Matter (PM)</w:t>
      </w:r>
    </w:p>
    <w:p w14:paraId="26E23D0B" w14:textId="5B2CF62B" w:rsidR="00EE116F" w:rsidRPr="00C66C24" w:rsidRDefault="00EE116F" w:rsidP="009C1311">
      <w:pPr>
        <w:spacing w:before="0" w:after="0" w:line="257" w:lineRule="auto"/>
      </w:pPr>
      <w:r w:rsidRPr="00C66C24">
        <w:t>The contribution of the maritime sector to the overall PM</w:t>
      </w:r>
      <w:r w:rsidRPr="00C66C24">
        <w:rPr>
          <w:vertAlign w:val="subscript"/>
        </w:rPr>
        <w:t>2.5</w:t>
      </w:r>
      <w:r w:rsidRPr="00C66C24">
        <w:t xml:space="preserve"> in transport emissions has slightly incr</w:t>
      </w:r>
      <w:r w:rsidRPr="00C66C24">
        <w:rPr>
          <w:szCs w:val="22"/>
        </w:rPr>
        <w:t>eased over time, peaking in 2019 (44%) and reaching approximately 42% in 2021 (</w:t>
      </w:r>
      <w:r w:rsidR="00661E1C" w:rsidRPr="00C66C24">
        <w:rPr>
          <w:szCs w:val="22"/>
        </w:rPr>
        <w:fldChar w:fldCharType="begin"/>
      </w:r>
      <w:r w:rsidR="00661E1C" w:rsidRPr="00C66C24">
        <w:rPr>
          <w:szCs w:val="22"/>
        </w:rPr>
        <w:instrText xml:space="preserve"> REF _Ref157424037 \h  \* MERGEFORMAT </w:instrText>
      </w:r>
      <w:r w:rsidR="00661E1C" w:rsidRPr="00C66C24">
        <w:rPr>
          <w:szCs w:val="22"/>
        </w:rPr>
      </w:r>
      <w:r w:rsidR="00661E1C" w:rsidRPr="00C66C24">
        <w:rPr>
          <w:szCs w:val="22"/>
        </w:rPr>
        <w:fldChar w:fldCharType="separate"/>
      </w:r>
      <w:r w:rsidR="001F66FB" w:rsidRPr="00C66C24">
        <w:rPr>
          <w:szCs w:val="22"/>
        </w:rPr>
        <w:t xml:space="preserve">Figure </w:t>
      </w:r>
      <w:r w:rsidR="001F66FB" w:rsidRPr="00C66C24">
        <w:rPr>
          <w:noProof/>
          <w:szCs w:val="22"/>
        </w:rPr>
        <w:t>2.14</w:t>
      </w:r>
      <w:r w:rsidR="00661E1C" w:rsidRPr="00C66C24">
        <w:rPr>
          <w:szCs w:val="22"/>
        </w:rPr>
        <w:fldChar w:fldCharType="end"/>
      </w:r>
      <w:r w:rsidRPr="00C66C24">
        <w:t>). In 2021, PM</w:t>
      </w:r>
      <w:r w:rsidRPr="00C66C24">
        <w:rPr>
          <w:vertAlign w:val="subscript"/>
        </w:rPr>
        <w:t>2.5</w:t>
      </w:r>
      <w:r w:rsidRPr="00C66C24">
        <w:t xml:space="preserve"> emissions from the sector reached 86 Gg. </w:t>
      </w:r>
    </w:p>
    <w:p w14:paraId="504CA264" w14:textId="77777777" w:rsidR="00EE116F" w:rsidRPr="00C66C24" w:rsidRDefault="00EE116F" w:rsidP="009C1311">
      <w:pPr>
        <w:spacing w:before="0" w:after="0" w:line="257" w:lineRule="auto"/>
        <w:rPr>
          <w:rFonts w:ascii="Calibri" w:eastAsia="Calibri" w:hAnsi="Calibri" w:cs="Calibri"/>
          <w:color w:val="000000" w:themeColor="text1"/>
        </w:rPr>
      </w:pPr>
      <w:r w:rsidRPr="00C66C24">
        <w:t>LTRAP inventories data also show that in 2021, fisheries and domestic navigation constituted approximately 2% and 15% of the total maritime emissions. From 2019 to 2020 the overall emissions from the sector decreased by 22%, in line with the reduction of activity caused by the COVID-19 pandemic</w:t>
      </w:r>
      <w:r w:rsidRPr="00C66C24">
        <w:rPr>
          <w:rFonts w:ascii="Calibri" w:eastAsia="Calibri" w:hAnsi="Calibri" w:cs="Calibri"/>
          <w:color w:val="000000" w:themeColor="text1"/>
        </w:rPr>
        <w:t xml:space="preserve">. </w:t>
      </w:r>
    </w:p>
    <w:p w14:paraId="26FEB68A" w14:textId="77777777" w:rsidR="00EE116F" w:rsidRPr="00C66C24" w:rsidRDefault="00EE116F" w:rsidP="008C6A9C">
      <w:pPr>
        <w:spacing w:line="257" w:lineRule="auto"/>
      </w:pPr>
    </w:p>
    <w:p w14:paraId="14AD884E" w14:textId="77777777" w:rsidR="00F47AC5" w:rsidRPr="00C66C24" w:rsidRDefault="00C03F7C" w:rsidP="008C6A9C">
      <w:pPr>
        <w:keepNext/>
        <w:spacing w:before="0" w:after="0" w:line="257" w:lineRule="auto"/>
        <w:jc w:val="center"/>
      </w:pPr>
      <w:r w:rsidRPr="00C66C24">
        <w:rPr>
          <w:noProof/>
        </w:rPr>
        <w:drawing>
          <wp:inline distT="0" distB="0" distL="0" distR="0" wp14:anchorId="327D7DA0" wp14:editId="42DAB809">
            <wp:extent cx="4971600" cy="3344400"/>
            <wp:effectExtent l="0" t="0" r="635"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71600" cy="3344400"/>
                    </a:xfrm>
                    <a:prstGeom prst="rect">
                      <a:avLst/>
                    </a:prstGeom>
                    <a:noFill/>
                    <a:ln>
                      <a:noFill/>
                    </a:ln>
                  </pic:spPr>
                </pic:pic>
              </a:graphicData>
            </a:graphic>
          </wp:inline>
        </w:drawing>
      </w:r>
    </w:p>
    <w:p w14:paraId="6052C657" w14:textId="20C07E4B" w:rsidR="00EE116F" w:rsidRPr="00C66C24" w:rsidRDefault="00F47AC5" w:rsidP="008C6A9C">
      <w:pPr>
        <w:pStyle w:val="Caption"/>
        <w:spacing w:after="0" w:line="257" w:lineRule="auto"/>
        <w:jc w:val="center"/>
        <w:rPr>
          <w:sz w:val="20"/>
          <w:szCs w:val="20"/>
        </w:rPr>
      </w:pPr>
      <w:bookmarkStart w:id="101" w:name="_Ref157424037"/>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14</w:t>
      </w:r>
      <w:r w:rsidR="00A81F61" w:rsidRPr="00C66C24">
        <w:rPr>
          <w:sz w:val="20"/>
          <w:szCs w:val="20"/>
        </w:rPr>
        <w:fldChar w:fldCharType="end"/>
      </w:r>
      <w:bookmarkEnd w:id="101"/>
      <w:r w:rsidR="00EE116F" w:rsidRPr="00C66C24">
        <w:rPr>
          <w:sz w:val="20"/>
          <w:szCs w:val="20"/>
        </w:rPr>
        <w:t xml:space="preserve"> PM</w:t>
      </w:r>
      <w:r w:rsidR="00EE116F" w:rsidRPr="00C66C24">
        <w:rPr>
          <w:sz w:val="20"/>
          <w:vertAlign w:val="subscript"/>
        </w:rPr>
        <w:t xml:space="preserve">2.5 </w:t>
      </w:r>
      <w:r w:rsidR="00EE116F" w:rsidRPr="00C66C24">
        <w:rPr>
          <w:sz w:val="20"/>
          <w:szCs w:val="20"/>
        </w:rPr>
        <w:t>emissions from the maritime sector (Gg) and their share in total transport emissions (%) between 1990 and 2021 in the EU-27.</w:t>
      </w:r>
    </w:p>
    <w:p w14:paraId="456AF12B" w14:textId="3A1613A8" w:rsidR="00C03F7C" w:rsidRPr="00C66C24" w:rsidRDefault="00EE116F" w:rsidP="008C6A9C">
      <w:pPr>
        <w:pStyle w:val="Caption"/>
        <w:spacing w:after="0" w:line="257" w:lineRule="auto"/>
        <w:jc w:val="center"/>
        <w:rPr>
          <w:b w:val="0"/>
          <w:bCs/>
          <w:color w:val="000000" w:themeColor="text1"/>
          <w:sz w:val="20"/>
          <w:szCs w:val="20"/>
        </w:rPr>
      </w:pPr>
      <w:r w:rsidRPr="00C66C24">
        <w:rPr>
          <w:b w:val="0"/>
          <w:bCs/>
          <w:color w:val="000000" w:themeColor="text1"/>
          <w:sz w:val="20"/>
          <w:szCs w:val="20"/>
        </w:rPr>
        <w:t>Source: LRTAP.</w:t>
      </w:r>
      <w:r w:rsidR="00C03F7C" w:rsidRPr="00C66C24">
        <w:br/>
      </w:r>
    </w:p>
    <w:p w14:paraId="32B2D7DD" w14:textId="77777777" w:rsidR="00EE116F" w:rsidRPr="00C66C24" w:rsidRDefault="00C03F7C" w:rsidP="008C6A9C">
      <w:pPr>
        <w:keepNext/>
        <w:spacing w:line="257" w:lineRule="auto"/>
        <w:jc w:val="center"/>
      </w:pPr>
      <w:r w:rsidRPr="00C66C24">
        <w:rPr>
          <w:noProof/>
        </w:rPr>
        <w:drawing>
          <wp:inline distT="0" distB="0" distL="0" distR="0" wp14:anchorId="795073F3" wp14:editId="1E7D2365">
            <wp:extent cx="3236181" cy="2789794"/>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rotWithShape="1">
                    <a:blip r:embed="rId40">
                      <a:extLst>
                        <a:ext uri="{28A0092B-C50C-407E-A947-70E740481C1C}">
                          <a14:useLocalDpi xmlns:a14="http://schemas.microsoft.com/office/drawing/2010/main" val="0"/>
                        </a:ext>
                      </a:extLst>
                    </a:blip>
                    <a:srcRect l="27099" t="7731" r="12948" b="14740"/>
                    <a:stretch/>
                  </pic:blipFill>
                  <pic:spPr bwMode="auto">
                    <a:xfrm>
                      <a:off x="0" y="0"/>
                      <a:ext cx="3237447" cy="2790886"/>
                    </a:xfrm>
                    <a:prstGeom prst="rect">
                      <a:avLst/>
                    </a:prstGeom>
                    <a:noFill/>
                    <a:ln>
                      <a:noFill/>
                    </a:ln>
                    <a:extLst>
                      <a:ext uri="{53640926-AAD7-44D8-BBD7-CCE9431645EC}">
                        <a14:shadowObscured xmlns:a14="http://schemas.microsoft.com/office/drawing/2010/main"/>
                      </a:ext>
                    </a:extLst>
                  </pic:spPr>
                </pic:pic>
              </a:graphicData>
            </a:graphic>
          </wp:inline>
        </w:drawing>
      </w:r>
    </w:p>
    <w:p w14:paraId="120FF994" w14:textId="474106A0" w:rsidR="00EE116F" w:rsidRPr="00C66C24" w:rsidRDefault="00EE116F" w:rsidP="008C6A9C">
      <w:pPr>
        <w:pStyle w:val="Caption"/>
        <w:spacing w:after="0" w:line="257" w:lineRule="auto"/>
        <w:jc w:val="center"/>
        <w:rPr>
          <w:sz w:val="20"/>
          <w:szCs w:val="20"/>
        </w:rPr>
      </w:pPr>
      <w:bookmarkStart w:id="102" w:name="_Ref157608638"/>
      <w:bookmarkStart w:id="103" w:name="_Ref157608671"/>
      <w:r w:rsidRPr="00C66C24">
        <w:rPr>
          <w:sz w:val="20"/>
          <w:szCs w:val="20"/>
        </w:rPr>
        <w:t xml:space="preserve">Map </w:t>
      </w:r>
      <w:r w:rsidR="00576CB8" w:rsidRPr="00C66C24">
        <w:rPr>
          <w:sz w:val="20"/>
          <w:szCs w:val="20"/>
        </w:rPr>
        <w:fldChar w:fldCharType="begin"/>
      </w:r>
      <w:r w:rsidR="00576CB8" w:rsidRPr="00C66C24" w:rsidDel="005966A1">
        <w:rPr>
          <w:sz w:val="20"/>
          <w:szCs w:val="20"/>
        </w:rPr>
        <w:instrText xml:space="preserve"> STYLEREF 1 \s </w:instrText>
      </w:r>
      <w:r w:rsidR="00576CB8" w:rsidRPr="00C66C24">
        <w:rPr>
          <w:sz w:val="20"/>
          <w:szCs w:val="20"/>
        </w:rPr>
        <w:fldChar w:fldCharType="separate"/>
      </w:r>
      <w:r w:rsidR="00827486" w:rsidRPr="00C66C24">
        <w:rPr>
          <w:noProof/>
          <w:sz w:val="20"/>
          <w:szCs w:val="20"/>
        </w:rPr>
        <w:t>2</w:t>
      </w:r>
      <w:r w:rsidR="00576CB8" w:rsidRPr="00C66C24">
        <w:rPr>
          <w:sz w:val="20"/>
          <w:szCs w:val="20"/>
        </w:rPr>
        <w:fldChar w:fldCharType="end"/>
      </w:r>
      <w:r w:rsidRPr="00C66C24">
        <w:rPr>
          <w:sz w:val="20"/>
          <w:szCs w:val="20"/>
        </w:rPr>
        <w:t>.</w:t>
      </w:r>
      <w:bookmarkEnd w:id="102"/>
      <w:r w:rsidRPr="00C66C24">
        <w:rPr>
          <w:sz w:val="20"/>
          <w:szCs w:val="20"/>
        </w:rPr>
        <w:fldChar w:fldCharType="begin"/>
      </w:r>
      <w:r w:rsidRPr="00C66C24">
        <w:rPr>
          <w:sz w:val="20"/>
          <w:szCs w:val="20"/>
        </w:rPr>
        <w:instrText xml:space="preserve"> SEQ Map \* ARABIC \s 1 </w:instrText>
      </w:r>
      <w:r w:rsidRPr="00C66C24">
        <w:rPr>
          <w:sz w:val="20"/>
          <w:szCs w:val="20"/>
        </w:rPr>
        <w:fldChar w:fldCharType="separate"/>
      </w:r>
      <w:r w:rsidR="00247BBC" w:rsidRPr="00C66C24">
        <w:rPr>
          <w:noProof/>
          <w:sz w:val="20"/>
          <w:szCs w:val="20"/>
        </w:rPr>
        <w:t>6</w:t>
      </w:r>
      <w:r w:rsidRPr="00C66C24">
        <w:rPr>
          <w:sz w:val="20"/>
          <w:szCs w:val="20"/>
        </w:rPr>
        <w:fldChar w:fldCharType="end"/>
      </w:r>
      <w:bookmarkEnd w:id="103"/>
      <w:r w:rsidRPr="00C66C24">
        <w:rPr>
          <w:sz w:val="20"/>
          <w:szCs w:val="20"/>
        </w:rPr>
        <w:t xml:space="preserve"> Difference in PM</w:t>
      </w:r>
      <w:r w:rsidRPr="00C66C24">
        <w:rPr>
          <w:sz w:val="20"/>
          <w:szCs w:val="20"/>
          <w:vertAlign w:val="subscript"/>
        </w:rPr>
        <w:t>2.5</w:t>
      </w:r>
      <w:r w:rsidRPr="00C66C24">
        <w:rPr>
          <w:sz w:val="20"/>
          <w:szCs w:val="20"/>
        </w:rPr>
        <w:t xml:space="preserve"> emissions in European shipping areas between 2015 and 2022.</w:t>
      </w:r>
    </w:p>
    <w:p w14:paraId="63A72448" w14:textId="08F788C1" w:rsidR="002D169D" w:rsidRPr="00C66C24" w:rsidRDefault="00E60DA8" w:rsidP="008C6A9C">
      <w:pPr>
        <w:spacing w:before="0" w:after="120" w:line="257" w:lineRule="auto"/>
        <w:jc w:val="center"/>
        <w:rPr>
          <w:sz w:val="20"/>
          <w:szCs w:val="20"/>
        </w:rPr>
      </w:pPr>
      <w:r w:rsidRPr="00C66C24">
        <w:rPr>
          <w:sz w:val="20"/>
          <w:szCs w:val="20"/>
        </w:rPr>
        <w:t>Source: STEAM</w:t>
      </w:r>
      <w:r w:rsidR="00FE0789" w:rsidRPr="00C66C24">
        <w:rPr>
          <w:sz w:val="20"/>
          <w:szCs w:val="20"/>
        </w:rPr>
        <w:t>, FMI.</w:t>
      </w:r>
    </w:p>
    <w:p w14:paraId="1E27C616" w14:textId="72B4B9C2" w:rsidR="00DC21D0" w:rsidRPr="00C66C24" w:rsidRDefault="00EE116F" w:rsidP="009C1311">
      <w:pPr>
        <w:spacing w:before="0" w:after="0" w:line="257" w:lineRule="auto"/>
      </w:pPr>
      <w:r w:rsidRPr="00C66C24">
        <w:rPr>
          <w:rFonts w:ascii="Calibri" w:eastAsia="Calibri" w:hAnsi="Calibri" w:cs="Calibri"/>
          <w:color w:val="000000" w:themeColor="text1"/>
        </w:rPr>
        <w:t>The STEAM modelled data allows</w:t>
      </w:r>
      <w:r w:rsidR="00B25BBE" w:rsidRPr="00C66C24">
        <w:rPr>
          <w:rFonts w:ascii="Calibri" w:eastAsia="Calibri" w:hAnsi="Calibri" w:cs="Calibri"/>
          <w:color w:val="000000" w:themeColor="text1"/>
        </w:rPr>
        <w:t xml:space="preserve"> </w:t>
      </w:r>
      <w:r w:rsidR="00BF7C6B" w:rsidRPr="00C66C24">
        <w:rPr>
          <w:rFonts w:ascii="Calibri" w:eastAsia="Calibri" w:hAnsi="Calibri" w:cs="Calibri"/>
          <w:color w:val="000000" w:themeColor="text1"/>
        </w:rPr>
        <w:t>to visualise</w:t>
      </w:r>
      <w:r w:rsidR="00B25BBE"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the uneven distribution of </w:t>
      </w:r>
      <w:r w:rsidR="00D6721D" w:rsidRPr="00C66C24">
        <w:t>PM</w:t>
      </w:r>
      <w:r w:rsidR="00D6721D" w:rsidRPr="00C66C24">
        <w:rPr>
          <w:vertAlign w:val="subscript"/>
        </w:rPr>
        <w:t>2.5</w:t>
      </w:r>
      <w:r w:rsidRPr="00C66C24">
        <w:rPr>
          <w:rFonts w:ascii="Calibri" w:eastAsia="Calibri" w:hAnsi="Calibri" w:cs="Calibri"/>
          <w:color w:val="000000" w:themeColor="text1"/>
        </w:rPr>
        <w:t xml:space="preserve"> emissions </w:t>
      </w:r>
      <w:r w:rsidR="00B25BBE" w:rsidRPr="00C66C24">
        <w:rPr>
          <w:rFonts w:ascii="Calibri" w:eastAsia="Calibri" w:hAnsi="Calibri" w:cs="Calibri"/>
          <w:color w:val="000000" w:themeColor="text1"/>
        </w:rPr>
        <w:t xml:space="preserve">in the </w:t>
      </w:r>
      <w:r w:rsidRPr="00C66C24">
        <w:rPr>
          <w:rFonts w:ascii="Calibri" w:eastAsia="Calibri" w:hAnsi="Calibri" w:cs="Calibri"/>
          <w:color w:val="000000" w:themeColor="text1"/>
        </w:rPr>
        <w:t>different regions</w:t>
      </w:r>
      <w:r w:rsidR="00B25BBE" w:rsidRPr="00C66C24">
        <w:rPr>
          <w:rFonts w:ascii="Calibri" w:eastAsia="Calibri" w:hAnsi="Calibri" w:cs="Calibri"/>
          <w:color w:val="000000" w:themeColor="text1"/>
        </w:rPr>
        <w:t xml:space="preserve"> of Europe</w:t>
      </w:r>
      <w:r w:rsidR="006D7B2D" w:rsidRPr="00C66C24">
        <w:rPr>
          <w:rFonts w:ascii="Calibri" w:eastAsia="Calibri" w:hAnsi="Calibri" w:cs="Calibri"/>
          <w:iCs w:val="0"/>
          <w:color w:val="000000" w:themeColor="text1"/>
        </w:rPr>
        <w:t xml:space="preserve"> </w:t>
      </w:r>
      <w:r w:rsidR="00A6075A" w:rsidRPr="00C66C24">
        <w:rPr>
          <w:rFonts w:ascii="Calibri" w:eastAsia="Calibri" w:hAnsi="Calibri" w:cs="Calibri"/>
          <w:color w:val="000000" w:themeColor="text1"/>
        </w:rPr>
        <w:t>(see</w:t>
      </w:r>
      <w:r w:rsidR="007D1670" w:rsidRPr="00C66C24">
        <w:rPr>
          <w:rFonts w:ascii="Calibri" w:eastAsia="Calibri" w:hAnsi="Calibri" w:cs="Calibri"/>
          <w:color w:val="000000" w:themeColor="text1"/>
        </w:rPr>
        <w:t xml:space="preserve"> </w:t>
      </w:r>
      <w:r w:rsidR="007D1670" w:rsidRPr="00C66C24">
        <w:rPr>
          <w:rFonts w:ascii="Calibri" w:eastAsia="Calibri" w:hAnsi="Calibri" w:cs="Calibri"/>
          <w:color w:val="000000" w:themeColor="text1"/>
        </w:rPr>
        <w:fldChar w:fldCharType="begin"/>
      </w:r>
      <w:r w:rsidR="007D1670" w:rsidRPr="00C66C24">
        <w:rPr>
          <w:rFonts w:ascii="Calibri" w:eastAsia="Calibri" w:hAnsi="Calibri" w:cs="Calibri"/>
          <w:color w:val="000000" w:themeColor="text1"/>
        </w:rPr>
        <w:instrText xml:space="preserve"> REF _Ref157608671 \h  \* MERGEFORMAT </w:instrText>
      </w:r>
      <w:r w:rsidR="007D1670" w:rsidRPr="00C66C24">
        <w:rPr>
          <w:rFonts w:ascii="Calibri" w:eastAsia="Calibri" w:hAnsi="Calibri" w:cs="Calibri"/>
          <w:color w:val="000000" w:themeColor="text1"/>
        </w:rPr>
      </w:r>
      <w:r w:rsidR="007D1670" w:rsidRPr="00C66C24">
        <w:rPr>
          <w:rFonts w:ascii="Calibri" w:eastAsia="Calibri" w:hAnsi="Calibri" w:cs="Calibri"/>
          <w:color w:val="000000" w:themeColor="text1"/>
        </w:rPr>
        <w:fldChar w:fldCharType="separate"/>
      </w:r>
      <w:r w:rsidR="007D1670" w:rsidRPr="00C66C24">
        <w:rPr>
          <w:rFonts w:ascii="Calibri" w:eastAsia="Calibri" w:hAnsi="Calibri" w:cs="Calibri"/>
          <w:color w:val="000000" w:themeColor="text1"/>
        </w:rPr>
        <w:t>Ma</w:t>
      </w:r>
      <w:bookmarkStart w:id="104" w:name="_Hlt157609754"/>
      <w:r w:rsidR="007D1670" w:rsidRPr="00C66C24">
        <w:rPr>
          <w:rFonts w:ascii="Calibri" w:eastAsia="Calibri" w:hAnsi="Calibri" w:cs="Calibri"/>
          <w:color w:val="000000" w:themeColor="text1"/>
        </w:rPr>
        <w:t>p</w:t>
      </w:r>
      <w:bookmarkEnd w:id="104"/>
      <w:r w:rsidR="007D1670" w:rsidRPr="00C66C24">
        <w:rPr>
          <w:rFonts w:ascii="Calibri" w:eastAsia="Calibri" w:hAnsi="Calibri" w:cs="Calibri"/>
          <w:color w:val="000000" w:themeColor="text1"/>
        </w:rPr>
        <w:t xml:space="preserve"> 2.6</w:t>
      </w:r>
      <w:r w:rsidR="007D1670" w:rsidRPr="00C66C24">
        <w:rPr>
          <w:rFonts w:ascii="Calibri" w:eastAsia="Calibri" w:hAnsi="Calibri" w:cs="Calibri"/>
          <w:color w:val="000000" w:themeColor="text1"/>
        </w:rPr>
        <w:fldChar w:fldCharType="end"/>
      </w:r>
      <w:r w:rsidR="00A6075A" w:rsidRPr="00C66C24">
        <w:rPr>
          <w:rFonts w:ascii="Calibri" w:eastAsia="Calibri" w:hAnsi="Calibri" w:cs="Calibri"/>
          <w:color w:val="000000" w:themeColor="text1"/>
        </w:rPr>
        <w:t>)</w:t>
      </w:r>
      <w:r w:rsidR="00C03F7C" w:rsidRPr="00C66C24">
        <w:rPr>
          <w:rFonts w:ascii="Calibri" w:eastAsia="Calibri" w:hAnsi="Calibri" w:cs="Calibri"/>
          <w:color w:val="000000" w:themeColor="text1"/>
        </w:rPr>
        <w:t>.</w:t>
      </w:r>
      <w:r w:rsidR="00EE765A" w:rsidRPr="00C66C24">
        <w:rPr>
          <w:rFonts w:ascii="Calibri" w:eastAsia="Calibri" w:hAnsi="Calibri" w:cs="Calibri"/>
          <w:color w:val="000000" w:themeColor="text1"/>
        </w:rPr>
        <w:t xml:space="preserve"> </w:t>
      </w:r>
      <w:r w:rsidR="00C03F7C" w:rsidRPr="00C66C24">
        <w:rPr>
          <w:rFonts w:ascii="Calibri" w:eastAsia="Calibri" w:hAnsi="Calibri" w:cs="Calibri"/>
          <w:color w:val="000000" w:themeColor="text1"/>
        </w:rPr>
        <w:t>In the</w:t>
      </w:r>
      <w:r w:rsidR="00C03F7C" w:rsidRPr="00C66C24">
        <w:t xml:space="preserve"> period considered, the Mediterranean has the highest average yearly PM</w:t>
      </w:r>
      <w:r w:rsidR="00C03F7C" w:rsidRPr="00C66C24">
        <w:rPr>
          <w:vertAlign w:val="subscript"/>
        </w:rPr>
        <w:t>2.5</w:t>
      </w:r>
      <w:r w:rsidR="00C03F7C" w:rsidRPr="00C66C24">
        <w:t xml:space="preserve"> emissions, equal to 55 Gg/year, followed by the Atlantic with 29 Gg/year and the North Sea with 8 Gg/year</w:t>
      </w:r>
      <w:r w:rsidR="00491C63" w:rsidRPr="00C66C24">
        <w:t>.</w:t>
      </w:r>
    </w:p>
    <w:p w14:paraId="76E6EAFE" w14:textId="6259D141" w:rsidR="00C03F7C" w:rsidRPr="00C66C24" w:rsidRDefault="00C03F7C" w:rsidP="009C1311">
      <w:pPr>
        <w:spacing w:before="0" w:after="0" w:line="257" w:lineRule="auto"/>
      </w:pPr>
      <w:r w:rsidRPr="00C66C24">
        <w:t>In the 2015-2022 timeframe, PM</w:t>
      </w:r>
      <w:r w:rsidRPr="00C66C24">
        <w:rPr>
          <w:vertAlign w:val="subscript"/>
        </w:rPr>
        <w:t>2.5</w:t>
      </w:r>
      <w:r w:rsidRPr="00C66C24">
        <w:t xml:space="preserve"> emissions have decreased respectively by 56%, 53%, and 34%, in the Black Sea, Mediterranean Sea and Atlantic regions while they have increased by 29% and 6% in the North Sea and Baltic Sea, this can be aligned with the implementation of the SECAs that will directly have an effect on other pollutants and even outside those areas. In the same timeframe and for the same regions, the variation in the distance travelled was respectively 7%, 20%, 208%, 23%, and 13%. In the Arctic region, PM</w:t>
      </w:r>
      <w:r w:rsidRPr="00C66C24">
        <w:rPr>
          <w:vertAlign w:val="subscript"/>
        </w:rPr>
        <w:t>2.5</w:t>
      </w:r>
      <w:r w:rsidRPr="00C66C24">
        <w:t xml:space="preserve"> emissions have increased by 136%, linked to the significant rise in the distance travelled in the area, equal to five times.</w:t>
      </w:r>
    </w:p>
    <w:p w14:paraId="13D20A89" w14:textId="1E7F6531" w:rsidR="006F4459" w:rsidRPr="00C66C24" w:rsidRDefault="006F4459" w:rsidP="0034003F">
      <w:pPr>
        <w:spacing w:before="0" w:after="120" w:line="257" w:lineRule="auto"/>
      </w:pPr>
      <w:r w:rsidRPr="00C66C24">
        <w:t>In the period considered, the Mediterranean ha</w:t>
      </w:r>
      <w:r w:rsidR="00852988" w:rsidRPr="00C66C24">
        <w:t>s</w:t>
      </w:r>
      <w:r w:rsidRPr="00C66C24">
        <w:t xml:space="preserve"> the highe</w:t>
      </w:r>
      <w:r w:rsidR="00852988" w:rsidRPr="00C66C24">
        <w:t>st</w:t>
      </w:r>
      <w:r w:rsidRPr="00C66C24">
        <w:t xml:space="preserve"> average yearly PM</w:t>
      </w:r>
      <w:r w:rsidRPr="00C66C24">
        <w:rPr>
          <w:vertAlign w:val="subscript"/>
        </w:rPr>
        <w:t>2</w:t>
      </w:r>
      <w:r w:rsidR="00852988" w:rsidRPr="00C66C24">
        <w:rPr>
          <w:vertAlign w:val="subscript"/>
        </w:rPr>
        <w:t>.</w:t>
      </w:r>
      <w:r w:rsidRPr="00C66C24">
        <w:rPr>
          <w:vertAlign w:val="subscript"/>
        </w:rPr>
        <w:t>5</w:t>
      </w:r>
      <w:r w:rsidRPr="00C66C24">
        <w:t xml:space="preserve"> emissions, equal to 55 Gg/year, followed by the Atlantic with 29 Gg/year and the North Sea</w:t>
      </w:r>
      <w:r w:rsidR="00852988" w:rsidRPr="00C66C24">
        <w:t xml:space="preserve"> with</w:t>
      </w:r>
      <w:r w:rsidRPr="00C66C24">
        <w:t xml:space="preserve"> 8 Gg/year.</w:t>
      </w:r>
    </w:p>
    <w:p w14:paraId="7BEAF1C6" w14:textId="77777777" w:rsidR="00F47AC5" w:rsidRPr="00C66C24" w:rsidRDefault="00C03F7C" w:rsidP="008C6A9C">
      <w:pPr>
        <w:keepNext/>
        <w:spacing w:line="257" w:lineRule="auto"/>
      </w:pPr>
      <w:r w:rsidRPr="00C66C24">
        <w:rPr>
          <w:noProof/>
        </w:rPr>
        <w:drawing>
          <wp:inline distT="0" distB="0" distL="0" distR="0" wp14:anchorId="41C3A5BE" wp14:editId="09BA51E1">
            <wp:extent cx="5391785" cy="272605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91785" cy="2726055"/>
                    </a:xfrm>
                    <a:prstGeom prst="rect">
                      <a:avLst/>
                    </a:prstGeom>
                    <a:noFill/>
                    <a:ln>
                      <a:noFill/>
                    </a:ln>
                  </pic:spPr>
                </pic:pic>
              </a:graphicData>
            </a:graphic>
          </wp:inline>
        </w:drawing>
      </w:r>
    </w:p>
    <w:p w14:paraId="7F4A281F" w14:textId="56B96E22" w:rsidR="00170651" w:rsidRPr="00C66C24" w:rsidRDefault="00F47AC5" w:rsidP="008C6A9C">
      <w:pPr>
        <w:pStyle w:val="Caption"/>
        <w:spacing w:after="0" w:line="257" w:lineRule="auto"/>
        <w:jc w:val="center"/>
        <w:rPr>
          <w:sz w:val="20"/>
          <w:szCs w:val="20"/>
        </w:rPr>
      </w:pPr>
      <w:bookmarkStart w:id="105" w:name="_Ref151111182"/>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15</w:t>
      </w:r>
      <w:r w:rsidR="00A81F61" w:rsidRPr="00C66C24">
        <w:rPr>
          <w:sz w:val="20"/>
          <w:szCs w:val="20"/>
        </w:rPr>
        <w:fldChar w:fldCharType="end"/>
      </w:r>
      <w:bookmarkEnd w:id="105"/>
      <w:r w:rsidRPr="00C66C24">
        <w:rPr>
          <w:sz w:val="20"/>
          <w:szCs w:val="20"/>
        </w:rPr>
        <w:t xml:space="preserve"> PM</w:t>
      </w:r>
      <w:r w:rsidRPr="00C66C24">
        <w:rPr>
          <w:sz w:val="20"/>
          <w:szCs w:val="20"/>
          <w:vertAlign w:val="subscript"/>
        </w:rPr>
        <w:t>2.5</w:t>
      </w:r>
      <w:r w:rsidRPr="00C66C24">
        <w:rPr>
          <w:sz w:val="20"/>
          <w:szCs w:val="20"/>
        </w:rPr>
        <w:t xml:space="preserve"> specific emissions from selected freight and passenger ship types in (mg/</w:t>
      </w:r>
      <w:proofErr w:type="spellStart"/>
      <w:r w:rsidRPr="00C66C24">
        <w:rPr>
          <w:sz w:val="20"/>
          <w:szCs w:val="20"/>
        </w:rPr>
        <w:t>tkm</w:t>
      </w:r>
      <w:proofErr w:type="spellEnd"/>
      <w:r w:rsidRPr="00C66C24">
        <w:rPr>
          <w:sz w:val="20"/>
          <w:szCs w:val="20"/>
        </w:rPr>
        <w:t>) or (kg/km) respectively, between 2015 and 2022 in the EU</w:t>
      </w:r>
      <w:r w:rsidR="005F6EA0" w:rsidRPr="00C66C24">
        <w:rPr>
          <w:sz w:val="20"/>
          <w:szCs w:val="20"/>
        </w:rPr>
        <w:t>.</w:t>
      </w:r>
    </w:p>
    <w:p w14:paraId="15379D77" w14:textId="1F303B50" w:rsidR="00B825DE" w:rsidRPr="00C66C24" w:rsidRDefault="00170651" w:rsidP="008C6A9C">
      <w:pPr>
        <w:pStyle w:val="Caption"/>
        <w:spacing w:after="120" w:line="257" w:lineRule="auto"/>
        <w:jc w:val="center"/>
        <w:rPr>
          <w:b w:val="0"/>
          <w:bCs/>
          <w:color w:val="000000" w:themeColor="text1"/>
          <w:sz w:val="20"/>
          <w:szCs w:val="20"/>
        </w:rPr>
      </w:pPr>
      <w:r w:rsidRPr="00C66C24">
        <w:rPr>
          <w:b w:val="0"/>
          <w:bCs/>
          <w:color w:val="000000" w:themeColor="text1"/>
          <w:sz w:val="20"/>
          <w:szCs w:val="20"/>
        </w:rPr>
        <w:t>Source: STEAM</w:t>
      </w:r>
      <w:r w:rsidR="00FE0789" w:rsidRPr="00C66C24">
        <w:rPr>
          <w:b w:val="0"/>
          <w:bCs/>
          <w:color w:val="000000" w:themeColor="text1"/>
          <w:sz w:val="20"/>
          <w:szCs w:val="20"/>
        </w:rPr>
        <w:t>, FMI.</w:t>
      </w:r>
    </w:p>
    <w:p w14:paraId="11A0AB1C" w14:textId="504B2B75" w:rsidR="00FB59AE" w:rsidRPr="00C66C24" w:rsidRDefault="00FB59AE" w:rsidP="000476E4">
      <w:pPr>
        <w:spacing w:before="0" w:after="0" w:line="257" w:lineRule="auto"/>
      </w:pPr>
      <w:r w:rsidRPr="00C66C24">
        <w:t xml:space="preserve">Over the time period considered, tankers, cargo ships and container ships had the lowest yearly </w:t>
      </w:r>
      <w:r w:rsidRPr="00C66C24">
        <w:rPr>
          <w:szCs w:val="22"/>
        </w:rPr>
        <w:t>emission with 5 mg/</w:t>
      </w:r>
      <w:proofErr w:type="spellStart"/>
      <w:r w:rsidRPr="00C66C24">
        <w:rPr>
          <w:szCs w:val="22"/>
        </w:rPr>
        <w:t>tkm</w:t>
      </w:r>
      <w:proofErr w:type="spellEnd"/>
      <w:r w:rsidRPr="00C66C24">
        <w:rPr>
          <w:szCs w:val="22"/>
        </w:rPr>
        <w:t>, 5 mg/</w:t>
      </w:r>
      <w:proofErr w:type="spellStart"/>
      <w:r w:rsidRPr="00C66C24">
        <w:rPr>
          <w:szCs w:val="22"/>
        </w:rPr>
        <w:t>tkm</w:t>
      </w:r>
      <w:proofErr w:type="spellEnd"/>
      <w:r w:rsidRPr="00C66C24">
        <w:rPr>
          <w:szCs w:val="22"/>
        </w:rPr>
        <w:t>, 7 mg/</w:t>
      </w:r>
      <w:proofErr w:type="spellStart"/>
      <w:r w:rsidRPr="00C66C24">
        <w:rPr>
          <w:szCs w:val="22"/>
        </w:rPr>
        <w:t>tkm</w:t>
      </w:r>
      <w:proofErr w:type="spellEnd"/>
      <w:r w:rsidRPr="00C66C24">
        <w:rPr>
          <w:szCs w:val="22"/>
        </w:rPr>
        <w:t>. By comparison, vehicle carriers emitted up to 17 mg/</w:t>
      </w:r>
      <w:proofErr w:type="spellStart"/>
      <w:r w:rsidRPr="00C66C24">
        <w:rPr>
          <w:szCs w:val="22"/>
        </w:rPr>
        <w:t>tkm</w:t>
      </w:r>
      <w:proofErr w:type="spellEnd"/>
      <w:r w:rsidR="00E35E02" w:rsidRPr="00C66C24">
        <w:rPr>
          <w:szCs w:val="22"/>
        </w:rPr>
        <w:t xml:space="preserve"> (</w:t>
      </w:r>
      <w:r w:rsidR="00E35E02" w:rsidRPr="00C66C24">
        <w:rPr>
          <w:szCs w:val="22"/>
        </w:rPr>
        <w:fldChar w:fldCharType="begin"/>
      </w:r>
      <w:r w:rsidR="00E35E02" w:rsidRPr="00C66C24">
        <w:rPr>
          <w:szCs w:val="22"/>
        </w:rPr>
        <w:instrText xml:space="preserve"> REF _Ref151111182 \h </w:instrText>
      </w:r>
      <w:r w:rsidR="00D6721D" w:rsidRPr="00C66C24">
        <w:rPr>
          <w:szCs w:val="22"/>
        </w:rPr>
        <w:instrText xml:space="preserve"> \* MERGEFORMAT </w:instrText>
      </w:r>
      <w:r w:rsidR="00E35E02" w:rsidRPr="00C66C24">
        <w:rPr>
          <w:szCs w:val="22"/>
        </w:rPr>
      </w:r>
      <w:r w:rsidR="00E35E02" w:rsidRPr="00C66C24">
        <w:rPr>
          <w:szCs w:val="22"/>
        </w:rPr>
        <w:fldChar w:fldCharType="separate"/>
      </w:r>
      <w:r w:rsidR="001F0CFC" w:rsidRPr="00C66C24">
        <w:rPr>
          <w:szCs w:val="22"/>
        </w:rPr>
        <w:t xml:space="preserve">Figure </w:t>
      </w:r>
      <w:r w:rsidR="001F0CFC" w:rsidRPr="00C66C24">
        <w:rPr>
          <w:noProof/>
          <w:szCs w:val="22"/>
        </w:rPr>
        <w:t>2.15</w:t>
      </w:r>
      <w:r w:rsidR="00E35E02" w:rsidRPr="00C66C24">
        <w:rPr>
          <w:szCs w:val="22"/>
        </w:rPr>
        <w:fldChar w:fldCharType="end"/>
      </w:r>
      <w:r w:rsidR="00E35E02" w:rsidRPr="00C66C24">
        <w:rPr>
          <w:szCs w:val="22"/>
        </w:rPr>
        <w:t>)</w:t>
      </w:r>
      <w:r w:rsidRPr="00C66C24">
        <w:rPr>
          <w:szCs w:val="22"/>
        </w:rPr>
        <w:t>.</w:t>
      </w:r>
    </w:p>
    <w:p w14:paraId="5BD11295" w14:textId="1CC1D715" w:rsidR="00C03F7C" w:rsidRPr="00C66C24" w:rsidRDefault="00C03F7C" w:rsidP="000476E4">
      <w:pPr>
        <w:spacing w:before="0" w:after="0" w:line="257" w:lineRule="auto"/>
      </w:pPr>
      <w:r w:rsidRPr="00C66C24">
        <w:t>PM</w:t>
      </w:r>
      <w:r w:rsidRPr="00C66C24">
        <w:rPr>
          <w:vertAlign w:val="subscript"/>
        </w:rPr>
        <w:t>2.5</w:t>
      </w:r>
      <w:r w:rsidRPr="00C66C24">
        <w:t xml:space="preserve"> specific emissions have been declining for all these ship types during the period considered. In particular, cargo decreased by 65%, containers by 66%, tankers by 69% and vehicle carriers by 62%. This is related to a combination of factors, including the increased average payload transported and, especially the introduction of new policies</w:t>
      </w:r>
      <w:r w:rsidR="00A830AD" w:rsidRPr="00C66C24">
        <w:t xml:space="preserve"> </w:t>
      </w:r>
      <w:r w:rsidRPr="00C66C24">
        <w:t>such as the IMO Global Sulphur cap that has an indirect effect on the PM formation. For reference, in the same region and timeframe, the payload carried increased respectively by 39%, 22%, 44% and 8%. Nevertheless, the emission of PM</w:t>
      </w:r>
      <w:r w:rsidRPr="00C66C24">
        <w:rPr>
          <w:vertAlign w:val="subscript"/>
        </w:rPr>
        <w:t>2.5</w:t>
      </w:r>
      <w:r w:rsidRPr="00C66C24">
        <w:t xml:space="preserve"> saw an absolute decrease of 52%, 59%, 55% and 59% respectively, showing the important role of cleaner fuels and aftertreatment technologies.</w:t>
      </w:r>
    </w:p>
    <w:p w14:paraId="7EC2CDEB" w14:textId="77777777" w:rsidR="00EE116F" w:rsidRPr="00C66C24" w:rsidRDefault="00EE116F" w:rsidP="000476E4">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Specific emissions of cruisers in Europe have been decreasing by 48% during the period considered, with an increase in the distance travelled of 21% in absolute terms the emissions decreased by 37%. The situation is different for passenger ships for which emissions have increased by 45% and a small increase on the distance travelled of 3% and in absolute terms the emissions increased by 49%.</w:t>
      </w:r>
    </w:p>
    <w:p w14:paraId="1262B0E0" w14:textId="77777777" w:rsidR="00EE116F" w:rsidRPr="00C66C24" w:rsidRDefault="00EE116F" w:rsidP="000476E4">
      <w:pPr>
        <w:spacing w:before="0" w:after="0" w:line="257" w:lineRule="auto"/>
      </w:pPr>
      <w:r w:rsidRPr="00C66C24">
        <w:t>However, passenger ships have considerably lower specific emissions compared to cruisers. Indeed, between 2015 and 2022, cruiser ships emitted on average 0.212 kg/km per year. This is approximately 11 times more than what is emitted on average per year by conventional passenger ships in the same region and period, i.e. 0.018 kg/km.</w:t>
      </w:r>
    </w:p>
    <w:p w14:paraId="34AE3153" w14:textId="77AEBA2A" w:rsidR="00C03F7C" w:rsidRPr="00C66C24" w:rsidRDefault="00EE116F" w:rsidP="000476E4">
      <w:pPr>
        <w:spacing w:before="0" w:after="120" w:line="257" w:lineRule="auto"/>
      </w:pPr>
      <w:r w:rsidRPr="00C66C24">
        <w:t>Finally, the average emissions per ship of fishing vessels decreased by 35% from 2015. On average in 2020, a fishing vessel was emitting approximately 174 kg of PM</w:t>
      </w:r>
      <w:r w:rsidRPr="00C66C24">
        <w:rPr>
          <w:vertAlign w:val="subscript"/>
        </w:rPr>
        <w:t>2.5</w:t>
      </w:r>
      <w:r w:rsidRPr="00C66C24">
        <w:t xml:space="preserve"> per year. It is noted that the fishing fleet has only slightly decreased over the same period, i.e. 7%, while absolute PM</w:t>
      </w:r>
      <w:r w:rsidRPr="00C66C24">
        <w:rPr>
          <w:vertAlign w:val="subscript"/>
        </w:rPr>
        <w:t>2.5</w:t>
      </w:r>
      <w:r w:rsidRPr="00C66C24">
        <w:t xml:space="preserve"> emissions decreased by 39%.</w:t>
      </w:r>
    </w:p>
    <w:p w14:paraId="19A70935" w14:textId="77777777" w:rsidR="00EE116F" w:rsidRPr="00C66C24" w:rsidRDefault="00EE116F" w:rsidP="008C6A9C">
      <w:pPr>
        <w:spacing w:line="257" w:lineRule="auto"/>
        <w:rPr>
          <w:u w:val="single"/>
        </w:rPr>
      </w:pPr>
      <w:r w:rsidRPr="00C66C24">
        <w:rPr>
          <w:u w:val="single"/>
        </w:rPr>
        <w:t xml:space="preserve">Black Carbon (Elemental Carbon) </w:t>
      </w:r>
    </w:p>
    <w:p w14:paraId="3818F7BE" w14:textId="663CDD03" w:rsidR="00C03F7C" w:rsidRPr="00C66C24" w:rsidRDefault="00C03F7C" w:rsidP="000476E4">
      <w:pPr>
        <w:spacing w:before="0" w:after="120" w:line="257" w:lineRule="auto"/>
        <w:rPr>
          <w:u w:val="single"/>
        </w:rPr>
      </w:pPr>
      <w:r w:rsidRPr="00C66C24">
        <w:rPr>
          <w:rStyle w:val="normaltextrun"/>
          <w:rFonts w:ascii="Calibri" w:hAnsi="Calibri" w:cs="Calibri"/>
          <w:color w:val="000000"/>
          <w:szCs w:val="22"/>
          <w:shd w:val="clear" w:color="auto" w:fill="FFFFFF"/>
        </w:rPr>
        <w:t xml:space="preserve">It is estimated that black carbon </w:t>
      </w:r>
      <w:r w:rsidR="007E0071">
        <w:rPr>
          <w:rStyle w:val="normaltextrun"/>
          <w:rFonts w:ascii="Calibri" w:hAnsi="Calibri" w:cs="Calibri"/>
          <w:color w:val="000000"/>
          <w:szCs w:val="22"/>
          <w:shd w:val="clear" w:color="auto" w:fill="FFFFFF"/>
        </w:rPr>
        <w:t xml:space="preserve">(BC) </w:t>
      </w:r>
      <w:r w:rsidRPr="00C66C24">
        <w:rPr>
          <w:rStyle w:val="normaltextrun"/>
          <w:rFonts w:ascii="Calibri" w:hAnsi="Calibri" w:cs="Calibri"/>
          <w:color w:val="000000"/>
          <w:szCs w:val="22"/>
          <w:shd w:val="clear" w:color="auto" w:fill="FFFFFF"/>
        </w:rPr>
        <w:t>emissions were responsible for 6.85 % of the global warming contribution from shipping in 2018, the second most significant contribution for voyage-based international emissions after CO</w:t>
      </w:r>
      <w:r w:rsidRPr="00C66C24">
        <w:rPr>
          <w:rStyle w:val="normaltextrun"/>
          <w:rFonts w:ascii="Calibri" w:hAnsi="Calibri" w:cs="Calibri"/>
          <w:color w:val="000000"/>
          <w:szCs w:val="22"/>
          <w:shd w:val="clear" w:color="auto" w:fill="FFFFFF"/>
          <w:vertAlign w:val="subscript"/>
        </w:rPr>
        <w:t>2</w:t>
      </w:r>
      <w:r w:rsidRPr="00C66C24">
        <w:rPr>
          <w:rStyle w:val="normaltextrun"/>
          <w:rFonts w:ascii="Calibri" w:hAnsi="Calibri" w:cs="Calibri"/>
          <w:color w:val="000000"/>
          <w:szCs w:val="22"/>
          <w:shd w:val="clear" w:color="auto" w:fill="FFFFFF"/>
        </w:rPr>
        <w:t xml:space="preserve"> </w:t>
      </w:r>
      <w:r w:rsidR="00EE116F" w:rsidRPr="00C66C24">
        <w:rPr>
          <w:rStyle w:val="normaltextrun"/>
          <w:rFonts w:ascii="Calibri" w:hAnsi="Calibri" w:cs="Calibri"/>
          <w:color w:val="000000"/>
          <w:szCs w:val="22"/>
          <w:shd w:val="clear" w:color="auto" w:fill="FFFFFF"/>
        </w:rPr>
        <w:fldChar w:fldCharType="begin"/>
      </w:r>
      <w:r w:rsidR="00EE116F" w:rsidRPr="00C66C24">
        <w:rPr>
          <w:rStyle w:val="normaltextrun"/>
          <w:rFonts w:ascii="Calibri" w:hAnsi="Calibri" w:cs="Calibri"/>
          <w:color w:val="000000"/>
          <w:szCs w:val="22"/>
          <w:shd w:val="clear" w:color="auto" w:fill="FFFFFF"/>
        </w:rPr>
        <w:instrText xml:space="preserve"> ADDIN ZOTERO_ITEM CSL_CITATION {"citationID":"akinpt30f3","properties":{"formattedCitation":"(IMO, 2020a)","plainCitation":"(IMO, 2020a)","noteIndex":0},"citationItems":[{"id":1068,"uris":["http://zotero.org/groups/122386/items/HJNG5DQJ"],"itemData":{"id":1068,"type":"report","event-place":"London, UK","publisher":"International Maritime Organization","publisher-place":"London, UK","title":"Fourth IMO greenhouse gas study","URL":"https://wwwcdn.imo.org/localresources/en/OurWork/Environment/Documents/Fourth%20IMO%20GHG%20Study%202020%20-%20Full%20report%20and%20annexes.pdf","author":[{"literal":"IMO"}],"accessed":{"date-parts":[["2020",12,20]]},"issued":{"date-parts":[["2020"]]}}}],"schema":"https://github.com/citation-style-language/schema/raw/master/csl-citation.json"} </w:instrText>
      </w:r>
      <w:r w:rsidR="00EE116F" w:rsidRPr="00C66C24">
        <w:rPr>
          <w:rStyle w:val="normaltextrun"/>
          <w:rFonts w:ascii="Calibri" w:hAnsi="Calibri" w:cs="Calibri"/>
          <w:color w:val="000000"/>
          <w:szCs w:val="22"/>
          <w:shd w:val="clear" w:color="auto" w:fill="FFFFFF"/>
        </w:rPr>
        <w:fldChar w:fldCharType="separate"/>
      </w:r>
      <w:r w:rsidR="00EE116F" w:rsidRPr="00C66C24">
        <w:rPr>
          <w:rFonts w:ascii="Calibri" w:hAnsi="Calibri" w:cs="Calibri"/>
        </w:rPr>
        <w:t>(IMO, 2020a)</w:t>
      </w:r>
      <w:r w:rsidR="00EE116F" w:rsidRPr="00C66C24">
        <w:rPr>
          <w:rStyle w:val="normaltextrun"/>
          <w:rFonts w:ascii="Calibri" w:hAnsi="Calibri" w:cs="Calibri"/>
          <w:color w:val="000000"/>
          <w:szCs w:val="22"/>
          <w:shd w:val="clear" w:color="auto" w:fill="FFFFFF"/>
        </w:rPr>
        <w:fldChar w:fldCharType="end"/>
      </w:r>
      <w:r w:rsidRPr="00C66C24">
        <w:rPr>
          <w:rStyle w:val="normaltextrun"/>
          <w:rFonts w:ascii="Calibri" w:hAnsi="Calibri" w:cs="Calibri"/>
          <w:color w:val="000000"/>
          <w:szCs w:val="22"/>
          <w:shd w:val="clear" w:color="auto" w:fill="FFFFFF"/>
        </w:rPr>
        <w:t xml:space="preserve">. </w:t>
      </w:r>
      <w:r w:rsidR="00B3588F">
        <w:rPr>
          <w:rStyle w:val="normaltextrun"/>
          <w:rFonts w:ascii="Calibri" w:hAnsi="Calibri" w:cs="Calibri"/>
          <w:color w:val="000000"/>
          <w:szCs w:val="22"/>
          <w:shd w:val="clear" w:color="auto" w:fill="FFFFFF"/>
        </w:rPr>
        <w:t>T</w:t>
      </w:r>
      <w:r w:rsidRPr="00C66C24">
        <w:t xml:space="preserve">he contribution of the maritime sector to overall </w:t>
      </w:r>
      <w:r w:rsidR="009B32B2">
        <w:t xml:space="preserve">BC </w:t>
      </w:r>
      <w:r w:rsidRPr="00C66C24">
        <w:t xml:space="preserve">emissions in the EU-27 transport sector have steadily increased over time, reaching approximately 21% in 2021, </w:t>
      </w:r>
      <w:r w:rsidR="00DB7B15">
        <w:t xml:space="preserve">with </w:t>
      </w:r>
      <w:r w:rsidRPr="00C66C24">
        <w:t>BC emissions from the sector reach</w:t>
      </w:r>
      <w:r w:rsidR="00DB7B15">
        <w:t>ing</w:t>
      </w:r>
      <w:r w:rsidRPr="00C66C24">
        <w:t xml:space="preserve"> 12 Gg</w:t>
      </w:r>
      <w:r w:rsidR="00D53663" w:rsidRPr="00C66C24">
        <w:t xml:space="preserve"> (</w:t>
      </w:r>
      <w:r w:rsidR="00D53663" w:rsidRPr="00C66C24">
        <w:fldChar w:fldCharType="begin"/>
      </w:r>
      <w:r w:rsidR="00D53663" w:rsidRPr="00C66C24">
        <w:instrText xml:space="preserve"> REF _Ref151111199 \h </w:instrText>
      </w:r>
      <w:r w:rsidR="00D53663" w:rsidRPr="00C66C24">
        <w:fldChar w:fldCharType="separate"/>
      </w:r>
      <w:r w:rsidR="00D53663" w:rsidRPr="00C66C24">
        <w:t>Figure 2.16</w:t>
      </w:r>
      <w:r w:rsidR="00D53663" w:rsidRPr="00C66C24">
        <w:fldChar w:fldCharType="end"/>
      </w:r>
      <w:r w:rsidR="003B733E" w:rsidRPr="00C66C24">
        <w:t>)</w:t>
      </w:r>
      <w:r w:rsidRPr="00C66C24">
        <w:t>. In 2021, fisheries and domestic navigation constituted approximately 5% and 26% of the total maritime emissions. From 2019 to 2020 the overall emissions from the sector decreased by 19%, in line with the reduction of activity caused by the COVID-19 pandemic</w:t>
      </w:r>
      <w:r w:rsidRPr="00C66C24">
        <w:rPr>
          <w:rFonts w:ascii="Calibri" w:eastAsia="Calibri" w:hAnsi="Calibri" w:cs="Calibri"/>
          <w:color w:val="000000" w:themeColor="text1"/>
        </w:rPr>
        <w:t>.</w:t>
      </w:r>
    </w:p>
    <w:p w14:paraId="30E5046C" w14:textId="77777777" w:rsidR="00C03F7C" w:rsidRPr="00C66C24" w:rsidRDefault="00C03F7C" w:rsidP="008C6A9C">
      <w:pPr>
        <w:keepNext/>
        <w:spacing w:line="257" w:lineRule="auto"/>
        <w:jc w:val="center"/>
      </w:pPr>
      <w:r w:rsidRPr="00C66C24">
        <w:rPr>
          <w:noProof/>
          <w:u w:val="single"/>
        </w:rPr>
        <w:drawing>
          <wp:inline distT="0" distB="0" distL="0" distR="0" wp14:anchorId="4BE3CEC6" wp14:editId="05D165E2">
            <wp:extent cx="4870800" cy="3315600"/>
            <wp:effectExtent l="0" t="0" r="635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70800" cy="3315600"/>
                    </a:xfrm>
                    <a:prstGeom prst="rect">
                      <a:avLst/>
                    </a:prstGeom>
                    <a:noFill/>
                    <a:ln>
                      <a:noFill/>
                    </a:ln>
                  </pic:spPr>
                </pic:pic>
              </a:graphicData>
            </a:graphic>
          </wp:inline>
        </w:drawing>
      </w:r>
    </w:p>
    <w:p w14:paraId="5CE77940" w14:textId="7DA37C79" w:rsidR="00EE116F" w:rsidRPr="00C66C24" w:rsidRDefault="00EE116F" w:rsidP="008C6A9C">
      <w:pPr>
        <w:pStyle w:val="Caption"/>
        <w:spacing w:after="0" w:line="257" w:lineRule="auto"/>
        <w:jc w:val="center"/>
        <w:rPr>
          <w:sz w:val="20"/>
          <w:szCs w:val="20"/>
        </w:rPr>
      </w:pPr>
      <w:bookmarkStart w:id="106" w:name="_Ref151111199"/>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16</w:t>
      </w:r>
      <w:r w:rsidR="00A81F61" w:rsidRPr="00C66C24">
        <w:rPr>
          <w:sz w:val="20"/>
          <w:szCs w:val="20"/>
        </w:rPr>
        <w:fldChar w:fldCharType="end"/>
      </w:r>
      <w:bookmarkEnd w:id="106"/>
      <w:r w:rsidRPr="00C66C24">
        <w:rPr>
          <w:sz w:val="20"/>
          <w:szCs w:val="20"/>
        </w:rPr>
        <w:t xml:space="preserve"> B</w:t>
      </w:r>
      <w:r w:rsidR="00BB4845">
        <w:rPr>
          <w:sz w:val="20"/>
          <w:szCs w:val="20"/>
        </w:rPr>
        <w:t xml:space="preserve">lack </w:t>
      </w:r>
      <w:r w:rsidRPr="00C66C24">
        <w:rPr>
          <w:sz w:val="20"/>
          <w:szCs w:val="20"/>
        </w:rPr>
        <w:t>C</w:t>
      </w:r>
      <w:r w:rsidR="00BB4845">
        <w:rPr>
          <w:sz w:val="20"/>
          <w:szCs w:val="20"/>
        </w:rPr>
        <w:t>arbon</w:t>
      </w:r>
      <w:r w:rsidRPr="00C66C24">
        <w:rPr>
          <w:sz w:val="20"/>
          <w:szCs w:val="20"/>
        </w:rPr>
        <w:t xml:space="preserve"> emissions from the maritime sector (Gg) and their share in total transport emissions (%) between 1990 and 2021 in the EU-27.</w:t>
      </w:r>
    </w:p>
    <w:p w14:paraId="37237A2C" w14:textId="77777777" w:rsidR="00EE116F" w:rsidRPr="00C66C24" w:rsidRDefault="00EE116F" w:rsidP="008C6A9C">
      <w:pPr>
        <w:pStyle w:val="Caption"/>
        <w:spacing w:after="120" w:line="257" w:lineRule="auto"/>
        <w:jc w:val="center"/>
        <w:rPr>
          <w:b w:val="0"/>
          <w:bCs/>
          <w:color w:val="000000" w:themeColor="text1"/>
          <w:sz w:val="20"/>
          <w:szCs w:val="20"/>
          <w:u w:val="single"/>
        </w:rPr>
      </w:pPr>
      <w:r w:rsidRPr="00C66C24">
        <w:rPr>
          <w:b w:val="0"/>
          <w:bCs/>
          <w:color w:val="000000" w:themeColor="text1"/>
          <w:sz w:val="20"/>
          <w:szCs w:val="20"/>
        </w:rPr>
        <w:t>Source: LRTAP.</w:t>
      </w:r>
    </w:p>
    <w:p w14:paraId="6712AF5E" w14:textId="6536B3F8" w:rsidR="00EE116F" w:rsidRPr="00C66C24" w:rsidRDefault="00EE116F" w:rsidP="000476E4">
      <w:pPr>
        <w:spacing w:before="0" w:after="0" w:line="257" w:lineRule="auto"/>
      </w:pPr>
      <w:r w:rsidRPr="00C66C24">
        <w:t xml:space="preserve">In the period considered, the Mediterranean Sea had the higher average yearly BC emissions, equal to 1.65 Gg/year, followed by the Atlantic with 0.75 Gg/year and the North Sea, 0.46 Gg/year. </w:t>
      </w:r>
    </w:p>
    <w:p w14:paraId="3E792864" w14:textId="617DDABE" w:rsidR="00EE116F" w:rsidRPr="00C66C24" w:rsidRDefault="00EE116F" w:rsidP="000476E4">
      <w:pPr>
        <w:spacing w:before="0" w:after="0" w:line="257" w:lineRule="auto"/>
      </w:pPr>
      <w:r w:rsidRPr="00C66C24">
        <w:t>Data obtained from the STEAM</w:t>
      </w:r>
      <w:r w:rsidR="00835024">
        <w:t xml:space="preserve"> model</w:t>
      </w:r>
      <w:r w:rsidRPr="00C66C24">
        <w:t xml:space="preserve"> show that in the 2015-2022 timeframe, </w:t>
      </w:r>
      <w:r w:rsidR="00835024">
        <w:t>BC</w:t>
      </w:r>
      <w:r w:rsidRPr="00C66C24">
        <w:t xml:space="preserve"> emissions have increased respectively by 11%, 15% and 30% in the Atlantic, Baltic Sea and North Sea respectively, while they have decreased by 38% and 47% in the Mediterranean Sea and Black Sea. In the same timeframe and for the same regions, the variation in the distance travelled was respectively 208% in the Atlantic, 13% in the Baltic Sea, 23% in the North Sea, 20% in the Mediterranean Sea, and 7% in the Black Sea</w:t>
      </w:r>
      <w:r w:rsidR="00C03F7C" w:rsidRPr="00C66C24">
        <w:t>.</w:t>
      </w:r>
    </w:p>
    <w:p w14:paraId="490F5F5E" w14:textId="527780C8" w:rsidR="00EE116F" w:rsidRPr="00C66C24" w:rsidRDefault="00EE116F" w:rsidP="000476E4">
      <w:pPr>
        <w:spacing w:before="0" w:after="0" w:line="257" w:lineRule="auto"/>
        <w:rPr>
          <w:rStyle w:val="ui-provider"/>
        </w:rPr>
      </w:pPr>
      <w:r w:rsidRPr="00C66C24">
        <w:rPr>
          <w:rFonts w:ascii="Calibri" w:eastAsia="Calibri" w:hAnsi="Calibri" w:cs="Calibri"/>
          <w:color w:val="000000" w:themeColor="text1"/>
        </w:rPr>
        <w:t>The major impacts of B</w:t>
      </w:r>
      <w:r w:rsidR="00A96C96">
        <w:rPr>
          <w:rFonts w:ascii="Calibri" w:eastAsia="Calibri" w:hAnsi="Calibri" w:cs="Calibri"/>
          <w:color w:val="000000" w:themeColor="text1"/>
        </w:rPr>
        <w:t>C</w:t>
      </w:r>
      <w:r w:rsidRPr="00C66C24">
        <w:rPr>
          <w:rFonts w:ascii="Calibri" w:eastAsia="Calibri" w:hAnsi="Calibri" w:cs="Calibri"/>
          <w:color w:val="000000" w:themeColor="text1"/>
        </w:rPr>
        <w:t xml:space="preserve"> emissions are related with its presence and deposition in the Arctic region. The deposition in the Arctic snow and ice sheets, darkens the ice and reduces the surface albedo, </w:t>
      </w:r>
      <w:r w:rsidR="00A96C96">
        <w:rPr>
          <w:rFonts w:ascii="Calibri" w:eastAsia="Calibri" w:hAnsi="Calibri" w:cs="Calibri"/>
          <w:color w:val="000000" w:themeColor="text1"/>
        </w:rPr>
        <w:t xml:space="preserve">thus </w:t>
      </w:r>
      <w:r w:rsidRPr="00C66C24">
        <w:rPr>
          <w:rFonts w:ascii="Calibri" w:eastAsia="Calibri" w:hAnsi="Calibri" w:cs="Calibri"/>
          <w:color w:val="000000" w:themeColor="text1"/>
        </w:rPr>
        <w:t xml:space="preserve">increasing heat absorption and melting. In 2022 the BC emissions in the </w:t>
      </w:r>
      <w:r w:rsidRPr="00C66C24">
        <w:rPr>
          <w:rStyle w:val="ui-provider"/>
        </w:rPr>
        <w:t xml:space="preserve">Arctic amounted to 0.017 Gg, </w:t>
      </w:r>
      <w:r w:rsidR="00A95B8D">
        <w:rPr>
          <w:rStyle w:val="ui-provider"/>
        </w:rPr>
        <w:t xml:space="preserve">constituting an </w:t>
      </w:r>
      <w:r w:rsidRPr="00C66C24">
        <w:rPr>
          <w:rStyle w:val="ui-provider"/>
        </w:rPr>
        <w:t>increas</w:t>
      </w:r>
      <w:r w:rsidR="00A95B8D">
        <w:rPr>
          <w:rStyle w:val="ui-provider"/>
        </w:rPr>
        <w:t>e of</w:t>
      </w:r>
      <w:r w:rsidRPr="00C66C24">
        <w:rPr>
          <w:rStyle w:val="ui-provider"/>
        </w:rPr>
        <w:t xml:space="preserve"> 206% in the considered timeframe</w:t>
      </w:r>
      <w:r w:rsidR="00A95B8D">
        <w:rPr>
          <w:rStyle w:val="ui-provider"/>
        </w:rPr>
        <w:t>.</w:t>
      </w:r>
      <w:r w:rsidRPr="00C66C24">
        <w:rPr>
          <w:rStyle w:val="ui-provider"/>
        </w:rPr>
        <w:t xml:space="preserve"> </w:t>
      </w:r>
      <w:r w:rsidR="00A95B8D">
        <w:rPr>
          <w:rStyle w:val="ui-provider"/>
        </w:rPr>
        <w:t>P</w:t>
      </w:r>
      <w:r w:rsidRPr="00C66C24">
        <w:rPr>
          <w:rStyle w:val="ui-provider"/>
        </w:rPr>
        <w:t>eak</w:t>
      </w:r>
      <w:r w:rsidR="00A95B8D">
        <w:rPr>
          <w:rStyle w:val="ui-provider"/>
        </w:rPr>
        <w:t xml:space="preserve"> emissions</w:t>
      </w:r>
      <w:r w:rsidRPr="00C66C24">
        <w:rPr>
          <w:rStyle w:val="ui-provider"/>
        </w:rPr>
        <w:t xml:space="preserve"> w</w:t>
      </w:r>
      <w:r w:rsidR="00A95B8D">
        <w:rPr>
          <w:rStyle w:val="ui-provider"/>
        </w:rPr>
        <w:t>ere</w:t>
      </w:r>
      <w:r w:rsidRPr="00C66C24">
        <w:rPr>
          <w:rStyle w:val="ui-provider"/>
        </w:rPr>
        <w:t xml:space="preserve"> reached in 2019 with 0.041 Gg (se</w:t>
      </w:r>
      <w:r w:rsidRPr="00C66C24">
        <w:rPr>
          <w:rStyle w:val="ui-provider"/>
          <w:szCs w:val="22"/>
        </w:rPr>
        <w:t>e</w:t>
      </w:r>
      <w:r w:rsidR="00C63B1A" w:rsidRPr="00C66C24">
        <w:rPr>
          <w:rStyle w:val="ui-provider"/>
          <w:szCs w:val="22"/>
        </w:rPr>
        <w:t xml:space="preserve"> </w:t>
      </w:r>
      <w:r w:rsidR="00476438" w:rsidRPr="00C66C24">
        <w:rPr>
          <w:rStyle w:val="ui-provider"/>
          <w:szCs w:val="22"/>
        </w:rPr>
        <w:fldChar w:fldCharType="begin"/>
      </w:r>
      <w:r w:rsidR="00476438" w:rsidRPr="00C66C24">
        <w:rPr>
          <w:rStyle w:val="ui-provider"/>
          <w:szCs w:val="22"/>
        </w:rPr>
        <w:instrText xml:space="preserve"> REF _Ref157423356 \h  \* MERGEFORMAT </w:instrText>
      </w:r>
      <w:r w:rsidR="00476438" w:rsidRPr="00C66C24">
        <w:rPr>
          <w:rStyle w:val="ui-provider"/>
          <w:szCs w:val="22"/>
        </w:rPr>
      </w:r>
      <w:r w:rsidR="00476438" w:rsidRPr="00C66C24">
        <w:rPr>
          <w:rStyle w:val="ui-provider"/>
          <w:szCs w:val="22"/>
        </w:rPr>
        <w:fldChar w:fldCharType="separate"/>
      </w:r>
      <w:r w:rsidR="006D267A" w:rsidRPr="00C66C24">
        <w:rPr>
          <w:szCs w:val="22"/>
        </w:rPr>
        <w:t xml:space="preserve">Figure </w:t>
      </w:r>
      <w:r w:rsidR="006D267A" w:rsidRPr="00C66C24">
        <w:rPr>
          <w:noProof/>
          <w:szCs w:val="22"/>
        </w:rPr>
        <w:t>2.17</w:t>
      </w:r>
      <w:r w:rsidR="00476438" w:rsidRPr="00C66C24">
        <w:rPr>
          <w:rStyle w:val="ui-provider"/>
          <w:szCs w:val="22"/>
        </w:rPr>
        <w:fldChar w:fldCharType="end"/>
      </w:r>
      <w:r w:rsidRPr="00C66C24">
        <w:rPr>
          <w:rStyle w:val="ui-provider"/>
        </w:rPr>
        <w:t>)</w:t>
      </w:r>
      <w:r w:rsidRPr="00C66C24">
        <w:rPr>
          <w:rFonts w:ascii="Calibri" w:eastAsia="Calibri" w:hAnsi="Calibri" w:cs="Calibri"/>
          <w:color w:val="000000" w:themeColor="text1"/>
        </w:rPr>
        <w:t xml:space="preserve">. </w:t>
      </w:r>
    </w:p>
    <w:p w14:paraId="6DCA6739" w14:textId="77777777" w:rsidR="00EE116F" w:rsidRPr="00C66C24" w:rsidRDefault="00EE116F" w:rsidP="008C6A9C">
      <w:pPr>
        <w:keepNext/>
        <w:spacing w:line="257" w:lineRule="auto"/>
        <w:jc w:val="center"/>
      </w:pPr>
    </w:p>
    <w:p w14:paraId="08E6D9E4" w14:textId="587682D4" w:rsidR="00EE116F" w:rsidRPr="00C66C24" w:rsidRDefault="001D4ED1" w:rsidP="008C6A9C">
      <w:pPr>
        <w:keepNext/>
        <w:spacing w:line="257" w:lineRule="auto"/>
        <w:jc w:val="center"/>
      </w:pPr>
      <w:r w:rsidRPr="00C66C24">
        <w:rPr>
          <w:noProof/>
        </w:rPr>
        <w:drawing>
          <wp:inline distT="0" distB="0" distL="0" distR="0" wp14:anchorId="03B0A722" wp14:editId="5D314626">
            <wp:extent cx="5058846" cy="2374711"/>
            <wp:effectExtent l="0" t="0" r="8890" b="6985"/>
            <wp:docPr id="19" name="Chart 19">
              <a:extLst xmlns:a="http://schemas.openxmlformats.org/drawingml/2006/main">
                <a:ext uri="{FF2B5EF4-FFF2-40B4-BE49-F238E27FC236}">
                  <a16:creationId xmlns:a16="http://schemas.microsoft.com/office/drawing/2014/main" id="{1CC98626-01B8-4361-A372-E0A55085232E}"/>
                </a:ext>
                <a:ext uri="{147F2762-F138-4A5C-976F-8EAC2B608ADB}">
                  <a16:predDERef xmlns:a16="http://schemas.microsoft.com/office/drawing/2014/main" pred="{FE465315-865A-C7B2-DCDB-8BDDFFF926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1B41ADC3" w14:textId="08FB58DB" w:rsidR="00C03F7C" w:rsidRPr="00C66C24" w:rsidRDefault="000F422A" w:rsidP="008C6A9C">
      <w:pPr>
        <w:pStyle w:val="Caption"/>
        <w:spacing w:after="0" w:line="257" w:lineRule="auto"/>
        <w:jc w:val="center"/>
        <w:rPr>
          <w:sz w:val="20"/>
          <w:szCs w:val="20"/>
        </w:rPr>
      </w:pPr>
      <w:bookmarkStart w:id="107" w:name="_Ref157423356"/>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17</w:t>
      </w:r>
      <w:r w:rsidR="00A81F61" w:rsidRPr="00C66C24">
        <w:rPr>
          <w:sz w:val="20"/>
          <w:szCs w:val="20"/>
        </w:rPr>
        <w:fldChar w:fldCharType="end"/>
      </w:r>
      <w:bookmarkEnd w:id="107"/>
      <w:r w:rsidRPr="00C66C24">
        <w:rPr>
          <w:sz w:val="20"/>
          <w:szCs w:val="20"/>
        </w:rPr>
        <w:t xml:space="preserve"> Black carbon emissions for the Arctic Ocean, 2015-2022.</w:t>
      </w:r>
    </w:p>
    <w:p w14:paraId="2AA24F35" w14:textId="5684694D" w:rsidR="00595560" w:rsidRPr="00C66C24" w:rsidRDefault="00595560" w:rsidP="008C6A9C">
      <w:pPr>
        <w:spacing w:before="0" w:after="0" w:line="257" w:lineRule="auto"/>
        <w:jc w:val="center"/>
        <w:rPr>
          <w:sz w:val="20"/>
          <w:szCs w:val="20"/>
        </w:rPr>
      </w:pPr>
      <w:r w:rsidRPr="00C66C24">
        <w:rPr>
          <w:rFonts w:ascii="Calibri" w:eastAsia="Calibri" w:hAnsi="Calibri" w:cs="Calibri"/>
          <w:color w:val="000000" w:themeColor="text1"/>
          <w:sz w:val="20"/>
          <w:szCs w:val="20"/>
        </w:rPr>
        <w:t>Source: STEAM</w:t>
      </w:r>
      <w:r w:rsidR="00434AF0" w:rsidRPr="00C66C24">
        <w:rPr>
          <w:sz w:val="20"/>
          <w:szCs w:val="20"/>
        </w:rPr>
        <w:t>, FMI.</w:t>
      </w:r>
    </w:p>
    <w:p w14:paraId="2FC57D1F" w14:textId="77777777" w:rsidR="00EE116F" w:rsidRPr="00C66C24" w:rsidRDefault="00EE116F" w:rsidP="008C6A9C">
      <w:pPr>
        <w:spacing w:line="257" w:lineRule="auto"/>
      </w:pPr>
    </w:p>
    <w:p w14:paraId="465DD212" w14:textId="77777777" w:rsidR="00F47AC5" w:rsidRPr="00C66C24" w:rsidRDefault="00C03F7C" w:rsidP="00CD602A">
      <w:pPr>
        <w:keepNext/>
        <w:spacing w:line="257" w:lineRule="auto"/>
        <w:jc w:val="center"/>
      </w:pPr>
      <w:r w:rsidRPr="00C66C24">
        <w:rPr>
          <w:noProof/>
        </w:rPr>
        <w:drawing>
          <wp:inline distT="0" distB="0" distL="0" distR="0" wp14:anchorId="488ED3FA" wp14:editId="2A66FFC1">
            <wp:extent cx="5391785" cy="271716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91785" cy="2717165"/>
                    </a:xfrm>
                    <a:prstGeom prst="rect">
                      <a:avLst/>
                    </a:prstGeom>
                    <a:noFill/>
                    <a:ln>
                      <a:noFill/>
                    </a:ln>
                  </pic:spPr>
                </pic:pic>
              </a:graphicData>
            </a:graphic>
          </wp:inline>
        </w:drawing>
      </w:r>
    </w:p>
    <w:p w14:paraId="1850E524" w14:textId="3F06954D" w:rsidR="00EE116F" w:rsidRPr="00C66C24" w:rsidRDefault="00F47AC5" w:rsidP="008C6A9C">
      <w:pPr>
        <w:pStyle w:val="Caption"/>
        <w:spacing w:after="0" w:line="257" w:lineRule="auto"/>
        <w:jc w:val="center"/>
        <w:rPr>
          <w:sz w:val="20"/>
          <w:szCs w:val="20"/>
        </w:rPr>
      </w:pPr>
      <w:bookmarkStart w:id="108" w:name="_Ref151111314"/>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8F63FA" w:rsidRPr="00C66C24">
        <w:rPr>
          <w:noProof/>
          <w:sz w:val="20"/>
          <w:szCs w:val="20"/>
        </w:rPr>
        <w:t>18</w:t>
      </w:r>
      <w:r w:rsidR="00A81F61" w:rsidRPr="00C66C24">
        <w:rPr>
          <w:sz w:val="20"/>
          <w:szCs w:val="20"/>
        </w:rPr>
        <w:fldChar w:fldCharType="end"/>
      </w:r>
      <w:bookmarkEnd w:id="108"/>
      <w:r w:rsidR="00EE116F" w:rsidRPr="00C66C24">
        <w:rPr>
          <w:sz w:val="20"/>
          <w:szCs w:val="20"/>
        </w:rPr>
        <w:t xml:space="preserve"> BC specific emissions from selected freight and passenger ship types in (mg/</w:t>
      </w:r>
      <w:proofErr w:type="spellStart"/>
      <w:r w:rsidR="00EE116F" w:rsidRPr="00C66C24">
        <w:rPr>
          <w:sz w:val="20"/>
          <w:szCs w:val="20"/>
        </w:rPr>
        <w:t>tkm</w:t>
      </w:r>
      <w:proofErr w:type="spellEnd"/>
      <w:r w:rsidR="00EE116F" w:rsidRPr="00C66C24">
        <w:rPr>
          <w:sz w:val="20"/>
          <w:szCs w:val="20"/>
        </w:rPr>
        <w:t>) or (kg/km) respectively, between 2015 and 2022 in the EU.</w:t>
      </w:r>
    </w:p>
    <w:p w14:paraId="4F20F87E" w14:textId="4597196A" w:rsidR="00325F50" w:rsidRPr="00C66C24" w:rsidRDefault="00F37D90" w:rsidP="008C6A9C">
      <w:pPr>
        <w:pStyle w:val="Caption"/>
        <w:spacing w:after="120" w:line="257" w:lineRule="auto"/>
        <w:jc w:val="center"/>
        <w:rPr>
          <w:b w:val="0"/>
          <w:bCs/>
          <w:color w:val="000000" w:themeColor="text1"/>
          <w:sz w:val="20"/>
          <w:szCs w:val="20"/>
        </w:rPr>
      </w:pPr>
      <w:r w:rsidRPr="00C66C24">
        <w:rPr>
          <w:b w:val="0"/>
          <w:bCs/>
          <w:color w:val="000000" w:themeColor="text1"/>
          <w:sz w:val="20"/>
          <w:szCs w:val="20"/>
        </w:rPr>
        <w:t>Source: STEAM</w:t>
      </w:r>
      <w:r w:rsidR="00C21A56" w:rsidRPr="00C66C24">
        <w:rPr>
          <w:b w:val="0"/>
          <w:bCs/>
          <w:color w:val="000000" w:themeColor="text1"/>
          <w:sz w:val="20"/>
          <w:szCs w:val="20"/>
        </w:rPr>
        <w:t>, FMI</w:t>
      </w:r>
      <w:r w:rsidR="00434AF0" w:rsidRPr="00C66C24">
        <w:rPr>
          <w:b w:val="0"/>
          <w:bCs/>
          <w:color w:val="000000" w:themeColor="text1"/>
          <w:sz w:val="20"/>
          <w:szCs w:val="20"/>
        </w:rPr>
        <w:t>.</w:t>
      </w:r>
    </w:p>
    <w:p w14:paraId="3EE9EB97" w14:textId="64BE894C" w:rsidR="00F6426E" w:rsidRPr="00C66C24" w:rsidRDefault="00F6426E" w:rsidP="006858DE">
      <w:pPr>
        <w:spacing w:before="0" w:after="0" w:line="257" w:lineRule="auto"/>
      </w:pPr>
      <w:r w:rsidRPr="00C66C24">
        <w:t>Over the time period considered, tankers, cargo ships and container ships had the lowest yearly emission with 0.131 mg/</w:t>
      </w:r>
      <w:proofErr w:type="spellStart"/>
      <w:r w:rsidRPr="00C66C24">
        <w:t>tkm</w:t>
      </w:r>
      <w:proofErr w:type="spellEnd"/>
      <w:r w:rsidRPr="00C66C24">
        <w:t>, 0.147 mg/</w:t>
      </w:r>
      <w:proofErr w:type="spellStart"/>
      <w:r w:rsidRPr="00C66C24">
        <w:t>tkm</w:t>
      </w:r>
      <w:proofErr w:type="spellEnd"/>
      <w:r w:rsidRPr="00C66C24">
        <w:t>, 0.241 mg/</w:t>
      </w:r>
      <w:proofErr w:type="spellStart"/>
      <w:r w:rsidRPr="00C66C24">
        <w:t>tkm</w:t>
      </w:r>
      <w:proofErr w:type="spellEnd"/>
      <w:r w:rsidRPr="00C66C24">
        <w:t>. By comparison, vehicle carriers emitted up to 0.331 mg/</w:t>
      </w:r>
      <w:proofErr w:type="spellStart"/>
      <w:r w:rsidRPr="00C66C24">
        <w:t>tkm</w:t>
      </w:r>
      <w:proofErr w:type="spellEnd"/>
      <w:r w:rsidR="00E35E02" w:rsidRPr="00C66C24">
        <w:t xml:space="preserve"> (</w:t>
      </w:r>
      <w:r w:rsidR="006B3F21" w:rsidRPr="00C66C24">
        <w:t xml:space="preserve">see </w:t>
      </w:r>
      <w:r w:rsidR="00E35E02" w:rsidRPr="00C66C24">
        <w:fldChar w:fldCharType="begin"/>
      </w:r>
      <w:r w:rsidR="00E35E02" w:rsidRPr="00C66C24">
        <w:instrText xml:space="preserve"> REF _Ref151111314 \h </w:instrText>
      </w:r>
      <w:r w:rsidR="0078369F" w:rsidRPr="00C66C24">
        <w:instrText xml:space="preserve"> \* MERGEFORMAT </w:instrText>
      </w:r>
      <w:r w:rsidR="00E35E02" w:rsidRPr="00C66C24">
        <w:fldChar w:fldCharType="separate"/>
      </w:r>
      <w:r w:rsidR="006D267A" w:rsidRPr="00C66C24">
        <w:t>Figure 2.18</w:t>
      </w:r>
      <w:r w:rsidR="00E35E02" w:rsidRPr="00C66C24">
        <w:fldChar w:fldCharType="end"/>
      </w:r>
      <w:r w:rsidR="00E35E02" w:rsidRPr="00C66C24">
        <w:t>)</w:t>
      </w:r>
      <w:r w:rsidRPr="00C66C24">
        <w:t>.</w:t>
      </w:r>
    </w:p>
    <w:p w14:paraId="2EFFD653" w14:textId="4DA8C1AE" w:rsidR="00EE116F" w:rsidRPr="00C66C24" w:rsidRDefault="00EE116F" w:rsidP="006858DE">
      <w:pPr>
        <w:spacing w:before="0" w:after="0" w:line="257" w:lineRule="auto"/>
      </w:pPr>
      <w:r w:rsidRPr="00C66C24">
        <w:t xml:space="preserve">BC specific emissions have been declining for all these ship types during the period considered. In particular, they decreased by 55% for cargo and containers, 56% for tankers and 40% for vehicle carrier vessels. This is related to a combination of factors, including the increased average payload transported as well as </w:t>
      </w:r>
      <w:r w:rsidR="006C1FBC">
        <w:t xml:space="preserve">possibly </w:t>
      </w:r>
      <w:r w:rsidRPr="00C66C24">
        <w:t>the introduction of new policies</w:t>
      </w:r>
      <w:r w:rsidR="006B3F21" w:rsidRPr="00C66C24">
        <w:t xml:space="preserve"> </w:t>
      </w:r>
      <w:r w:rsidRPr="00C66C24">
        <w:t xml:space="preserve">such as Global Sulphur Cap. For reference, in the same region and timeframe, the payload carried increased respectively by 39%, 22%, 44% and 8%. </w:t>
      </w:r>
    </w:p>
    <w:p w14:paraId="27CDF928" w14:textId="77777777" w:rsidR="00EE116F" w:rsidRPr="00C66C24" w:rsidRDefault="00EE116F" w:rsidP="006858DE">
      <w:pPr>
        <w:spacing w:before="0" w:after="0" w:line="257" w:lineRule="auto"/>
      </w:pPr>
      <w:r w:rsidRPr="00C66C24">
        <w:t>Specific emissions of cruisers in Europe have been decreasing by 32% during the period considered, with an increase in the distance travelled of 21% and a decrease of absolute emissions of 19%. The situation is different for passenger ships for which emissions have increased by 32% with a relatively modest increase of 3% in the distance travelled, in absolute emissions, passenger ships black carbon emissions increased by 36.</w:t>
      </w:r>
    </w:p>
    <w:p w14:paraId="548B72F4" w14:textId="550314EE" w:rsidR="00EE116F" w:rsidRPr="00C66C24" w:rsidRDefault="00EE116F" w:rsidP="006858DE">
      <w:pPr>
        <w:spacing w:before="0" w:after="0" w:line="257" w:lineRule="auto"/>
      </w:pPr>
      <w:r w:rsidRPr="00C66C24">
        <w:t>Finally, the average emissions per ship of fishing vessels decreased by 37% from 2015. It is noted that the fishing fleet has slightly decreased its emissions over the same period by 7%, while the absolute BC emissions have decreased by 41%.</w:t>
      </w:r>
    </w:p>
    <w:p w14:paraId="04C5CB6B" w14:textId="164A7847" w:rsidR="00EE116F" w:rsidRPr="00C66C24" w:rsidRDefault="00EE116F" w:rsidP="006858DE">
      <w:pPr>
        <w:spacing w:before="0" w:after="120" w:line="257" w:lineRule="auto"/>
        <w:rPr>
          <w:rFonts w:ascii="Calibri" w:eastAsia="Calibri" w:hAnsi="Calibri" w:cs="Calibri"/>
          <w:color w:val="000000" w:themeColor="text1"/>
        </w:rPr>
      </w:pPr>
      <w:r w:rsidRPr="00C66C24">
        <w:rPr>
          <w:rFonts w:ascii="Calibri" w:eastAsia="Calibri" w:hAnsi="Calibri" w:cs="Calibri"/>
          <w:color w:val="000000" w:themeColor="text1"/>
        </w:rPr>
        <w:t>It has been estimated that low sulphur fuels would reduce the emission of black carbon in 30-80% when compared with conventional high sulphur fuels</w:t>
      </w:r>
      <w:r w:rsidR="00C03F7C" w:rsidRPr="00C66C24">
        <w:rPr>
          <w:rFonts w:ascii="Calibri" w:eastAsia="Calibri" w:hAnsi="Calibri" w:cs="Calibri"/>
          <w:color w:val="000000" w:themeColor="text1"/>
        </w:rPr>
        <w:t xml:space="preserve"> </w:t>
      </w:r>
      <w:r w:rsidR="00C13213"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{"citationID":"a2f321fogh4","properties":{"formattedCitation":"(Lack &amp; Corbett, 2012)","plainCitation":"(Lack &amp; Corbett, 2012)","noteIndex":0},"citationItems":[{"id":59317,"uris":["http://zotero.org/groups/122386/items/MPUHEY2S"],"itemData":{"id":59317,"type":"article-journal","abstract":"Abstract. The International Maritime Organization (IMO) has moved to address the health and climate impact of the emissions from the combustion of low-quality residual fuels within the commercial shipping industry. Fuel sulfur content (FS) limits and an efficiency design index for future ships are examples of such IMO actions. The impacts of black carbon (BC) emissions from shipping are now under review by the IMO, with a particular focus on the potential impacts of future Arctic shipping.  Recognizing that associating impacts with BC emissions requires both ambient and onboard observations, we provide recommendations for the measurement of BC. We also evaluate current insights regarding the effect of ship speed (engine load), fuel quality and exhaust gas scrubbing on BC emissions from ships. Observations demonstrate that BC emission factors (EFBC) increases 3 to 6 times at very low engine loads (&lt;25% compared to EFBC at 85–100% load); absolute BC emissions (per nautical mile of travel) also increase up to 100% depending on engine load, even with reduced load fuel savings. If fleets were required to operate at lower maximum engine loads, presumably associated with reduced speeds, then engines could be re-tuned, which would reduce BC emissions.  Ships operating in the Arctic are likely running at highly variable engine loads (25–100%) depending on ice conditions and ice breaking requirements. The ships operating at low load may be emitting up to 50% more BC than they would at their rated load. Such variable load conditions make it difficult to assess the likely emissions rate of BC.  Current fuel sulfur regulations have the effect of reducing EFBC by an average of 30% and potentially up to 80% regardless of engine load; a removal rate similar to that of scrubbers.  Uncertainties among current observations demonstrate there is a need for more information on a) the impact of fuel quality on EFBC using robust measurement methods and b) the efficacy of scrubbers for the removal of particulate matter by size and composition.","container-title":"Atmospheric Chemistry and Physics","DOI":"10.5194/acp-12-3985-2012","ISSN":"1680-7324","issue":"9","journalAbbreviation":"Atmos. Chem. Phys.","language":"en","page":"3985-4000","source":"DOI.org (Crossref)","title":"Black carbon from ships: a review of the effects of ship speed, fuel quality and exhaust gas scrubbing","title-short":"Black carbon from ships","volume":"12","author":[{"family":"Lack","given":"D. A."},{"family":"Corbett","given":"J. J."}],"issued":{"date-parts":[["2012",5,4]]}}}],"schema":"https://github.com/citation-style-language/schema/raw/master/csl-citation.json"} </w:instrText>
      </w:r>
      <w:r w:rsidR="00C13213" w:rsidRPr="00C66C24">
        <w:rPr>
          <w:rFonts w:ascii="Calibri" w:eastAsia="Calibri" w:hAnsi="Calibri" w:cs="Calibri"/>
          <w:color w:val="000000" w:themeColor="text1"/>
        </w:rPr>
        <w:fldChar w:fldCharType="separate"/>
      </w:r>
      <w:r w:rsidR="001855E3" w:rsidRPr="00C66C24">
        <w:rPr>
          <w:rFonts w:ascii="Calibri" w:hAnsi="Calibri" w:cs="Calibri"/>
        </w:rPr>
        <w:t>(Lack &amp; Corbett, 2012)</w:t>
      </w:r>
      <w:r w:rsidR="00C13213" w:rsidRPr="00C66C24">
        <w:rPr>
          <w:rFonts w:ascii="Calibri" w:eastAsia="Calibri" w:hAnsi="Calibri" w:cs="Calibri"/>
          <w:color w:val="000000" w:themeColor="text1"/>
        </w:rPr>
        <w:fldChar w:fldCharType="end"/>
      </w:r>
      <w:r w:rsidR="00C03F7C" w:rsidRPr="00C66C24">
        <w:rPr>
          <w:rFonts w:ascii="Calibri" w:eastAsia="Calibri" w:hAnsi="Calibri" w:cs="Calibri"/>
          <w:color w:val="000000" w:themeColor="text1"/>
        </w:rPr>
        <w:t>, although sulphur in fuels contributes to the creation of particulate matter</w:t>
      </w:r>
      <w:r w:rsidR="00654AC2" w:rsidRPr="00C66C24">
        <w:rPr>
          <w:rFonts w:ascii="Calibri" w:eastAsia="Calibri" w:hAnsi="Calibri" w:cs="Calibri"/>
          <w:color w:val="000000" w:themeColor="text1"/>
        </w:rPr>
        <w:t>,</w:t>
      </w:r>
      <w:r w:rsidR="00C03F7C" w:rsidRPr="00C66C24">
        <w:rPr>
          <w:rFonts w:ascii="Calibri" w:eastAsia="Calibri" w:hAnsi="Calibri" w:cs="Calibri"/>
          <w:color w:val="000000" w:themeColor="text1"/>
        </w:rPr>
        <w:t xml:space="preserve"> studies has shown that reducing sulphur content may not necessarily always reduce black carbon emissions. Low sulphur fuel blends, while reducing sulphur oxides emissions, may actually produce more black carbon </w:t>
      </w:r>
      <w:r w:rsidR="009C6C97" w:rsidRPr="00C66C24">
        <w:rPr>
          <w:rFonts w:ascii="Calibri" w:eastAsia="Calibri" w:hAnsi="Calibri" w:cs="Calibri"/>
          <w:color w:val="000000" w:themeColor="text1"/>
        </w:rPr>
        <w:fldChar w:fldCharType="begin"/>
      </w:r>
      <w:r w:rsidR="00D9530C" w:rsidRPr="00C66C24">
        <w:rPr>
          <w:rFonts w:ascii="Calibri" w:eastAsia="Calibri" w:hAnsi="Calibri" w:cs="Calibri"/>
          <w:color w:val="000000" w:themeColor="text1"/>
        </w:rPr>
        <w:instrText xml:space="preserve"> ADDIN ZOTERO_ITEM CSL_CITATION {"citationID":"E4Q3HbCJ","properties":{"formattedCitation":"(ICCT, 2019)","plainCitation":"(ICCT, 2019)","noteIndex":0},"citationItems":[{"id":277,"uris":["http://zotero.org/groups/122386/items/Z7YAPQVG"],"itemData":{"id":277,"type":"report","event-place":"USA","number":"6th","page":"22","publisher":"International Council on Clean Transportation","publisher-place":"USA","title":"6th Workshop on marine black carbon emissions","URL":"https://theicct.org/event/6th-workshop-on-marine-black-carbon-emissions/","author":[{"family":"ICCT","given":""}],"issued":{"date-parts":[["2019"]]}}}],"schema":"https://github.com/citation-style-language/schema/raw/master/csl-citation.json"} </w:instrText>
      </w:r>
      <w:r w:rsidR="009C6C97" w:rsidRPr="00C66C24">
        <w:rPr>
          <w:rFonts w:ascii="Calibri" w:eastAsia="Calibri" w:hAnsi="Calibri" w:cs="Calibri"/>
          <w:color w:val="000000" w:themeColor="text1"/>
        </w:rPr>
        <w:fldChar w:fldCharType="separate"/>
      </w:r>
      <w:r w:rsidR="009C6C97" w:rsidRPr="00C66C24">
        <w:rPr>
          <w:rFonts w:ascii="Calibri" w:hAnsi="Calibri" w:cs="Calibri"/>
        </w:rPr>
        <w:t>(ICCT, 2019)</w:t>
      </w:r>
      <w:r w:rsidR="009C6C97" w:rsidRPr="00C66C24">
        <w:rPr>
          <w:rFonts w:ascii="Calibri" w:eastAsia="Calibri" w:hAnsi="Calibri" w:cs="Calibri"/>
          <w:color w:val="000000" w:themeColor="text1"/>
        </w:rPr>
        <w:fldChar w:fldCharType="end"/>
      </w:r>
      <w:r w:rsidR="009C6C97" w:rsidRPr="00C66C24">
        <w:rPr>
          <w:rFonts w:ascii="Calibri" w:eastAsia="Calibri" w:hAnsi="Calibri" w:cs="Calibri"/>
          <w:color w:val="000000" w:themeColor="text1"/>
        </w:rPr>
        <w:t xml:space="preserve">. Some new fuel blends designed to meet IMO’s 2020 0.50% sulphur regulation have higher aromatic contents, which result in higher black carbon emissions when burned than low-aromatic distillate fuels such as marine gas oil. A Finland-Germany joint study confirmed a correlation between higher aromatics and higher black carbon emissions </w:t>
      </w:r>
      <w:r w:rsidR="009C6C97" w:rsidRPr="00C66C24">
        <w:rPr>
          <w:rFonts w:ascii="Calibri" w:eastAsia="Calibri" w:hAnsi="Calibri" w:cs="Calibri"/>
          <w:color w:val="000000" w:themeColor="text1"/>
        </w:rPr>
        <w:fldChar w:fldCharType="begin"/>
      </w:r>
      <w:r w:rsidR="00D9530C" w:rsidRPr="00C66C24">
        <w:rPr>
          <w:rFonts w:ascii="Calibri" w:eastAsia="Calibri" w:hAnsi="Calibri" w:cs="Calibri"/>
          <w:color w:val="000000" w:themeColor="text1"/>
        </w:rPr>
        <w:instrText xml:space="preserve"> ADDIN ZOTERO_ITEM CSL_CITATION {"citationID":"sYc9rD1i","properties":{"formattedCitation":"(IMO, 2019, p. 7)","plainCitation":"(IMO, 2019, p. 7)","dontUpdate":true,"noteIndex":0},"citationItems":[{"id":276,"uris":["http://zotero.org/groups/122386/items/H5ZSRBEY"],"itemData":{"id":276,"type":"document","publisher":"International Maritime Organization","title":"PPR 7/8. Initial Results of Black Carbon measurement campaign with emphasis on the impact of the fuel oil quality on black carbon emissions","author":[{"family":"IMO","given":""}],"issued":{"date-parts":[["2019"]]}},"locator":"7"}],"schema":"https://github.com/citation-style-language/schema/raw/master/csl-citation.json"} </w:instrText>
      </w:r>
      <w:r w:rsidR="009C6C97" w:rsidRPr="00C66C24">
        <w:rPr>
          <w:rFonts w:ascii="Calibri" w:eastAsia="Calibri" w:hAnsi="Calibri" w:cs="Calibri"/>
          <w:color w:val="000000" w:themeColor="text1"/>
        </w:rPr>
        <w:fldChar w:fldCharType="separate"/>
      </w:r>
      <w:r w:rsidR="009C6C97" w:rsidRPr="00C66C24">
        <w:rPr>
          <w:rFonts w:ascii="Calibri" w:hAnsi="Calibri" w:cs="Calibri"/>
        </w:rPr>
        <w:t xml:space="preserve">(IMO, </w:t>
      </w:r>
      <w:r w:rsidR="00F21439">
        <w:rPr>
          <w:rFonts w:ascii="Calibri" w:hAnsi="Calibri" w:cs="Calibri"/>
        </w:rPr>
        <w:t>2019b</w:t>
      </w:r>
      <w:r w:rsidR="009C6C97" w:rsidRPr="0007382B">
        <w:rPr>
          <w:rFonts w:ascii="Calibri" w:hAnsi="Calibri" w:cs="Calibri"/>
        </w:rPr>
        <w:t xml:space="preserve"> </w:t>
      </w:r>
      <w:r w:rsidR="009C6C97" w:rsidRPr="00C66C24">
        <w:rPr>
          <w:rFonts w:ascii="Calibri" w:hAnsi="Calibri" w:cs="Calibri"/>
        </w:rPr>
        <w:t>)</w:t>
      </w:r>
      <w:r w:rsidR="009C6C97" w:rsidRPr="00C66C24">
        <w:rPr>
          <w:rFonts w:ascii="Calibri" w:eastAsia="Calibri" w:hAnsi="Calibri" w:cs="Calibri"/>
          <w:color w:val="000000" w:themeColor="text1"/>
        </w:rPr>
        <w:fldChar w:fldCharType="end"/>
      </w:r>
      <w:r w:rsidR="00C03F7C" w:rsidRPr="00C66C24">
        <w:rPr>
          <w:rFonts w:ascii="Calibri" w:eastAsia="Calibri" w:hAnsi="Calibri" w:cs="Calibri"/>
          <w:color w:val="000000" w:themeColor="text1"/>
        </w:rPr>
        <w:t>.</w:t>
      </w:r>
    </w:p>
    <w:p w14:paraId="728423AD" w14:textId="77777777" w:rsidR="00EC57DD" w:rsidRPr="00C66C24" w:rsidRDefault="00EC57DD" w:rsidP="008C6A9C">
      <w:pPr>
        <w:spacing w:before="0" w:after="0" w:line="257" w:lineRule="auto"/>
        <w:rPr>
          <w:u w:val="single"/>
        </w:rPr>
      </w:pPr>
      <w:bookmarkStart w:id="109" w:name="_Hlk156502286"/>
      <w:r w:rsidRPr="00C66C24">
        <w:rPr>
          <w:u w:val="single"/>
        </w:rPr>
        <w:t xml:space="preserve">Ozone depleting substances and fluorinated </w:t>
      </w:r>
      <w:r w:rsidR="009C4179" w:rsidRPr="00C66C24">
        <w:rPr>
          <w:u w:val="single"/>
        </w:rPr>
        <w:t xml:space="preserve">greenhouse </w:t>
      </w:r>
      <w:r w:rsidRPr="00C66C24">
        <w:rPr>
          <w:u w:val="single"/>
        </w:rPr>
        <w:t>gases (ODS and F-gases)</w:t>
      </w:r>
    </w:p>
    <w:p w14:paraId="52599178" w14:textId="67143D51" w:rsidR="00EC57DD" w:rsidRPr="00C66C24" w:rsidRDefault="00EC57DD" w:rsidP="008C6A9C">
      <w:pPr>
        <w:spacing w:before="0" w:after="0" w:line="257" w:lineRule="auto"/>
      </w:pPr>
      <w:r w:rsidRPr="00C66C24">
        <w:t>In the maritime sector, emissions of ozone depleting substances (ODS) and fluorinated gases (F-gases) into the atmosphere can occur due to the use of refrigeration and air-conditioning systems onboard vessels. These are estimated to amount to approximately 18.2 million tons of CO</w:t>
      </w:r>
      <w:r w:rsidRPr="00C66C24">
        <w:rPr>
          <w:vertAlign w:val="subscript"/>
        </w:rPr>
        <w:t>2</w:t>
      </w:r>
      <w:r w:rsidRPr="00B36320">
        <w:rPr>
          <w:vertAlign w:val="subscript"/>
        </w:rPr>
        <w:t>e</w:t>
      </w:r>
      <w:r w:rsidRPr="00C66C24">
        <w:t>, i.e.</w:t>
      </w:r>
      <w:r w:rsidRPr="00C66C24">
        <w:rPr>
          <w:rStyle w:val="FootnoteReference"/>
        </w:rPr>
        <w:t xml:space="preserve"> </w:t>
      </w:r>
      <w:r w:rsidRPr="00C66C24">
        <w:t xml:space="preserve">ca. </w:t>
      </w:r>
      <w:r w:rsidR="00B55890" w:rsidRPr="00C66C24">
        <w:t>15% of the total EU F-gas emissions (based on EU NIR UNFCCC F-gas emissions for the same year)</w:t>
      </w:r>
      <w:r w:rsidR="00646CA3" w:rsidRPr="00C66C24">
        <w:t xml:space="preserve"> </w:t>
      </w:r>
      <w:r w:rsidR="001817BD" w:rsidRPr="00C66C24">
        <w:fldChar w:fldCharType="begin"/>
      </w:r>
      <w:r w:rsidR="001855E3" w:rsidRPr="00C66C24">
        <w:instrText xml:space="preserve"> ADDIN ZOTERO_ITEM CSL_CITATION {"citationID":"a6n2ujp861","properties":{"formattedCitation":"\\uldash{(IMO, 2020)}","plainCitation":"(IMO, 2020)","dontUpdate":true,"noteIndex":0},"citationItems":[{"id":1068,"uris":["http://zotero.org/groups/122386/items/HJNG5DQJ"],"itemData":{"id":1068,"type":"report","event-place":"London, UK","publisher":"International Maritime Organization","publisher-place":"London, UK","title":"Fourth IMO greenhouse gas study","URL":"https://wwwcdn.imo.org/localresources/en/OurWork/Environment/Documents/Fourth%20IMO%20GHG%20Study%202020%20-%20Full%20report%20and%20annexes.pdf","author":[{"literal":"IMO"}],"accessed":{"date-parts":[["2020",12,20]]},"issued":{"date-parts":[["2020"]]}}}],"schema":"https://github.com/citation-style-language/schema/raw/master/csl-citation.json"} </w:instrText>
      </w:r>
      <w:r w:rsidR="001817BD" w:rsidRPr="00C66C24">
        <w:fldChar w:fldCharType="separate"/>
      </w:r>
      <w:r w:rsidR="00E442B1" w:rsidRPr="00C66C24">
        <w:rPr>
          <w:rFonts w:ascii="Calibri" w:hAnsi="Calibri" w:cs="Calibri"/>
        </w:rPr>
        <w:t>(IMO, 2020</w:t>
      </w:r>
      <w:r w:rsidR="00792E0A" w:rsidRPr="00C66C24">
        <w:rPr>
          <w:rFonts w:ascii="Calibri" w:hAnsi="Calibri" w:cs="Calibri"/>
        </w:rPr>
        <w:t>a</w:t>
      </w:r>
      <w:r w:rsidR="00E442B1" w:rsidRPr="00C66C24">
        <w:rPr>
          <w:rFonts w:ascii="Calibri" w:hAnsi="Calibri" w:cs="Calibri"/>
        </w:rPr>
        <w:t>)</w:t>
      </w:r>
      <w:r w:rsidR="001817BD" w:rsidRPr="00C66C24">
        <w:fldChar w:fldCharType="end"/>
      </w:r>
      <w:r w:rsidRPr="00C66C24">
        <w:t>. F-gases often show high global warming potentials which are up to several thousand times higher than the climate impact of CO</w:t>
      </w:r>
      <w:r w:rsidRPr="00C66C24">
        <w:rPr>
          <w:vertAlign w:val="subscript"/>
        </w:rPr>
        <w:t>2</w:t>
      </w:r>
      <w:r w:rsidRPr="00C66C24">
        <w:t>.</w:t>
      </w:r>
    </w:p>
    <w:p w14:paraId="512E788B" w14:textId="176A9498" w:rsidR="00EC57DD" w:rsidRPr="00C66C24" w:rsidRDefault="00EA0700" w:rsidP="008C6A9C">
      <w:pPr>
        <w:spacing w:before="0" w:after="0" w:line="257" w:lineRule="auto"/>
      </w:pPr>
      <w:r w:rsidRPr="00C66C24">
        <w:t>These</w:t>
      </w:r>
      <w:r w:rsidR="00B55890" w:rsidRPr="00C66C24">
        <w:t xml:space="preserve"> emissions </w:t>
      </w:r>
      <w:r w:rsidR="00721F12" w:rsidRPr="00C66C24">
        <w:t>can</w:t>
      </w:r>
      <w:r w:rsidR="00B55890" w:rsidRPr="00C66C24">
        <w:t xml:space="preserve"> result from high annual leakage of the cooling systems deployed. </w:t>
      </w:r>
      <w:r w:rsidR="00D90751" w:rsidRPr="00C66C24">
        <w:t>R</w:t>
      </w:r>
      <w:r w:rsidR="00B55890" w:rsidRPr="00C66C24">
        <w:t>esearch from</w:t>
      </w:r>
      <w:r w:rsidR="00B25BDA" w:rsidRPr="00C66C24">
        <w:t xml:space="preserve"> the </w:t>
      </w:r>
      <w:r w:rsidR="005635A6" w:rsidRPr="00C66C24">
        <w:t>United</w:t>
      </w:r>
      <w:r w:rsidR="00B25BDA" w:rsidRPr="00C66C24">
        <w:t xml:space="preserve"> Nations Environment Programme</w:t>
      </w:r>
      <w:r w:rsidR="00B55890" w:rsidRPr="00C66C24">
        <w:t xml:space="preserve"> </w:t>
      </w:r>
      <w:r w:rsidR="00787277" w:rsidRPr="00C66C24">
        <w:fldChar w:fldCharType="begin"/>
      </w:r>
      <w:r w:rsidR="001855E3" w:rsidRPr="00C66C24">
        <w:instrText xml:space="preserve"> ADDIN ZOTERO_ITEM CSL_CITATION {"citationID":"aqe01n6qs9","properties":{"formattedCitation":"(UNEP, 2011)","plainCitation":"(UNEP, 2011)","noteIndex":0},"citationItems":[{"id":53789,"uris":["http://zotero.org/groups/122386/items/PG4R4SG7"],"itemData":{"id":53789,"type":"report","language":"EN","publisher":"United Nations Environment Programme","title":"Report of the Technology and Economic Assessment Panel","URL":"https://ozone.unep.org/sites/default/files/2019-05/TEAP_Progress_Report_May_2011.pdf","author":[{"literal":"UNEP"}],"issued":{"date-parts":[["2011",5]]}}}],"schema":"https://github.com/citation-style-language/schema/raw/master/csl-citation.json"} </w:instrText>
      </w:r>
      <w:r w:rsidR="00787277" w:rsidRPr="00C66C24">
        <w:fldChar w:fldCharType="separate"/>
      </w:r>
      <w:r w:rsidR="001855E3" w:rsidRPr="00C66C24">
        <w:rPr>
          <w:rFonts w:ascii="Calibri" w:hAnsi="Calibri" w:cs="Calibri"/>
        </w:rPr>
        <w:t>(UNEP, 2011)</w:t>
      </w:r>
      <w:r w:rsidR="00787277" w:rsidRPr="00C66C24">
        <w:fldChar w:fldCharType="end"/>
      </w:r>
      <w:r w:rsidR="00B55890" w:rsidRPr="00C66C24">
        <w:t xml:space="preserve"> and the European Commission </w:t>
      </w:r>
      <w:r w:rsidR="00C635CE" w:rsidRPr="00C66C24">
        <w:fldChar w:fldCharType="begin"/>
      </w:r>
      <w:r w:rsidR="001855E3" w:rsidRPr="00C66C24">
        <w:instrText xml:space="preserve"> ADDIN ZOTERO_ITEM CSL_CITATION {"citationID":"a18p46nggcb","properties":{"formattedCitation":"(Birchby et al., 2022; Schwarz &amp; Rhiemeier, 2007)","plainCitation":"(Birchby et al., 2022; Schwarz &amp; Rhiemeier, 2007)","noteIndex":0},"citationItems":[{"id":59319,"uris":["http://zotero.org/groups/122386/items/L9HVI2RM"],"itemData":{"id":59319,"type":"report","abstract":"his report presents the findings of ‘Task 2: Evaluate current EU F-gas policy’ under the Support con tract for an Evaluation and Impact Assessment for amending Regulation (EC) No 517/2014 on fluori nated greenhouse gases (hereinafter: ‘Regulation’). The study involved a detailed review and analysis \nof available literature and datasets. The study also gathered evidence and views from EU Member \nStates, industry, NGOs and other stakeholders on the functioning of the Regulation through an open \npublic consultation, targeted stakeholder interviews and workshop. This report summarises the evi dence base and presents the consultants' conclusions as input to the Commission's Staff Working Doc ument. The analysis is structured under the five evaluation themes of effectiveness, efficiency, rele vance, coherence and EU added value, and the eleven more detailed evaluation questions (and multi ple sub-questions) under these themes. Conclusions are drawn about the overall performance of the \nRegulation, what progress has been made towards its objectives and whether they are still relevant for \nthe current needs of the EU. Issues and challenges associated with implementation of the Regulation \nhave also been captured to present a comprehensive set of lessons learned to inform the impact as sessment task under the same support study contract.","publisher":"DG CLIMA","title":"Support contract for an Evaluation and Impact assessment for amending Regulation (EU) No 517/2014 on fluorinated greenhouse gases","URL":"https://climate.ec.europa.eu/system/files/2022-04/f-gas_evaluation_report_en.pdf","author":[{"family":"Birchby","given":"David"},{"family":"Dubey","given":"Jack"},{"family":"Johansen","given":"Becca"},{"family":"Hekman","given":"John"},{"family":"Gschrey","given":"Barbara"},{"family":"Behringer","given":"David"},{"family":"Kleinschmidt","given":"Julia"},{"family":"Jörß","given":"Wolfram"},{"family":"Liste","given":"Victoria"},{"family":"Ludig","given":"Sylvie"},{"family":"Wissner","given":"Nora"}],"issued":{"date-parts":[["2022"]]}}},{"id":53790,"uris":["http://zotero.org/groups/122386/items/PKMJEEEG"],"itemData":{"id":53790,"type":"report","publisher":"Öko-Recherche &amp; Ecofys","title":"The analysis of the emissions of fluorinated greenhouse  gases from refrigeration and air conditioning equipment  used in the transport sector other than road transport and  options for reducing these emissions.","URL":"https://climate.ec.europa.eu/system/files/2016-11/2_maritime_rail_aircraft_en.pdf","author":[{"family":"Schwarz","given":"Winfried"},{"family":"Rhiemeier","given":"Jan-Martin"}],"issued":{"date-parts":[["2007",11,2]]}}}],"schema":"https://github.com/citation-style-language/schema/raw/master/csl-citation.json"} </w:instrText>
      </w:r>
      <w:r w:rsidR="00C635CE" w:rsidRPr="00C66C24">
        <w:fldChar w:fldCharType="separate"/>
      </w:r>
      <w:r w:rsidR="001855E3" w:rsidRPr="00C66C24">
        <w:rPr>
          <w:rFonts w:ascii="Calibri" w:hAnsi="Calibri" w:cs="Calibri"/>
        </w:rPr>
        <w:t>(</w:t>
      </w:r>
      <w:proofErr w:type="spellStart"/>
      <w:r w:rsidR="001855E3" w:rsidRPr="00C66C24">
        <w:rPr>
          <w:rFonts w:ascii="Calibri" w:hAnsi="Calibri" w:cs="Calibri"/>
        </w:rPr>
        <w:t>Birchby</w:t>
      </w:r>
      <w:proofErr w:type="spellEnd"/>
      <w:r w:rsidR="001855E3" w:rsidRPr="00C66C24">
        <w:rPr>
          <w:rFonts w:ascii="Calibri" w:hAnsi="Calibri" w:cs="Calibri"/>
        </w:rPr>
        <w:t xml:space="preserve"> et al., 2022; Schwarz &amp; </w:t>
      </w:r>
      <w:proofErr w:type="spellStart"/>
      <w:r w:rsidR="001855E3" w:rsidRPr="00C66C24">
        <w:rPr>
          <w:rFonts w:ascii="Calibri" w:hAnsi="Calibri" w:cs="Calibri"/>
        </w:rPr>
        <w:t>Rhiemeier</w:t>
      </w:r>
      <w:proofErr w:type="spellEnd"/>
      <w:r w:rsidR="001855E3" w:rsidRPr="00C66C24">
        <w:rPr>
          <w:rFonts w:ascii="Calibri" w:hAnsi="Calibri" w:cs="Calibri"/>
        </w:rPr>
        <w:t>, 2007)</w:t>
      </w:r>
      <w:r w:rsidR="00C635CE" w:rsidRPr="00C66C24">
        <w:fldChar w:fldCharType="end"/>
      </w:r>
      <w:r w:rsidR="00C03F7C" w:rsidRPr="00C66C24">
        <w:t xml:space="preserve"> indicates that cooling systems on ships typically show an average leakage rate of 40%, which is several times higher than leak rates of stationary systems.</w:t>
      </w:r>
      <w:r w:rsidR="00EC57DD" w:rsidRPr="00C66C24">
        <w:t xml:space="preserve"> Ships exhibit specifically high emission rates due to many factors including: long piping systems, constant exposure to sea wave vibrations, motion, and insufficient crew expertise in refrigeration technologies so that leakage repair might not take place as needed. </w:t>
      </w:r>
      <w:r w:rsidR="00B55890" w:rsidRPr="00C66C24">
        <w:t>Limited onboard expertise poses challenges that are characteristic for the maritime sector, especially in case of maintenance and repair needs during extended voyages</w:t>
      </w:r>
      <w:r w:rsidR="00BD29D4" w:rsidRPr="00C66C24">
        <w:t xml:space="preserve"> </w:t>
      </w:r>
      <w:r w:rsidR="00485FA9" w:rsidRPr="00C66C24">
        <w:fldChar w:fldCharType="begin"/>
      </w:r>
      <w:r w:rsidR="001855E3" w:rsidRPr="00C66C24">
        <w:instrText xml:space="preserve"> ADDIN ZOTERO_ITEM CSL_CITATION {"citationID":"avfn9cbogq","properties":{"formattedCitation":"(UNEP, 2022)","plainCitation":"(UNEP, 2022)","noteIndex":0},"citationItems":[{"id":53791,"uris":["http://zotero.org/groups/122386/items/XNX4ZX38"],"itemData":{"id":53791,"type":"report","language":"EN","publisher":"United Nations Environment Programme","title":"Refrigeration, Air Conditioning and Heat Pumps Technical Options Committee 2022 Assessment Report","URL":"https://ozone.unep.org/system/files/documents/RTOC-assessment%20-report-2022.pdf","author":[{"literal":"UNEP"}],"issued":{"date-parts":[["2022"]]}}}],"schema":"https://github.com/citation-style-language/schema/raw/master/csl-citation.json"} </w:instrText>
      </w:r>
      <w:r w:rsidR="00485FA9" w:rsidRPr="00C66C24">
        <w:fldChar w:fldCharType="separate"/>
      </w:r>
      <w:r w:rsidR="001855E3" w:rsidRPr="00C66C24">
        <w:rPr>
          <w:rFonts w:ascii="Calibri" w:hAnsi="Calibri" w:cs="Calibri"/>
        </w:rPr>
        <w:t>(UNEP, 2022)</w:t>
      </w:r>
      <w:r w:rsidR="00485FA9" w:rsidRPr="00C66C24">
        <w:fldChar w:fldCharType="end"/>
      </w:r>
      <w:r w:rsidR="00EC57DD" w:rsidRPr="00C66C24">
        <w:t>.</w:t>
      </w:r>
      <w:r w:rsidR="00EC57DD" w:rsidRPr="00C66C24">
        <w:rPr>
          <w:rStyle w:val="FootnoteReference"/>
        </w:rPr>
        <w:t xml:space="preserve"> </w:t>
      </w:r>
      <w:r w:rsidR="00EC57DD" w:rsidRPr="00C66C24">
        <w:t xml:space="preserve">Technical data on the actual leakage rates of refrigeration and air conditioning systems on ships is usually not available. </w:t>
      </w:r>
    </w:p>
    <w:p w14:paraId="7ED33F10" w14:textId="46C03872" w:rsidR="00EC57DD" w:rsidRPr="00C66C24" w:rsidRDefault="009C4179" w:rsidP="008C6A9C">
      <w:pPr>
        <w:spacing w:before="0" w:after="0" w:line="257" w:lineRule="auto"/>
      </w:pPr>
      <w:r w:rsidRPr="00C66C24">
        <w:t xml:space="preserve">In 2024, the EU adopted new F-gas and ODS Regulations to further address the impact of these substances on global warming. </w:t>
      </w:r>
      <w:r w:rsidR="00C03F7C" w:rsidRPr="00C66C24">
        <w:rPr>
          <w:rFonts w:ascii="Calibri" w:eastAsia="Calibri" w:hAnsi="Calibri" w:cs="Calibri"/>
          <w:color w:val="000000" w:themeColor="text1"/>
        </w:rPr>
        <w:t xml:space="preserve">Emission reductions are crucial and need to consider all applications but especially refrigeration and air conditioning, including international maritime shipping. </w:t>
      </w:r>
      <w:r w:rsidR="001655DC" w:rsidRPr="00C66C24">
        <w:rPr>
          <w:rFonts w:ascii="Calibri" w:eastAsia="Calibri" w:hAnsi="Calibri" w:cs="Calibri"/>
          <w:color w:val="000000" w:themeColor="text1"/>
        </w:rPr>
        <w:t>Due to the maritime sector’s relevance concerning emissions from cooling coupled with the considerable sector growth, transitioning to environment friendly alternatives needs to be fostered across different types of ships (IMO, 2020a).</w:t>
      </w:r>
      <w:r w:rsidR="00B81EF4" w:rsidRPr="00C66C24">
        <w:t xml:space="preserve"> </w:t>
      </w:r>
      <w:r w:rsidR="00EC57DD" w:rsidRPr="00C66C24">
        <w:t>The technology used for refrigeration is heterogenous across the fleet, reflecting the diverse needs of different ship types. For example, passenger cruise ships can use 7</w:t>
      </w:r>
      <w:r w:rsidR="00B81EF4" w:rsidRPr="00C66C24">
        <w:t>,</w:t>
      </w:r>
      <w:r w:rsidR="00EC57DD" w:rsidRPr="00C66C24">
        <w:t>000-8</w:t>
      </w:r>
      <w:r w:rsidR="00B81EF4" w:rsidRPr="00C66C24">
        <w:t>,</w:t>
      </w:r>
      <w:r w:rsidR="00EC57DD" w:rsidRPr="00C66C24">
        <w:t>000 kg of refrigerant for the storage and provision of food, fishing vessels up to 1</w:t>
      </w:r>
      <w:r w:rsidR="00B81EF4" w:rsidRPr="00C66C24">
        <w:t>,</w:t>
      </w:r>
      <w:r w:rsidR="00EC57DD" w:rsidRPr="00C66C24">
        <w:t>500 kg to preserve fish catch, refrigerated containers (reefers) up to 6 kg of a mixture of refrigerants (per container) to prevent spoilage of the load</w:t>
      </w:r>
      <w:r w:rsidR="00E1424F" w:rsidRPr="00C66C24">
        <w:t xml:space="preserve"> </w:t>
      </w:r>
      <w:r w:rsidR="00EC4537" w:rsidRPr="00C66C24">
        <w:t>and</w:t>
      </w:r>
      <w:r w:rsidR="00EC57DD" w:rsidRPr="00C66C24">
        <w:t xml:space="preserve"> </w:t>
      </w:r>
      <w:r w:rsidR="00E70F3D" w:rsidRPr="00C66C24">
        <w:t>in</w:t>
      </w:r>
      <w:r w:rsidR="00EC57DD" w:rsidRPr="00C66C24">
        <w:t xml:space="preserve"> general cargo ships, </w:t>
      </w:r>
      <w:r w:rsidR="00EC4537" w:rsidRPr="00C66C24">
        <w:t>up to</w:t>
      </w:r>
      <w:r w:rsidR="00EC57DD" w:rsidRPr="00C66C24">
        <w:t xml:space="preserve"> 150 kg mainly for air conditioning purposes.</w:t>
      </w:r>
    </w:p>
    <w:p w14:paraId="09274F76" w14:textId="1D50EC6C" w:rsidR="00EC57DD" w:rsidRPr="00C66C24" w:rsidRDefault="00EC4537" w:rsidP="008C6A9C">
      <w:pPr>
        <w:spacing w:before="0" w:after="0" w:line="257" w:lineRule="auto"/>
        <w:rPr>
          <w:rFonts w:eastAsiaTheme="minorHAnsi"/>
          <w:szCs w:val="22"/>
        </w:rPr>
      </w:pPr>
      <w:r w:rsidRPr="00C66C24">
        <w:t>The</w:t>
      </w:r>
      <w:r w:rsidR="00EF5506" w:rsidRPr="00C66C24">
        <w:t xml:space="preserve"> wide variety of types of refrigerants used in the systems mentioned above</w:t>
      </w:r>
      <w:r w:rsidR="00E1424F" w:rsidRPr="00C66C24">
        <w:t xml:space="preserve"> </w:t>
      </w:r>
      <w:r w:rsidRPr="00C66C24">
        <w:t>have</w:t>
      </w:r>
      <w:r w:rsidR="00EF5506" w:rsidRPr="00C66C24">
        <w:t xml:space="preserve"> diverse environmental performances and climate impacts</w:t>
      </w:r>
      <w:r w:rsidR="0079471B" w:rsidRPr="00C66C24">
        <w:t xml:space="preserve"> </w:t>
      </w:r>
      <w:r w:rsidR="006856DA" w:rsidRPr="00C66C24">
        <w:fldChar w:fldCharType="begin"/>
      </w:r>
      <w:r w:rsidR="001855E3" w:rsidRPr="00C66C24">
        <w:instrText xml:space="preserve"> ADDIN ZOTERO_ITEM CSL_CITATION {"citationID":"a9gusoihkd","properties":{"formattedCitation":"\\uldash{(IMO, 2020)}","plainCitation":"(IMO, 2020)","dontUpdate":true,"noteIndex":0},"citationItems":[{"id":1068,"uris":["http://zotero.org/groups/122386/items/HJNG5DQJ"],"itemData":{"id":1068,"type":"report","event-place":"London, UK","publisher":"International Maritime Organization","publisher-place":"London, UK","title":"Fourth IMO greenhouse gas study","URL":"https://wwwcdn.imo.org/localresources/en/OurWork/Environment/Documents/Fourth%20IMO%20GHG%20Study%202020%20-%20Full%20report%20and%20annexes.pdf","author":[{"literal":"IMO"}],"accessed":{"date-parts":[["2020",12,20]]},"issued":{"date-parts":[["2020"]]}}}],"schema":"https://github.com/citation-style-language/schema/raw/master/csl-citation.json"} </w:instrText>
      </w:r>
      <w:r w:rsidR="006856DA" w:rsidRPr="00C66C24">
        <w:fldChar w:fldCharType="separate"/>
      </w:r>
      <w:r w:rsidR="00801E32" w:rsidRPr="00C66C24">
        <w:rPr>
          <w:rFonts w:ascii="Calibri" w:hAnsi="Calibri" w:cs="Calibri"/>
        </w:rPr>
        <w:t>(IMO, 2020</w:t>
      </w:r>
      <w:r w:rsidR="00C72216" w:rsidRPr="00C66C24">
        <w:rPr>
          <w:rFonts w:ascii="Calibri" w:hAnsi="Calibri" w:cs="Calibri"/>
        </w:rPr>
        <w:t>a</w:t>
      </w:r>
      <w:r w:rsidR="00801E32" w:rsidRPr="00C66C24">
        <w:rPr>
          <w:rFonts w:ascii="Calibri" w:hAnsi="Calibri" w:cs="Calibri"/>
        </w:rPr>
        <w:t>)</w:t>
      </w:r>
      <w:r w:rsidR="006856DA" w:rsidRPr="00C66C24">
        <w:fldChar w:fldCharType="end"/>
      </w:r>
      <w:r w:rsidR="00EC57DD" w:rsidRPr="00C66C24">
        <w:t xml:space="preserve">, making the impact of </w:t>
      </w:r>
      <w:r w:rsidRPr="00C66C24">
        <w:t xml:space="preserve"> each of </w:t>
      </w:r>
      <w:r w:rsidR="00EC57DD" w:rsidRPr="00C66C24">
        <w:t>these emissions complex to estimate.</w:t>
      </w:r>
    </w:p>
    <w:bookmarkEnd w:id="88"/>
    <w:bookmarkEnd w:id="109"/>
    <w:p w14:paraId="5BCBE762" w14:textId="39C159C7" w:rsidR="00FF1181" w:rsidRPr="00C66C24" w:rsidRDefault="00DD2851" w:rsidP="008C6A9C">
      <w:pPr>
        <w:spacing w:line="257" w:lineRule="auto"/>
        <w:rPr>
          <w:rFonts w:ascii="Calibri" w:eastAsia="Calibri" w:hAnsi="Calibri" w:cs="Calibri"/>
          <w:b/>
          <w:bCs/>
          <w:color w:val="000000" w:themeColor="text1"/>
        </w:rPr>
      </w:pPr>
      <w:r w:rsidRPr="00C66C24">
        <w:rPr>
          <w:rFonts w:ascii="Calibri" w:eastAsia="Calibri" w:hAnsi="Calibri" w:cs="Calibri"/>
          <w:b/>
          <w:bCs/>
          <w:color w:val="000000" w:themeColor="text1"/>
        </w:rPr>
        <w:t>Observations from Remote Piloted Aircraft Systems</w:t>
      </w:r>
    </w:p>
    <w:p w14:paraId="7622AAEB" w14:textId="04574F7B" w:rsidR="00850D1A" w:rsidRPr="00C66C24" w:rsidRDefault="00850D1A" w:rsidP="008C6A9C">
      <w:pPr>
        <w:spacing w:line="257" w:lineRule="auto"/>
        <w:rPr>
          <w:u w:val="single"/>
        </w:rPr>
      </w:pPr>
      <w:r w:rsidRPr="00C66C24">
        <w:rPr>
          <w:u w:val="single"/>
        </w:rPr>
        <w:t>SOx Observations from Remote Piloted Aircraft Systems</w:t>
      </w:r>
    </w:p>
    <w:p w14:paraId="52848E68" w14:textId="3D9E3709" w:rsidR="00850D1A" w:rsidRPr="00C66C24" w:rsidRDefault="00850D1A" w:rsidP="008C6A9C">
      <w:pPr>
        <w:spacing w:before="0" w:after="120" w:line="257" w:lineRule="auto"/>
        <w:rPr>
          <w:rFonts w:ascii="Calibri" w:eastAsia="Calibri" w:hAnsi="Calibri" w:cs="Calibri"/>
        </w:rPr>
      </w:pPr>
      <w:r w:rsidRPr="00C66C24">
        <w:rPr>
          <w:rFonts w:ascii="Calibri" w:eastAsia="Calibri" w:hAnsi="Calibri" w:cs="Calibri"/>
        </w:rPr>
        <w:t xml:space="preserve">During </w:t>
      </w:r>
      <w:r w:rsidR="00162F97" w:rsidRPr="00C66C24">
        <w:rPr>
          <w:rFonts w:ascii="Calibri" w:eastAsia="Calibri" w:hAnsi="Calibri" w:cs="Calibri"/>
        </w:rPr>
        <w:t>the EMSA</w:t>
      </w:r>
      <w:r w:rsidRPr="00C66C24">
        <w:rPr>
          <w:rFonts w:ascii="Calibri" w:eastAsia="Calibri" w:hAnsi="Calibri" w:cs="Calibri"/>
        </w:rPr>
        <w:t xml:space="preserve"> 2021 </w:t>
      </w:r>
      <w:r w:rsidR="00187A87" w:rsidRPr="00C66C24">
        <w:rPr>
          <w:rFonts w:ascii="Calibri" w:eastAsia="Calibri" w:hAnsi="Calibri" w:cs="Calibri"/>
        </w:rPr>
        <w:t xml:space="preserve">Remote Piloted Aircraft Systems </w:t>
      </w:r>
      <w:r w:rsidR="004A589D" w:rsidRPr="00C66C24">
        <w:rPr>
          <w:rFonts w:ascii="Calibri" w:eastAsia="Calibri" w:hAnsi="Calibri" w:cs="Calibri"/>
        </w:rPr>
        <w:t>(</w:t>
      </w:r>
      <w:r w:rsidRPr="00C66C24">
        <w:rPr>
          <w:rFonts w:ascii="Calibri" w:eastAsia="Calibri" w:hAnsi="Calibri" w:cs="Calibri"/>
        </w:rPr>
        <w:t>RPAS</w:t>
      </w:r>
      <w:r w:rsidR="004A589D" w:rsidRPr="00C66C24">
        <w:rPr>
          <w:rFonts w:ascii="Calibri" w:eastAsia="Calibri" w:hAnsi="Calibri" w:cs="Calibri"/>
        </w:rPr>
        <w:t>)</w:t>
      </w:r>
      <w:r w:rsidRPr="00C66C24">
        <w:rPr>
          <w:rFonts w:ascii="Calibri" w:eastAsia="Calibri" w:hAnsi="Calibri" w:cs="Calibri"/>
        </w:rPr>
        <w:t xml:space="preserve"> emission monitoring campaigns, 624 exhaust gas plume observations were acquired in the North Sea, Baltic Sea, and Central Atlantic. In 2022, the total number of observed ship plumes rose to 901, with campaigns extended to the Western Mediterranean Sea. </w:t>
      </w:r>
      <w:r w:rsidR="00136874" w:rsidRPr="00C66C24">
        <w:rPr>
          <w:rFonts w:ascii="Calibri" w:eastAsia="Calibri" w:hAnsi="Calibri" w:cs="Calibri"/>
        </w:rPr>
        <w:fldChar w:fldCharType="begin"/>
      </w:r>
      <w:r w:rsidR="00136874" w:rsidRPr="00C66C24">
        <w:rPr>
          <w:rFonts w:ascii="Calibri" w:eastAsia="Calibri" w:hAnsi="Calibri" w:cs="Calibri"/>
        </w:rPr>
        <w:instrText xml:space="preserve"> REF _Ref157420107 \h  \* MERGEFORMAT </w:instrText>
      </w:r>
      <w:r w:rsidR="00136874" w:rsidRPr="00C66C24">
        <w:rPr>
          <w:rFonts w:ascii="Calibri" w:eastAsia="Calibri" w:hAnsi="Calibri" w:cs="Calibri"/>
        </w:rPr>
      </w:r>
      <w:r w:rsidR="00136874" w:rsidRPr="00C66C24">
        <w:rPr>
          <w:rFonts w:ascii="Calibri" w:eastAsia="Calibri" w:hAnsi="Calibri" w:cs="Calibri"/>
        </w:rPr>
        <w:fldChar w:fldCharType="separate"/>
      </w:r>
      <w:r w:rsidR="00136874" w:rsidRPr="00C66C24">
        <w:rPr>
          <w:rFonts w:ascii="Calibri" w:eastAsia="Calibri" w:hAnsi="Calibri" w:cs="Calibri"/>
        </w:rPr>
        <w:t>Figure 2.19</w:t>
      </w:r>
      <w:r w:rsidR="00136874" w:rsidRPr="00C66C24">
        <w:rPr>
          <w:rFonts w:ascii="Calibri" w:eastAsia="Calibri" w:hAnsi="Calibri" w:cs="Calibri"/>
        </w:rPr>
        <w:fldChar w:fldCharType="end"/>
      </w:r>
      <w:r w:rsidRPr="00C66C24">
        <w:rPr>
          <w:rFonts w:ascii="Calibri" w:eastAsia="Calibri" w:hAnsi="Calibri" w:cs="Calibri"/>
        </w:rPr>
        <w:t xml:space="preserve"> provide</w:t>
      </w:r>
      <w:r w:rsidR="00BD54BE" w:rsidRPr="00C66C24">
        <w:rPr>
          <w:rFonts w:ascii="Calibri" w:eastAsia="Calibri" w:hAnsi="Calibri" w:cs="Calibri"/>
        </w:rPr>
        <w:t>s</w:t>
      </w:r>
      <w:r w:rsidRPr="00C66C24">
        <w:rPr>
          <w:rFonts w:ascii="Calibri" w:eastAsia="Calibri" w:hAnsi="Calibri" w:cs="Calibri"/>
        </w:rPr>
        <w:t xml:space="preserve"> histograms representing the distribution of the fuel sulphur content values (percentage) derived from the RPAS observations collected during 2021 and 2022 in Sulphur Emission Control Areas (SECA) and </w:t>
      </w:r>
      <w:r w:rsidR="00C75AEE">
        <w:rPr>
          <w:rFonts w:ascii="Calibri" w:eastAsia="Calibri" w:hAnsi="Calibri" w:cs="Calibri"/>
        </w:rPr>
        <w:t>p</w:t>
      </w:r>
      <w:r w:rsidRPr="00C66C24">
        <w:rPr>
          <w:rFonts w:ascii="Calibri" w:eastAsia="Calibri" w:hAnsi="Calibri" w:cs="Calibri"/>
        </w:rPr>
        <w:t>ort areas where the emission limit is 0.10%.</w:t>
      </w:r>
      <w:r w:rsidR="009010D7" w:rsidRPr="00C66C24">
        <w:rPr>
          <w:rFonts w:ascii="Calibri" w:eastAsia="Calibri" w:hAnsi="Calibri" w:cs="Calibri"/>
        </w:rPr>
        <w:t xml:space="preserve"> </w:t>
      </w:r>
      <w:r w:rsidR="002A65AA" w:rsidRPr="00C66C24">
        <w:rPr>
          <w:rFonts w:ascii="Calibri" w:eastAsia="Calibri" w:hAnsi="Calibri" w:cs="Calibri"/>
        </w:rPr>
        <w:fldChar w:fldCharType="begin"/>
      </w:r>
      <w:r w:rsidR="002A65AA" w:rsidRPr="00C66C24">
        <w:rPr>
          <w:rFonts w:ascii="Calibri" w:eastAsia="Calibri" w:hAnsi="Calibri" w:cs="Calibri"/>
        </w:rPr>
        <w:instrText xml:space="preserve"> REF _Ref157605470 \h  \* MERGEFORMAT </w:instrText>
      </w:r>
      <w:r w:rsidR="002A65AA" w:rsidRPr="00C66C24">
        <w:rPr>
          <w:rFonts w:ascii="Calibri" w:eastAsia="Calibri" w:hAnsi="Calibri" w:cs="Calibri"/>
        </w:rPr>
      </w:r>
      <w:r w:rsidR="002A65AA" w:rsidRPr="00C66C24">
        <w:rPr>
          <w:rFonts w:ascii="Calibri" w:eastAsia="Calibri" w:hAnsi="Calibri" w:cs="Calibri"/>
        </w:rPr>
        <w:fldChar w:fldCharType="separate"/>
      </w:r>
      <w:r w:rsidR="002A65AA" w:rsidRPr="00C66C24">
        <w:rPr>
          <w:rFonts w:ascii="Calibri" w:eastAsia="Calibri" w:hAnsi="Calibri" w:cs="Calibri"/>
        </w:rPr>
        <w:t>Figure 2.20</w:t>
      </w:r>
      <w:r w:rsidR="002A65AA" w:rsidRPr="00C66C24">
        <w:rPr>
          <w:rFonts w:ascii="Calibri" w:eastAsia="Calibri" w:hAnsi="Calibri" w:cs="Calibri"/>
        </w:rPr>
        <w:fldChar w:fldCharType="end"/>
      </w:r>
      <w:r w:rsidRPr="00C66C24">
        <w:rPr>
          <w:rFonts w:ascii="Calibri" w:eastAsia="Calibri" w:hAnsi="Calibri" w:cs="Calibri"/>
        </w:rPr>
        <w:t xml:space="preserve"> provides instead the values for the RPAS observations collected during the same period outside SECA and port areas where the limit </w:t>
      </w:r>
      <w:r w:rsidR="00004751">
        <w:rPr>
          <w:rFonts w:ascii="Calibri" w:eastAsia="Calibri" w:hAnsi="Calibri" w:cs="Calibri"/>
        </w:rPr>
        <w:t xml:space="preserve">is </w:t>
      </w:r>
      <w:r w:rsidRPr="00C66C24">
        <w:rPr>
          <w:rFonts w:ascii="Calibri" w:eastAsia="Calibri" w:hAnsi="Calibri" w:cs="Calibri"/>
        </w:rPr>
        <w:t xml:space="preserve">defined by the Global Sulphur Cap (0.50%). </w:t>
      </w:r>
    </w:p>
    <w:p w14:paraId="42581462" w14:textId="77777777" w:rsidR="00850D1A" w:rsidRPr="00C66C24" w:rsidRDefault="00850D1A" w:rsidP="008C6A9C">
      <w:pPr>
        <w:spacing w:line="257" w:lineRule="auto"/>
        <w:jc w:val="center"/>
        <w:rPr>
          <w:rFonts w:ascii="Calibri" w:eastAsia="Calibri" w:hAnsi="Calibri" w:cs="Calibri"/>
        </w:rPr>
      </w:pPr>
      <w:r w:rsidRPr="00C66C24">
        <w:rPr>
          <w:rFonts w:ascii="Calibri" w:eastAsia="Calibri" w:hAnsi="Calibri" w:cs="Calibri"/>
          <w:noProof/>
        </w:rPr>
        <w:drawing>
          <wp:inline distT="0" distB="0" distL="0" distR="0" wp14:anchorId="75B18406" wp14:editId="0835A732">
            <wp:extent cx="3960000" cy="4384707"/>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5">
                      <a:extLst>
                        <a:ext uri="{28A0092B-C50C-407E-A947-70E740481C1C}">
                          <a14:useLocalDpi xmlns:a14="http://schemas.microsoft.com/office/drawing/2010/main" val="0"/>
                        </a:ext>
                      </a:extLst>
                    </a:blip>
                    <a:srcRect t="1226" b="1226"/>
                    <a:stretch>
                      <a:fillRect/>
                    </a:stretch>
                  </pic:blipFill>
                  <pic:spPr bwMode="auto">
                    <a:xfrm>
                      <a:off x="0" y="0"/>
                      <a:ext cx="3960000" cy="4384707"/>
                    </a:xfrm>
                    <a:prstGeom prst="rect">
                      <a:avLst/>
                    </a:prstGeom>
                    <a:ln>
                      <a:noFill/>
                    </a:ln>
                    <a:extLst>
                      <a:ext uri="{53640926-AAD7-44D8-BBD7-CCE9431645EC}">
                        <a14:shadowObscured xmlns:a14="http://schemas.microsoft.com/office/drawing/2010/main"/>
                      </a:ext>
                    </a:extLst>
                  </pic:spPr>
                </pic:pic>
              </a:graphicData>
            </a:graphic>
          </wp:inline>
        </w:drawing>
      </w:r>
    </w:p>
    <w:p w14:paraId="4812BCF5" w14:textId="30FCCAD1" w:rsidR="00850D1A" w:rsidRPr="00C66C24" w:rsidRDefault="00013A8A" w:rsidP="008C6A9C">
      <w:pPr>
        <w:pStyle w:val="Caption"/>
        <w:spacing w:after="0" w:line="257" w:lineRule="auto"/>
        <w:jc w:val="center"/>
        <w:rPr>
          <w:sz w:val="20"/>
          <w:szCs w:val="20"/>
        </w:rPr>
      </w:pPr>
      <w:bookmarkStart w:id="110" w:name="_Ref157420107"/>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E47230" w:rsidRPr="00C66C24">
        <w:rPr>
          <w:noProof/>
          <w:sz w:val="20"/>
          <w:szCs w:val="20"/>
        </w:rPr>
        <w:t>19</w:t>
      </w:r>
      <w:r w:rsidR="00A81F61" w:rsidRPr="00C66C24">
        <w:rPr>
          <w:sz w:val="20"/>
          <w:szCs w:val="20"/>
        </w:rPr>
        <w:fldChar w:fldCharType="end"/>
      </w:r>
      <w:bookmarkEnd w:id="110"/>
      <w:r w:rsidRPr="00C66C24">
        <w:rPr>
          <w:sz w:val="20"/>
          <w:szCs w:val="20"/>
        </w:rPr>
        <w:t xml:space="preserve"> Distribution of sulphur emissions obtained through RPAS aerial measurements acquired in SECA and port areas during 2021 (above) and 2022 (below).</w:t>
      </w:r>
    </w:p>
    <w:p w14:paraId="11E7D62D" w14:textId="77777777" w:rsidR="00850D1A" w:rsidRPr="00C66C24" w:rsidRDefault="00850D1A" w:rsidP="008C6A9C">
      <w:pPr>
        <w:spacing w:before="0" w:after="0" w:line="257" w:lineRule="auto"/>
        <w:jc w:val="center"/>
        <w:rPr>
          <w:rFonts w:ascii="Calibri" w:eastAsia="Calibri" w:hAnsi="Calibri" w:cs="Calibri"/>
          <w:color w:val="000000" w:themeColor="text1"/>
          <w:sz w:val="20"/>
          <w:szCs w:val="20"/>
        </w:rPr>
      </w:pPr>
      <w:r w:rsidRPr="00C66C24">
        <w:rPr>
          <w:rFonts w:ascii="Calibri" w:eastAsia="Calibri" w:hAnsi="Calibri" w:cs="Calibri"/>
          <w:color w:val="000000" w:themeColor="text1"/>
          <w:sz w:val="20"/>
          <w:szCs w:val="20"/>
        </w:rPr>
        <w:t>Source: EMSA, RPAS.</w:t>
      </w:r>
    </w:p>
    <w:p w14:paraId="061047A8" w14:textId="77777777" w:rsidR="00850D1A" w:rsidRPr="00C66C24" w:rsidRDefault="00850D1A" w:rsidP="008C6A9C">
      <w:pPr>
        <w:spacing w:line="257" w:lineRule="auto"/>
      </w:pPr>
    </w:p>
    <w:p w14:paraId="39999A33" w14:textId="77777777" w:rsidR="00850D1A" w:rsidRPr="00C66C24" w:rsidRDefault="00850D1A" w:rsidP="008C6A9C">
      <w:pPr>
        <w:spacing w:line="257" w:lineRule="auto"/>
        <w:jc w:val="center"/>
      </w:pPr>
      <w:r w:rsidRPr="00C66C24">
        <w:rPr>
          <w:noProof/>
        </w:rPr>
        <w:drawing>
          <wp:inline distT="0" distB="0" distL="0" distR="0" wp14:anchorId="6FBC6EF8" wp14:editId="60036039">
            <wp:extent cx="3960000" cy="4503217"/>
            <wp:effectExtent l="0" t="0" r="2540" b="0"/>
            <wp:docPr id="15" name="Picture 1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aph&#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3960000" cy="4503217"/>
                    </a:xfrm>
                    <a:prstGeom prst="rect">
                      <a:avLst/>
                    </a:prstGeom>
                  </pic:spPr>
                </pic:pic>
              </a:graphicData>
            </a:graphic>
          </wp:inline>
        </w:drawing>
      </w:r>
    </w:p>
    <w:p w14:paraId="54BD69C6" w14:textId="27DCC1A2" w:rsidR="00850D1A" w:rsidRPr="00C66C24" w:rsidRDefault="00F66E70" w:rsidP="007F3818">
      <w:pPr>
        <w:pStyle w:val="Caption"/>
        <w:spacing w:after="0" w:line="257" w:lineRule="auto"/>
        <w:jc w:val="center"/>
        <w:rPr>
          <w:sz w:val="20"/>
          <w:szCs w:val="20"/>
        </w:rPr>
      </w:pPr>
      <w:bookmarkStart w:id="111" w:name="_Ref157605470"/>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20</w:t>
      </w:r>
      <w:r w:rsidR="00A81F61" w:rsidRPr="00C66C24">
        <w:rPr>
          <w:sz w:val="20"/>
          <w:szCs w:val="20"/>
        </w:rPr>
        <w:fldChar w:fldCharType="end"/>
      </w:r>
      <w:bookmarkEnd w:id="111"/>
      <w:r w:rsidRPr="00C66C24">
        <w:rPr>
          <w:sz w:val="20"/>
          <w:szCs w:val="20"/>
        </w:rPr>
        <w:t xml:space="preserve"> Distribution of sulphur emissions obtained through RPAS aerial measurements acquired outside SECA and port areas during 2021 (above) and 2022 (below).</w:t>
      </w:r>
    </w:p>
    <w:p w14:paraId="7E74C64C" w14:textId="54D4D801" w:rsidR="00850D1A" w:rsidRPr="00C66C24" w:rsidRDefault="00850D1A" w:rsidP="000F3F08">
      <w:pPr>
        <w:spacing w:before="0" w:after="120" w:line="257" w:lineRule="auto"/>
        <w:jc w:val="center"/>
        <w:rPr>
          <w:rFonts w:ascii="Calibri" w:eastAsia="Calibri" w:hAnsi="Calibri" w:cs="Calibri"/>
          <w:color w:val="000000" w:themeColor="text1"/>
          <w:sz w:val="20"/>
          <w:szCs w:val="20"/>
        </w:rPr>
      </w:pPr>
      <w:r w:rsidRPr="00C66C24">
        <w:rPr>
          <w:rFonts w:ascii="Calibri" w:eastAsia="Calibri" w:hAnsi="Calibri" w:cs="Calibri"/>
          <w:color w:val="000000" w:themeColor="text1"/>
          <w:sz w:val="20"/>
          <w:szCs w:val="20"/>
        </w:rPr>
        <w:t>Source: EMSA, RPAS.</w:t>
      </w:r>
    </w:p>
    <w:p w14:paraId="60E84B98" w14:textId="77777777" w:rsidR="00850D1A" w:rsidRPr="00C66C24" w:rsidRDefault="00850D1A" w:rsidP="00EF3F5C">
      <w:pPr>
        <w:spacing w:before="0" w:after="0" w:line="257" w:lineRule="auto"/>
        <w:rPr>
          <w:rFonts w:ascii="Calibri" w:eastAsia="Calibri" w:hAnsi="Calibri" w:cs="Calibri"/>
        </w:rPr>
      </w:pPr>
      <w:r w:rsidRPr="00C66C24">
        <w:rPr>
          <w:rFonts w:ascii="Calibri" w:eastAsia="Calibri" w:hAnsi="Calibri" w:cs="Calibri"/>
        </w:rPr>
        <w:t xml:space="preserve">In general terms, in both 2021 and 2022 the distribution of the measurements shows concentrations around the limit of the respective areas (0.10% and 0.50%), although in non-SECA areas there is a more even distribution towards the lower values. This might be due to possible mixture with low-sulphur fuels available in the tanks of the vessels. This is even more evident in 2022 compared to 2021. </w:t>
      </w:r>
    </w:p>
    <w:p w14:paraId="4AA8E082" w14:textId="4F203213" w:rsidR="00850D1A" w:rsidRPr="00C66C24" w:rsidRDefault="00850D1A" w:rsidP="00EF3F5C">
      <w:pPr>
        <w:spacing w:before="0" w:after="0" w:line="257" w:lineRule="auto"/>
        <w:rPr>
          <w:rFonts w:ascii="Calibri" w:eastAsia="Calibri" w:hAnsi="Calibri" w:cs="Calibri"/>
        </w:rPr>
      </w:pPr>
      <w:r w:rsidRPr="00C66C24">
        <w:rPr>
          <w:rFonts w:ascii="Calibri" w:eastAsia="Calibri" w:hAnsi="Calibri" w:cs="Calibri"/>
        </w:rPr>
        <w:t xml:space="preserve">In areas where the sulphur emission limit is 0.10%, the average </w:t>
      </w:r>
      <w:r w:rsidR="00B51FE9">
        <w:rPr>
          <w:rFonts w:ascii="Calibri" w:eastAsia="Calibri" w:hAnsi="Calibri" w:cs="Calibri"/>
        </w:rPr>
        <w:t>fuel Sulphur content (</w:t>
      </w:r>
      <w:r w:rsidRPr="00C66C24">
        <w:rPr>
          <w:rFonts w:ascii="Calibri" w:eastAsia="Calibri" w:hAnsi="Calibri" w:cs="Calibri"/>
        </w:rPr>
        <w:t>FSC</w:t>
      </w:r>
      <w:r w:rsidR="00B51FE9">
        <w:rPr>
          <w:rFonts w:ascii="Calibri" w:eastAsia="Calibri" w:hAnsi="Calibri" w:cs="Calibri"/>
        </w:rPr>
        <w:t>)</w:t>
      </w:r>
      <w:r w:rsidRPr="00C66C24">
        <w:rPr>
          <w:rFonts w:ascii="Calibri" w:eastAsia="Calibri" w:hAnsi="Calibri" w:cs="Calibri"/>
        </w:rPr>
        <w:t xml:space="preserve"> derived from RPAS aerial observations was 0.11% FSC in 2021 and 0.09% FSC in 2022. In areas where the limit is 0.50%, the average FSC derived from RPAS aerial observations was 0.43% FSC in 2021 and 0.36% FSC in 2022. </w:t>
      </w:r>
    </w:p>
    <w:p w14:paraId="4BB9B058" w14:textId="19B586A3" w:rsidR="00850D1A" w:rsidRPr="00C66C24" w:rsidRDefault="00850D1A" w:rsidP="00EF3F5C">
      <w:pPr>
        <w:spacing w:before="0" w:after="0" w:line="257" w:lineRule="auto"/>
        <w:rPr>
          <w:rFonts w:ascii="Calibri" w:eastAsia="Calibri" w:hAnsi="Calibri" w:cs="Calibri"/>
        </w:rPr>
      </w:pPr>
      <w:r w:rsidRPr="00C66C24">
        <w:rPr>
          <w:rFonts w:ascii="Calibri" w:eastAsia="Calibri" w:hAnsi="Calibri" w:cs="Calibri"/>
        </w:rPr>
        <w:t>From an air</w:t>
      </w:r>
      <w:r w:rsidR="003F7D68">
        <w:rPr>
          <w:rFonts w:ascii="Calibri" w:eastAsia="Calibri" w:hAnsi="Calibri" w:cs="Calibri"/>
        </w:rPr>
        <w:t xml:space="preserve"> </w:t>
      </w:r>
      <w:r w:rsidRPr="00C66C24">
        <w:rPr>
          <w:rFonts w:ascii="Calibri" w:eastAsia="Calibri" w:hAnsi="Calibri" w:cs="Calibri"/>
        </w:rPr>
        <w:t xml:space="preserve">quality perspective, it is evident that the establishment of a SECA, has an impact on the overall SOx emissions from vessels. Therefore, one could assume that reducing the emission limits from 0.50% to 0.10% FSC in the Mediterranean Sea in 2025 can be a major step forward to reduce SOx emissions from shipping in the region, and hence improve air quality. Similarly, the establishment of new ECAs in the EU waters, for example in the North-East Atlantic, may also have a positive effect in terms of air quality. </w:t>
      </w:r>
    </w:p>
    <w:p w14:paraId="2DAF06FF" w14:textId="08CFCF4A" w:rsidR="00850D1A" w:rsidRPr="00C66C24" w:rsidRDefault="00850D1A" w:rsidP="00EF3F5C">
      <w:pPr>
        <w:spacing w:before="0" w:after="0" w:line="257" w:lineRule="auto"/>
        <w:rPr>
          <w:rFonts w:ascii="Calibri" w:eastAsia="Calibri" w:hAnsi="Calibri" w:cs="Calibri"/>
        </w:rPr>
      </w:pPr>
      <w:r w:rsidRPr="00C66C24">
        <w:rPr>
          <w:rFonts w:ascii="Calibri" w:eastAsia="Calibri" w:hAnsi="Calibri" w:cs="Calibri"/>
        </w:rPr>
        <w:t>In areas where the sulphur emissions limit is 0.10% FSC, the percentage of observations above the threshold, accounting for measurement uncertainty, was 17% in 2021 and 11% in 2022. Conversely, in areas with a 0.50% FSC limit, the percentage of observations exceeding the threshold, including uncertainty, was 8% in 2021 and less than 4% in 2022. Surveillance and inspections in areas with more stringent limits (e.g., 0.10% FSC) are crucial to ensure vessels adhere to regulations. This is also due to the higher costs for the ships’ operators to comply with the limits in those zones and the increased likelihood of infringements. The combination of port inspections, where infringements can be fully confirmed via accurate lab tests of fuel samples, and the use of remote sensing emission monitoring technologies that can be conducted in both coastal and open ocean to target ships which are potentially violating, paves the way to a powerful tool</w:t>
      </w:r>
      <w:r w:rsidRPr="00C66C24" w:rsidDel="00BF5B84">
        <w:rPr>
          <w:rFonts w:ascii="Calibri" w:eastAsia="Calibri" w:hAnsi="Calibri" w:cs="Calibri"/>
        </w:rPr>
        <w:t xml:space="preserve"> </w:t>
      </w:r>
      <w:r w:rsidRPr="00C66C24">
        <w:rPr>
          <w:rFonts w:ascii="Calibri" w:eastAsia="Calibri" w:hAnsi="Calibri" w:cs="Calibri"/>
        </w:rPr>
        <w:t>that can be used to enforce regulations.</w:t>
      </w:r>
    </w:p>
    <w:p w14:paraId="2EAC351C" w14:textId="10E0782C" w:rsidR="00850D1A" w:rsidRPr="00C66C24" w:rsidRDefault="00850D1A" w:rsidP="00EF3F5C">
      <w:pPr>
        <w:spacing w:before="0" w:after="0" w:line="257" w:lineRule="auto"/>
        <w:rPr>
          <w:rFonts w:ascii="Calibri" w:eastAsia="Calibri" w:hAnsi="Calibri" w:cs="Calibri"/>
        </w:rPr>
      </w:pPr>
      <w:r w:rsidRPr="00C66C24">
        <w:rPr>
          <w:rFonts w:ascii="Calibri" w:eastAsia="Calibri" w:hAnsi="Calibri" w:cs="Calibri"/>
        </w:rPr>
        <w:t>The RPAS gas observations include geographic coordinates marking where each measurement was taken. This data was analysed to identify spatial trends and patterns within the available fuel sulphur datasets. Interestingly, it is possible to observe that the percentage of values exceeding permissible limits (accounting for measurement uncertainty) within a 500</w:t>
      </w:r>
      <w:r w:rsidR="008D20D6">
        <w:rPr>
          <w:rFonts w:ascii="Calibri" w:eastAsia="Calibri" w:hAnsi="Calibri" w:cs="Calibri"/>
        </w:rPr>
        <w:t xml:space="preserve"> </w:t>
      </w:r>
      <w:r w:rsidRPr="00C66C24">
        <w:rPr>
          <w:rFonts w:ascii="Calibri" w:eastAsia="Calibri" w:hAnsi="Calibri" w:cs="Calibri"/>
        </w:rPr>
        <w:t>km radius of the SECA border was 12% in 2021 and 11% in 2022. In contrast, the percentage of measurements surpassing limits (including instrumental uncertainty) collected beyond 500</w:t>
      </w:r>
      <w:r w:rsidR="008D20D6">
        <w:rPr>
          <w:rFonts w:ascii="Calibri" w:eastAsia="Calibri" w:hAnsi="Calibri" w:cs="Calibri"/>
        </w:rPr>
        <w:t xml:space="preserve"> </w:t>
      </w:r>
      <w:r w:rsidRPr="00C66C24">
        <w:rPr>
          <w:rFonts w:ascii="Calibri" w:eastAsia="Calibri" w:hAnsi="Calibri" w:cs="Calibri"/>
        </w:rPr>
        <w:t>km from the SECA border was under 5% for both years. Considering that most of the monitored vessels was entering to SECA, this discrepancy suggests that vessels might be delaying their switchover to low sulphur fuel. It is anyway not possible to say if a similar behaviour may happen when the vessels area leaving the SECA. Large vessels typically have multiple tanks storing fuels with varying sulphur content. When the switch from high sulphur fuel to SECA-compliant low sulphur fuel is made, remnants of the non-compliant fuel could remain in the pipelines, resulting in elevated emissions for several hours. Thus, if vessels switch fuels too late upon entering the SECA, they could emit more sulphur than permitted until the fuel transition is complete. To gain a clearer understanding of this behaviour, more comprehensive studies and targeted monitoring campaigns are needed.</w:t>
      </w:r>
    </w:p>
    <w:p w14:paraId="1F7E5029" w14:textId="7E1AE241" w:rsidR="00850D1A" w:rsidRPr="00C66C24" w:rsidRDefault="00850D1A" w:rsidP="00EF3F5C">
      <w:pPr>
        <w:spacing w:before="0" w:after="0" w:line="257" w:lineRule="auto"/>
        <w:rPr>
          <w:rFonts w:ascii="Calibri" w:eastAsia="Calibri" w:hAnsi="Calibri" w:cs="Calibri"/>
        </w:rPr>
      </w:pPr>
      <w:r w:rsidRPr="00C66C24">
        <w:rPr>
          <w:rFonts w:ascii="Calibri" w:eastAsia="Calibri" w:hAnsi="Calibri" w:cs="Calibri"/>
        </w:rPr>
        <w:t xml:space="preserve">The geographical location of the measurements can also be utilized to plot FSC values against the distance from the shore, as </w:t>
      </w:r>
      <w:r w:rsidRPr="00C66C24">
        <w:rPr>
          <w:rFonts w:ascii="Calibri" w:eastAsia="Calibri" w:hAnsi="Calibri" w:cs="Calibri"/>
          <w:szCs w:val="22"/>
        </w:rPr>
        <w:t xml:space="preserve">illustrated in </w:t>
      </w:r>
      <w:r w:rsidRPr="00C66C24">
        <w:rPr>
          <w:szCs w:val="22"/>
        </w:rPr>
        <w:fldChar w:fldCharType="begin"/>
      </w:r>
      <w:r w:rsidRPr="00C66C24">
        <w:rPr>
          <w:szCs w:val="22"/>
        </w:rPr>
        <w:instrText xml:space="preserve"> REF _Ref151111395 \h </w:instrText>
      </w:r>
      <w:r w:rsidR="00EF3F5C" w:rsidRPr="00C66C24">
        <w:rPr>
          <w:szCs w:val="22"/>
        </w:rPr>
        <w:instrText xml:space="preserve"> \* MERGEFORMAT </w:instrText>
      </w:r>
      <w:r w:rsidRPr="00C66C24">
        <w:rPr>
          <w:szCs w:val="22"/>
        </w:rPr>
      </w:r>
      <w:r w:rsidRPr="00C66C24">
        <w:rPr>
          <w:szCs w:val="22"/>
        </w:rPr>
        <w:fldChar w:fldCharType="separate"/>
      </w:r>
      <w:r w:rsidR="00EF3F5C" w:rsidRPr="00C66C24">
        <w:rPr>
          <w:szCs w:val="22"/>
        </w:rPr>
        <w:t xml:space="preserve">Figure </w:t>
      </w:r>
      <w:r w:rsidR="00EF3F5C" w:rsidRPr="00C66C24">
        <w:rPr>
          <w:noProof/>
          <w:szCs w:val="22"/>
        </w:rPr>
        <w:t>2</w:t>
      </w:r>
      <w:r w:rsidR="0006179B" w:rsidRPr="00C66C24">
        <w:rPr>
          <w:noProof/>
          <w:szCs w:val="22"/>
        </w:rPr>
        <w:t>.21</w:t>
      </w:r>
      <w:r w:rsidRPr="00C66C24">
        <w:rPr>
          <w:szCs w:val="22"/>
        </w:rPr>
        <w:fldChar w:fldCharType="end"/>
      </w:r>
      <w:r w:rsidRPr="00C66C24">
        <w:rPr>
          <w:rFonts w:ascii="Calibri" w:eastAsia="Calibri" w:hAnsi="Calibri" w:cs="Calibri"/>
          <w:szCs w:val="22"/>
        </w:rPr>
        <w:t>,</w:t>
      </w:r>
      <w:r w:rsidRPr="00C66C24">
        <w:rPr>
          <w:rFonts w:ascii="Calibri" w:eastAsia="Calibri" w:hAnsi="Calibri" w:cs="Calibri"/>
        </w:rPr>
        <w:t xml:space="preserve"> where observations in SECA or port areas are denoted as blue marks, observations outside SECA or port areas in orange, observations of vessels not fitted with a scrubber are denoted by a cross and observations of vessels with a scrubber with a circle. Given that numerous maritime shipping routes are in close proximity to the shore, vessel emissio</w:t>
      </w:r>
      <w:r w:rsidRPr="00C66C24">
        <w:rPr>
          <w:rFonts w:ascii="Calibri" w:eastAsia="Calibri" w:hAnsi="Calibri" w:cs="Calibri"/>
          <w:szCs w:val="22"/>
        </w:rPr>
        <w:t>ns can significantly affect air quality even on land</w:t>
      </w:r>
      <w:r w:rsidRPr="00C66C24">
        <w:rPr>
          <w:rFonts w:ascii="Calibri" w:eastAsia="Calibri" w:hAnsi="Calibri" w:cs="Calibri"/>
        </w:rPr>
        <w:t>. As previously noted, this is especially pertinent in areas where emission limits are higher, such as regions where the Global Sulphur Cap is enforced (i.e. areas outside SECA and ports in orange). The datasets were gathered along shipping routes and within port areas, meaning this data distribution might not provide an accurate depiction of whether there is a correlation between sulphur values and the distance to the port of call. Therefore, further targeted data collection is required in this regard.</w:t>
      </w:r>
    </w:p>
    <w:p w14:paraId="4BD5F854" w14:textId="77777777" w:rsidR="00850D1A" w:rsidRPr="00C66C24" w:rsidRDefault="00850D1A" w:rsidP="008C6A9C">
      <w:pPr>
        <w:keepNext/>
        <w:spacing w:line="257" w:lineRule="auto"/>
        <w:jc w:val="center"/>
      </w:pPr>
      <w:r w:rsidRPr="00C66C24">
        <w:rPr>
          <w:rFonts w:ascii="Calibri" w:eastAsia="Calibri" w:hAnsi="Calibri" w:cs="Calibri"/>
        </w:rPr>
        <w:t xml:space="preserve"> </w:t>
      </w:r>
      <w:r w:rsidRPr="00C66C24">
        <w:rPr>
          <w:noProof/>
          <w:lang w:eastAsia="de-DE"/>
        </w:rPr>
        <w:drawing>
          <wp:inline distT="0" distB="0" distL="0" distR="0" wp14:anchorId="544C2841" wp14:editId="08B13543">
            <wp:extent cx="5574192" cy="2880000"/>
            <wp:effectExtent l="0" t="0" r="0" b="0"/>
            <wp:docPr id="1947383456" name="Picture 194738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383456"/>
                    <pic:cNvPicPr/>
                  </pic:nvPicPr>
                  <pic:blipFill>
                    <a:blip r:embed="rId47">
                      <a:extLst>
                        <a:ext uri="{28A0092B-C50C-407E-A947-70E740481C1C}">
                          <a14:useLocalDpi xmlns:a14="http://schemas.microsoft.com/office/drawing/2010/main" val="0"/>
                        </a:ext>
                      </a:extLst>
                    </a:blip>
                    <a:stretch>
                      <a:fillRect/>
                    </a:stretch>
                  </pic:blipFill>
                  <pic:spPr>
                    <a:xfrm>
                      <a:off x="0" y="0"/>
                      <a:ext cx="5574192" cy="2880000"/>
                    </a:xfrm>
                    <a:prstGeom prst="rect">
                      <a:avLst/>
                    </a:prstGeom>
                  </pic:spPr>
                </pic:pic>
              </a:graphicData>
            </a:graphic>
          </wp:inline>
        </w:drawing>
      </w:r>
    </w:p>
    <w:p w14:paraId="6AA49AA3" w14:textId="3BD90602" w:rsidR="00850D1A" w:rsidRPr="00C66C24" w:rsidRDefault="00850D1A" w:rsidP="008C6A9C">
      <w:pPr>
        <w:pStyle w:val="Caption"/>
        <w:spacing w:after="0" w:line="257" w:lineRule="auto"/>
        <w:jc w:val="center"/>
        <w:rPr>
          <w:sz w:val="20"/>
          <w:szCs w:val="20"/>
        </w:rPr>
      </w:pPr>
      <w:bookmarkStart w:id="112" w:name="_Ref151111395"/>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21</w:t>
      </w:r>
      <w:r w:rsidR="00A81F61" w:rsidRPr="00C66C24">
        <w:rPr>
          <w:sz w:val="20"/>
          <w:szCs w:val="20"/>
        </w:rPr>
        <w:fldChar w:fldCharType="end"/>
      </w:r>
      <w:bookmarkEnd w:id="112"/>
      <w:r w:rsidRPr="00C66C24">
        <w:rPr>
          <w:sz w:val="20"/>
          <w:szCs w:val="20"/>
        </w:rPr>
        <w:t xml:space="preserve"> Distribution of FSC values obtained in RPAS deployments vs distance to shore for different areas (in/out SECA or port areas) and vessels (with/without scrubber)</w:t>
      </w:r>
      <w:r w:rsidR="00252B8B" w:rsidRPr="00C66C24">
        <w:rPr>
          <w:sz w:val="20"/>
          <w:szCs w:val="20"/>
        </w:rPr>
        <w:t xml:space="preserve"> in 2021-2022</w:t>
      </w:r>
      <w:r w:rsidRPr="00C66C24">
        <w:rPr>
          <w:sz w:val="20"/>
          <w:szCs w:val="20"/>
        </w:rPr>
        <w:t>.</w:t>
      </w:r>
    </w:p>
    <w:p w14:paraId="47CD3D2D" w14:textId="77777777" w:rsidR="00850D1A" w:rsidRPr="00C66C24" w:rsidRDefault="00850D1A" w:rsidP="008C6A9C">
      <w:pPr>
        <w:spacing w:before="0" w:after="120" w:line="257" w:lineRule="auto"/>
        <w:jc w:val="center"/>
        <w:rPr>
          <w:rFonts w:ascii="Calibri" w:eastAsia="Calibri" w:hAnsi="Calibri" w:cs="Calibri"/>
          <w:i/>
          <w:color w:val="445369"/>
          <w:sz w:val="20"/>
          <w:szCs w:val="20"/>
        </w:rPr>
      </w:pPr>
      <w:r w:rsidRPr="00C66C24">
        <w:rPr>
          <w:rFonts w:ascii="Calibri" w:eastAsia="Calibri" w:hAnsi="Calibri" w:cs="Calibri"/>
          <w:color w:val="000000" w:themeColor="text1"/>
          <w:sz w:val="20"/>
          <w:szCs w:val="20"/>
        </w:rPr>
        <w:t>Source: EMSA, RPAS.</w:t>
      </w:r>
    </w:p>
    <w:p w14:paraId="67343952" w14:textId="2A0ECC6E" w:rsidR="0058461B" w:rsidRPr="00C66C24" w:rsidRDefault="00850D1A" w:rsidP="00736E18">
      <w:pPr>
        <w:spacing w:before="0" w:after="120" w:line="257" w:lineRule="auto"/>
        <w:rPr>
          <w:rFonts w:ascii="Calibri" w:eastAsia="Calibri" w:hAnsi="Calibri" w:cs="Calibri"/>
        </w:rPr>
      </w:pPr>
      <w:r w:rsidRPr="00C66C24">
        <w:rPr>
          <w:rFonts w:ascii="Calibri" w:eastAsia="Calibri" w:hAnsi="Calibri" w:cs="Calibri"/>
        </w:rPr>
        <w:t xml:space="preserve">Between 2021 and 2022, 317 vessels equipped with </w:t>
      </w:r>
      <w:r w:rsidR="00C03B83">
        <w:rPr>
          <w:rFonts w:ascii="Calibri" w:eastAsia="Calibri" w:hAnsi="Calibri" w:cs="Calibri"/>
        </w:rPr>
        <w:t>exhaust gas cleaning systems (</w:t>
      </w:r>
      <w:r w:rsidRPr="00C66C24">
        <w:rPr>
          <w:rFonts w:ascii="Calibri" w:eastAsia="Calibri" w:hAnsi="Calibri" w:cs="Calibri"/>
        </w:rPr>
        <w:t>EGCS</w:t>
      </w:r>
      <w:r w:rsidR="00C03B83">
        <w:rPr>
          <w:rFonts w:ascii="Calibri" w:eastAsia="Calibri" w:hAnsi="Calibri" w:cs="Calibri"/>
        </w:rPr>
        <w:t>)</w:t>
      </w:r>
      <w:r w:rsidRPr="00C66C24">
        <w:rPr>
          <w:rFonts w:ascii="Calibri" w:eastAsia="Calibri" w:hAnsi="Calibri" w:cs="Calibri"/>
        </w:rPr>
        <w:t xml:space="preserve"> were evaluated during RPAS deployments. The FSC was derived from these measurements (represented as circle marks </w:t>
      </w:r>
      <w:r w:rsidRPr="00C66C24">
        <w:t xml:space="preserve">in </w:t>
      </w:r>
      <w:r w:rsidR="00252B8B" w:rsidRPr="00C66C24">
        <w:rPr>
          <w:rFonts w:ascii="Calibri" w:eastAsia="Calibri" w:hAnsi="Calibri" w:cs="Calibri"/>
        </w:rPr>
        <w:fldChar w:fldCharType="begin"/>
      </w:r>
      <w:r w:rsidR="00252B8B" w:rsidRPr="00C66C24">
        <w:rPr>
          <w:rFonts w:ascii="Calibri" w:eastAsia="Calibri" w:hAnsi="Calibri" w:cs="Calibri"/>
        </w:rPr>
        <w:instrText xml:space="preserve"> REF _Ref151111395 \h  \* MERGEFORMAT </w:instrText>
      </w:r>
      <w:r w:rsidR="00252B8B" w:rsidRPr="00C66C24">
        <w:rPr>
          <w:rFonts w:ascii="Calibri" w:eastAsia="Calibri" w:hAnsi="Calibri" w:cs="Calibri"/>
        </w:rPr>
      </w:r>
      <w:r w:rsidR="00252B8B" w:rsidRPr="00C66C24">
        <w:rPr>
          <w:rFonts w:ascii="Calibri" w:eastAsia="Calibri" w:hAnsi="Calibri" w:cs="Calibri"/>
        </w:rPr>
        <w:fldChar w:fldCharType="separate"/>
      </w:r>
      <w:r w:rsidR="00252B8B" w:rsidRPr="00C66C24">
        <w:rPr>
          <w:rFonts w:ascii="Calibri" w:eastAsia="Calibri" w:hAnsi="Calibri" w:cs="Calibri"/>
        </w:rPr>
        <w:t>Figure 2.21</w:t>
      </w:r>
      <w:r w:rsidR="00252B8B" w:rsidRPr="00C66C24">
        <w:rPr>
          <w:rFonts w:ascii="Calibri" w:eastAsia="Calibri" w:hAnsi="Calibri" w:cs="Calibri"/>
        </w:rPr>
        <w:fldChar w:fldCharType="end"/>
      </w:r>
      <w:r w:rsidRPr="00C66C24">
        <w:rPr>
          <w:rFonts w:ascii="Calibri" w:eastAsia="Calibri" w:hAnsi="Calibri" w:cs="Calibri"/>
        </w:rPr>
        <w:fldChar w:fldCharType="begin"/>
      </w:r>
      <w:r w:rsidRPr="00C66C24">
        <w:rPr>
          <w:rFonts w:ascii="Calibri" w:eastAsia="Calibri" w:hAnsi="Calibri" w:cs="Calibri"/>
        </w:rPr>
        <w:instrText xml:space="preserve"> REF _Ref151111395 \h  \* MERGEFORMAT </w:instrText>
      </w:r>
      <w:r w:rsidRPr="00C66C24">
        <w:rPr>
          <w:rFonts w:ascii="Calibri" w:eastAsia="Calibri" w:hAnsi="Calibri" w:cs="Calibri"/>
        </w:rPr>
      </w:r>
      <w:r w:rsidR="00D77731" w:rsidRPr="00C66C24">
        <w:rPr>
          <w:rFonts w:ascii="Calibri" w:eastAsia="Calibri" w:hAnsi="Calibri" w:cs="Calibri"/>
        </w:rPr>
        <w:fldChar w:fldCharType="separate"/>
      </w:r>
      <w:r w:rsidRPr="00C66C24">
        <w:rPr>
          <w:rFonts w:ascii="Calibri" w:eastAsia="Calibri" w:hAnsi="Calibri" w:cs="Calibri"/>
        </w:rPr>
        <w:fldChar w:fldCharType="end"/>
      </w:r>
      <w:r w:rsidRPr="00C66C24">
        <w:rPr>
          <w:rFonts w:ascii="Calibri" w:eastAsia="Calibri" w:hAnsi="Calibri" w:cs="Calibri"/>
        </w:rPr>
        <w:t>). Of these vessels, 26 (accounting for 8.2% of the observations) had FSC exceeding the permissible limits considering uncertainty, with some displaying exceptionally high values (greater than 1% FSC). Five of these vessels with excessive FSC were detected in non-SECA areas, while the rest (21 vessels) were found in SECA and Port Areas, thus a respective percentage of exceedances of 5.1% and 9.6%. In these instances, it is possible that the scrubbing system might be malfunctioning, or it might have been intentionally switched off. It is crucial, therefore, to conduct careful monitoring and control of vessels fitted with EGCS.</w:t>
      </w:r>
    </w:p>
    <w:p w14:paraId="0EF86E7B" w14:textId="77777777" w:rsidR="002E59D8" w:rsidRPr="00C66C24" w:rsidRDefault="002E59D8" w:rsidP="008C6A9C">
      <w:pPr>
        <w:spacing w:line="257" w:lineRule="auto"/>
        <w:rPr>
          <w:u w:val="single"/>
        </w:rPr>
      </w:pPr>
      <w:r w:rsidRPr="00C66C24">
        <w:rPr>
          <w:u w:val="single"/>
        </w:rPr>
        <w:t>NOx Observations from Remote Piloted Aircraft Systems</w:t>
      </w:r>
    </w:p>
    <w:p w14:paraId="51463F55" w14:textId="3DB21352" w:rsidR="002E59D8" w:rsidRPr="00C66C24" w:rsidRDefault="002E59D8" w:rsidP="008C6A9C">
      <w:pPr>
        <w:spacing w:line="257" w:lineRule="auto"/>
        <w:rPr>
          <w:rFonts w:ascii="Calibri" w:eastAsia="Calibri" w:hAnsi="Calibri" w:cs="Calibri"/>
        </w:rPr>
      </w:pPr>
      <w:r w:rsidRPr="00C66C24">
        <w:rPr>
          <w:rFonts w:ascii="Calibri" w:eastAsia="Calibri" w:hAnsi="Calibri" w:cs="Calibri"/>
        </w:rPr>
        <w:t xml:space="preserve">NOx regulation and </w:t>
      </w:r>
      <w:r w:rsidR="000D7405">
        <w:rPr>
          <w:rFonts w:ascii="Calibri" w:eastAsia="Calibri" w:hAnsi="Calibri" w:cs="Calibri"/>
        </w:rPr>
        <w:t>its</w:t>
      </w:r>
      <w:r w:rsidRPr="00C66C24">
        <w:rPr>
          <w:rFonts w:ascii="Calibri" w:eastAsia="Calibri" w:hAnsi="Calibri" w:cs="Calibri"/>
        </w:rPr>
        <w:t xml:space="preserve"> enforcement is more complex compared to SOx. As mentioned above, limit values are tiered depending on keel laying date and are defined by the </w:t>
      </w:r>
      <w:r w:rsidRPr="00C66C24">
        <w:t>rated engine speed. Moreover, the limits in place represent an average of four different engine loads with different weighting factors (E3 cycle: 100% load with weighting factor 0.2; 75% load with weighting factor 0.5; 50% load with weighting factor 0.15; and 25% load with weighting factor 0.15). However, the regulation follows an approach based on certification and it lacks practical possibilities for enforcement and control of real-world emissions.</w:t>
      </w:r>
      <w:r w:rsidRPr="00C66C24">
        <w:rPr>
          <w:rFonts w:ascii="Calibri" w:eastAsia="Calibri" w:hAnsi="Calibri" w:cs="Calibri"/>
        </w:rPr>
        <w:t xml:space="preserve"> Nevertheless, considering the environmental and health impacts of NOx, regulatory authorities are devising strategies to ensure vessels comply with the limits. As highlighted at the beginning of this section, the gas sensors equipped on EMSA RPAS have the potential of measuring NOx level as well. However, due to the complexity of determining exactly the engine load at the time of the measurement, as well as the specific fuel consumption to convert the measured NOx-CO</w:t>
      </w:r>
      <w:r w:rsidRPr="00C66C24">
        <w:rPr>
          <w:rFonts w:ascii="Calibri" w:eastAsia="Calibri" w:hAnsi="Calibri" w:cs="Calibri"/>
          <w:vertAlign w:val="subscript"/>
        </w:rPr>
        <w:t>2</w:t>
      </w:r>
      <w:r w:rsidRPr="00C66C24">
        <w:rPr>
          <w:rFonts w:ascii="Calibri" w:eastAsia="Calibri" w:hAnsi="Calibri" w:cs="Calibri"/>
        </w:rPr>
        <w:t xml:space="preserve"> ratio to a</w:t>
      </w:r>
      <w:r w:rsidR="00FB3C32" w:rsidRPr="00C66C24">
        <w:rPr>
          <w:rFonts w:ascii="Calibri" w:eastAsia="Calibri" w:hAnsi="Calibri" w:cs="Calibri"/>
        </w:rPr>
        <w:t>n</w:t>
      </w:r>
      <w:r w:rsidRPr="00C66C24">
        <w:rPr>
          <w:rFonts w:ascii="Calibri" w:eastAsia="Calibri" w:hAnsi="Calibri" w:cs="Calibri"/>
        </w:rPr>
        <w:t xml:space="preserve"> emission factor in g/kWh, these measurements are currently not considered mature to be used for compliance monitoring.</w:t>
      </w:r>
      <w:r w:rsidR="00DF3C50" w:rsidRPr="00C66C24">
        <w:rPr>
          <w:rFonts w:ascii="Calibri" w:eastAsia="Calibri" w:hAnsi="Calibri" w:cs="Calibri"/>
        </w:rPr>
        <w:t xml:space="preserve"> </w:t>
      </w:r>
      <w:r w:rsidR="00F73D94" w:rsidRPr="00C66C24">
        <w:rPr>
          <w:rFonts w:ascii="Calibri" w:eastAsia="Calibri" w:hAnsi="Calibri" w:cs="Calibri"/>
        </w:rPr>
        <w:t>Notwithstanding, w</w:t>
      </w:r>
      <w:r w:rsidR="00741C58" w:rsidRPr="00C66C24">
        <w:rPr>
          <w:rFonts w:ascii="Calibri" w:eastAsia="Calibri" w:hAnsi="Calibri" w:cs="Calibri"/>
        </w:rPr>
        <w:t>ithin the activities of t</w:t>
      </w:r>
      <w:r w:rsidR="00DF3C50" w:rsidRPr="00C66C24">
        <w:rPr>
          <w:rFonts w:ascii="Calibri" w:eastAsia="Calibri" w:hAnsi="Calibri" w:cs="Calibri"/>
        </w:rPr>
        <w:t xml:space="preserve">he </w:t>
      </w:r>
      <w:r w:rsidR="00737DEA" w:rsidRPr="00C66C24">
        <w:rPr>
          <w:rFonts w:ascii="Calibri" w:eastAsia="Calibri" w:hAnsi="Calibri" w:cs="Calibri"/>
        </w:rPr>
        <w:t xml:space="preserve">EU </w:t>
      </w:r>
      <w:r w:rsidR="00191176" w:rsidRPr="00C66C24">
        <w:rPr>
          <w:rFonts w:ascii="Calibri" w:eastAsia="Calibri" w:hAnsi="Calibri" w:cs="Calibri"/>
        </w:rPr>
        <w:t xml:space="preserve">HORIZON 2020 </w:t>
      </w:r>
      <w:r w:rsidR="00737DEA" w:rsidRPr="00C66C24">
        <w:rPr>
          <w:rFonts w:ascii="Calibri" w:eastAsia="Calibri" w:hAnsi="Calibri" w:cs="Calibri"/>
        </w:rPr>
        <w:t>financed SCIPPER project</w:t>
      </w:r>
      <w:r w:rsidR="004227F8" w:rsidRPr="00C66C24">
        <w:rPr>
          <w:rFonts w:ascii="Calibri" w:eastAsia="Calibri" w:hAnsi="Calibri" w:cs="Calibri"/>
        </w:rPr>
        <w:t xml:space="preserve"> </w:t>
      </w:r>
      <w:r w:rsidR="004227F8"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{"citationID":"a2pkddhl35s","properties":{"formattedCitation":"(SCIPPER, 2022)","plainCitation":"(SCIPPER, 2022)","noteIndex":0},"citationItems":[{"id":59394,"uris":["http://zotero.org/groups/122386/items/QHCJI8DS"],"itemData":{"id":59394,"type":"document","publisher":"European Commission","title":"THE SCIPPER PROJECT: Shipping Contributions to Inland Pollution Push for the Enforcement of Regulations","URL":"https://www.scipper-project.eu/wp-content/uploads/2023/02/scipper-d2.3_s.pdf","author":[{"literal":"SCIPPER"}],"issued":{"date-parts":[["2022"]]}}}],"schema":"https://github.com/citation-style-language/schema/raw/master/csl-citation.json"} </w:instrText>
      </w:r>
      <w:r w:rsidR="004227F8" w:rsidRPr="00C66C24">
        <w:rPr>
          <w:rFonts w:ascii="Calibri" w:eastAsia="Calibri" w:hAnsi="Calibri" w:cs="Calibri"/>
        </w:rPr>
        <w:fldChar w:fldCharType="separate"/>
      </w:r>
      <w:r w:rsidR="001855E3" w:rsidRPr="00C66C24">
        <w:rPr>
          <w:rFonts w:ascii="Calibri" w:hAnsi="Calibri" w:cs="Calibri"/>
        </w:rPr>
        <w:t>(SCIPPER, 2022)</w:t>
      </w:r>
      <w:r w:rsidR="004227F8" w:rsidRPr="00C66C24">
        <w:rPr>
          <w:rFonts w:ascii="Calibri" w:eastAsia="Calibri" w:hAnsi="Calibri" w:cs="Calibri"/>
        </w:rPr>
        <w:fldChar w:fldCharType="end"/>
      </w:r>
      <w:r w:rsidR="004227F8" w:rsidRPr="00C66C24">
        <w:rPr>
          <w:rFonts w:ascii="Calibri" w:eastAsia="Calibri" w:hAnsi="Calibri" w:cs="Calibri"/>
        </w:rPr>
        <w:t>,</w:t>
      </w:r>
      <w:r w:rsidR="003D27B5" w:rsidRPr="00C66C24">
        <w:t xml:space="preserve"> </w:t>
      </w:r>
      <w:r w:rsidR="003D27B5" w:rsidRPr="00C66C24">
        <w:rPr>
          <w:rFonts w:ascii="Calibri" w:eastAsia="Calibri" w:hAnsi="Calibri" w:cs="Calibri"/>
        </w:rPr>
        <w:t>recordings of NOx emissions from vessels were remotely collected and analysed. The data originated from different measurement locations in the Baltic Sea and North Sea within 2022. The analysis shows that 50% of the emission measurements of ships that had to comply with the latest Tier III NOx levels, far exceed the expected emission levels</w:t>
      </w:r>
      <w:r w:rsidR="00C560BB" w:rsidRPr="00C66C24">
        <w:rPr>
          <w:rFonts w:ascii="Calibri" w:eastAsia="Calibri" w:hAnsi="Calibri" w:cs="Calibri"/>
        </w:rPr>
        <w:t xml:space="preserve"> </w:t>
      </w:r>
      <w:r w:rsidR="006B0A7B"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{"citationID":"a2f7hnb7l4j","properties":{"formattedCitation":"(SCIPPER, 2023)","plainCitation":"(SCIPPER, 2023)","noteIndex":0},"citationItems":[{"id":59479,"uris":["http://zotero.org/groups/122386/items/SEYIYAF9"],"itemData":{"id":59479,"type":"document","title":"SCIPPER project finds high nitrogen oxides emissions of Tier III vessels from remote  measurements in North European seas - Press release","URL":"https://www.scipper-project.eu/wp-content/uploads/2023/03/press-release_march-2023_f.pdf","author":[{"literal":"SCIPPER"}],"issued":{"date-parts":[["2023",3,6]]}}}],"schema":"https://github.com/citation-style-language/schema/raw/master/csl-citation.json"} </w:instrText>
      </w:r>
      <w:r w:rsidR="006B0A7B" w:rsidRPr="00C66C24">
        <w:rPr>
          <w:rFonts w:ascii="Calibri" w:eastAsia="Calibri" w:hAnsi="Calibri" w:cs="Calibri"/>
        </w:rPr>
        <w:fldChar w:fldCharType="separate"/>
      </w:r>
      <w:r w:rsidR="001855E3" w:rsidRPr="00C66C24">
        <w:rPr>
          <w:rFonts w:ascii="Calibri" w:hAnsi="Calibri" w:cs="Calibri"/>
        </w:rPr>
        <w:t>(SCIPPER, 2023)</w:t>
      </w:r>
      <w:r w:rsidR="006B0A7B" w:rsidRPr="00C66C24">
        <w:rPr>
          <w:rFonts w:ascii="Calibri" w:eastAsia="Calibri" w:hAnsi="Calibri" w:cs="Calibri"/>
        </w:rPr>
        <w:fldChar w:fldCharType="end"/>
      </w:r>
      <w:r w:rsidR="003D27B5" w:rsidRPr="00C66C24">
        <w:rPr>
          <w:rFonts w:ascii="Calibri" w:eastAsia="Calibri" w:hAnsi="Calibri" w:cs="Calibri"/>
        </w:rPr>
        <w:t>.</w:t>
      </w:r>
    </w:p>
    <w:p w14:paraId="1D755532" w14:textId="77777777" w:rsidR="00873B7E" w:rsidRPr="00C66C24" w:rsidRDefault="00873B7E" w:rsidP="008C6A9C">
      <w:pPr>
        <w:spacing w:before="0" w:after="0" w:line="257" w:lineRule="auto"/>
        <w:rPr>
          <w:rFonts w:ascii="Calibri" w:eastAsia="Calibri" w:hAnsi="Calibri" w:cs="Calibri"/>
        </w:rPr>
      </w:pPr>
    </w:p>
    <w:p w14:paraId="205BAF3A" w14:textId="1A4E105C" w:rsidR="0058461B" w:rsidRPr="00D42114" w:rsidRDefault="00C273D2" w:rsidP="008C6A9C">
      <w:pPr>
        <w:spacing w:before="0" w:after="0" w:line="257" w:lineRule="auto"/>
        <w:rPr>
          <w:rFonts w:ascii="Calibri" w:eastAsia="Calibri" w:hAnsi="Calibri" w:cs="Calibri"/>
          <w:szCs w:val="22"/>
          <w:lang w:val="nl-NL"/>
        </w:rPr>
      </w:pPr>
      <w:r w:rsidRPr="00C66C24">
        <w:rPr>
          <w:rFonts w:ascii="Calibri" w:eastAsia="Calibri" w:hAnsi="Calibri" w:cs="Calibri"/>
          <w:szCs w:val="22"/>
        </w:rPr>
        <w:t xml:space="preserve">In addition to </w:t>
      </w:r>
      <w:r w:rsidR="00BD1CDA" w:rsidRPr="00C66C24">
        <w:rPr>
          <w:rFonts w:ascii="Calibri" w:eastAsia="Calibri" w:hAnsi="Calibri" w:cs="Calibri"/>
          <w:szCs w:val="22"/>
        </w:rPr>
        <w:t>observations from</w:t>
      </w:r>
      <w:r w:rsidR="008F18F5" w:rsidRPr="00C66C24">
        <w:rPr>
          <w:rFonts w:ascii="Calibri" w:eastAsia="Calibri" w:hAnsi="Calibri" w:cs="Calibri"/>
          <w:szCs w:val="22"/>
        </w:rPr>
        <w:t xml:space="preserve"> Remote Piloted Aircraft Systems</w:t>
      </w:r>
      <w:r w:rsidR="00FD421C" w:rsidRPr="00C66C24">
        <w:rPr>
          <w:rFonts w:ascii="Calibri" w:eastAsia="Calibri" w:hAnsi="Calibri" w:cs="Calibri"/>
          <w:szCs w:val="22"/>
        </w:rPr>
        <w:t xml:space="preserve">, it is important to </w:t>
      </w:r>
      <w:r w:rsidR="00DB71E3" w:rsidRPr="00C66C24">
        <w:rPr>
          <w:rFonts w:ascii="Calibri" w:eastAsia="Calibri" w:hAnsi="Calibri" w:cs="Calibri"/>
          <w:szCs w:val="22"/>
        </w:rPr>
        <w:t xml:space="preserve">highlight that </w:t>
      </w:r>
      <w:r w:rsidR="0031250D" w:rsidRPr="00C66C24">
        <w:rPr>
          <w:rFonts w:ascii="Calibri" w:eastAsia="Calibri" w:hAnsi="Calibri" w:cs="Calibri"/>
          <w:szCs w:val="22"/>
        </w:rPr>
        <w:t xml:space="preserve">a suite of </w:t>
      </w:r>
      <w:r w:rsidR="00F436C8" w:rsidRPr="00C66C24">
        <w:rPr>
          <w:rFonts w:ascii="Calibri" w:eastAsia="Calibri" w:hAnsi="Calibri" w:cs="Calibri"/>
          <w:szCs w:val="22"/>
        </w:rPr>
        <w:t xml:space="preserve">other </w:t>
      </w:r>
      <w:r w:rsidR="00D55C42" w:rsidRPr="00C66C24">
        <w:rPr>
          <w:rFonts w:ascii="Calibri" w:eastAsia="Calibri" w:hAnsi="Calibri" w:cs="Calibri"/>
          <w:szCs w:val="22"/>
        </w:rPr>
        <w:t>platforms</w:t>
      </w:r>
      <w:r w:rsidR="00016D59" w:rsidRPr="00C66C24">
        <w:rPr>
          <w:rFonts w:ascii="Calibri" w:eastAsia="Calibri" w:hAnsi="Calibri" w:cs="Calibri"/>
          <w:szCs w:val="22"/>
        </w:rPr>
        <w:t xml:space="preserve"> </w:t>
      </w:r>
      <w:r w:rsidR="000F57A0" w:rsidRPr="00C66C24">
        <w:rPr>
          <w:rFonts w:ascii="Calibri" w:eastAsia="Calibri" w:hAnsi="Calibri" w:cs="Calibri"/>
          <w:szCs w:val="22"/>
        </w:rPr>
        <w:t xml:space="preserve">are </w:t>
      </w:r>
      <w:r w:rsidR="00016D59" w:rsidRPr="00C66C24">
        <w:rPr>
          <w:rFonts w:ascii="Calibri" w:eastAsia="Calibri" w:hAnsi="Calibri" w:cs="Calibri"/>
          <w:szCs w:val="22"/>
        </w:rPr>
        <w:t xml:space="preserve">also </w:t>
      </w:r>
      <w:r w:rsidR="000F57A0" w:rsidRPr="00C66C24">
        <w:rPr>
          <w:rFonts w:ascii="Calibri" w:eastAsia="Calibri" w:hAnsi="Calibri" w:cs="Calibri"/>
          <w:szCs w:val="22"/>
        </w:rPr>
        <w:t xml:space="preserve">used to </w:t>
      </w:r>
      <w:r w:rsidR="00016D59" w:rsidRPr="00C66C24">
        <w:rPr>
          <w:rFonts w:ascii="Calibri" w:eastAsia="Calibri" w:hAnsi="Calibri" w:cs="Calibri"/>
          <w:szCs w:val="22"/>
        </w:rPr>
        <w:t xml:space="preserve">provide very relevant </w:t>
      </w:r>
      <w:r w:rsidR="000F57A0" w:rsidRPr="00C66C24">
        <w:rPr>
          <w:rFonts w:ascii="Calibri" w:eastAsia="Calibri" w:hAnsi="Calibri" w:cs="Calibri"/>
          <w:szCs w:val="22"/>
        </w:rPr>
        <w:t xml:space="preserve">and insightful </w:t>
      </w:r>
      <w:r w:rsidR="00016D59" w:rsidRPr="00C66C24">
        <w:rPr>
          <w:rFonts w:ascii="Calibri" w:eastAsia="Calibri" w:hAnsi="Calibri" w:cs="Calibri"/>
          <w:szCs w:val="22"/>
        </w:rPr>
        <w:t>S</w:t>
      </w:r>
      <w:r w:rsidR="00A43667" w:rsidRPr="00C66C24">
        <w:rPr>
          <w:rFonts w:ascii="Calibri" w:eastAsia="Calibri" w:hAnsi="Calibri" w:cs="Calibri"/>
          <w:szCs w:val="22"/>
        </w:rPr>
        <w:t>O</w:t>
      </w:r>
      <w:r w:rsidR="00016D59" w:rsidRPr="00C66C24">
        <w:rPr>
          <w:rFonts w:ascii="Calibri" w:eastAsia="Calibri" w:hAnsi="Calibri" w:cs="Calibri"/>
          <w:szCs w:val="22"/>
        </w:rPr>
        <w:t>x and NO</w:t>
      </w:r>
      <w:r w:rsidR="00A43667" w:rsidRPr="00C66C24">
        <w:rPr>
          <w:rFonts w:ascii="Calibri" w:eastAsia="Calibri" w:hAnsi="Calibri" w:cs="Calibri"/>
          <w:szCs w:val="22"/>
        </w:rPr>
        <w:t>x</w:t>
      </w:r>
      <w:r w:rsidR="000F57A0" w:rsidRPr="00C66C24">
        <w:rPr>
          <w:rFonts w:ascii="Calibri" w:eastAsia="Calibri" w:hAnsi="Calibri" w:cs="Calibri"/>
          <w:szCs w:val="22"/>
        </w:rPr>
        <w:t xml:space="preserve"> measurements. For example, </w:t>
      </w:r>
      <w:r w:rsidR="004C1899" w:rsidRPr="00C66C24">
        <w:rPr>
          <w:rFonts w:ascii="Calibri" w:eastAsia="Calibri" w:hAnsi="Calibri" w:cs="Calibri"/>
          <w:szCs w:val="22"/>
        </w:rPr>
        <w:t>Belgium is very active in the use of airborne monitoring</w:t>
      </w:r>
      <w:r w:rsidR="00A43667" w:rsidRPr="00C66C24">
        <w:rPr>
          <w:rFonts w:ascii="Calibri" w:eastAsia="Calibri" w:hAnsi="Calibri" w:cs="Calibri"/>
          <w:szCs w:val="22"/>
        </w:rPr>
        <w:t xml:space="preserve"> </w:t>
      </w:r>
      <w:r w:rsidR="0019210A" w:rsidRPr="00C66C24">
        <w:rPr>
          <w:rFonts w:ascii="Calibri" w:eastAsia="Calibri" w:hAnsi="Calibri" w:cs="Calibri"/>
          <w:szCs w:val="22"/>
        </w:rPr>
        <w:t>techniques (</w:t>
      </w:r>
      <w:r w:rsidR="005C0B16" w:rsidRPr="00C66C24">
        <w:rPr>
          <w:rFonts w:ascii="Calibri" w:eastAsia="Calibri" w:hAnsi="Calibri" w:cs="Calibri"/>
          <w:szCs w:val="22"/>
        </w:rPr>
        <w:t xml:space="preserve">more specifically </w:t>
      </w:r>
      <w:r w:rsidR="0060540B" w:rsidRPr="00C66C24">
        <w:rPr>
          <w:rFonts w:ascii="Calibri" w:eastAsia="Calibri" w:hAnsi="Calibri" w:cs="Calibri"/>
          <w:szCs w:val="22"/>
        </w:rPr>
        <w:t xml:space="preserve">through </w:t>
      </w:r>
      <w:r w:rsidR="005C0B16" w:rsidRPr="00C66C24">
        <w:rPr>
          <w:rFonts w:ascii="Calibri" w:eastAsia="Calibri" w:hAnsi="Calibri" w:cs="Calibri"/>
          <w:szCs w:val="22"/>
        </w:rPr>
        <w:t xml:space="preserve">the use of </w:t>
      </w:r>
      <w:r w:rsidR="00B41D12" w:rsidRPr="00C66C24">
        <w:rPr>
          <w:rFonts w:ascii="Calibri" w:eastAsia="Calibri" w:hAnsi="Calibri" w:cs="Calibri"/>
          <w:szCs w:val="22"/>
        </w:rPr>
        <w:t>snif</w:t>
      </w:r>
      <w:r w:rsidR="009459BD" w:rsidRPr="00C66C24">
        <w:rPr>
          <w:rFonts w:ascii="Calibri" w:eastAsia="Calibri" w:hAnsi="Calibri" w:cs="Calibri"/>
          <w:szCs w:val="22"/>
        </w:rPr>
        <w:t xml:space="preserve">fer </w:t>
      </w:r>
      <w:r w:rsidR="0019210A" w:rsidRPr="00C66C24">
        <w:rPr>
          <w:rFonts w:ascii="Calibri" w:eastAsia="Calibri" w:hAnsi="Calibri" w:cs="Calibri"/>
          <w:szCs w:val="22"/>
        </w:rPr>
        <w:t xml:space="preserve">sensors onboard </w:t>
      </w:r>
      <w:r w:rsidR="00864866" w:rsidRPr="00C66C24">
        <w:rPr>
          <w:rFonts w:ascii="Calibri" w:eastAsia="Calibri" w:hAnsi="Calibri" w:cs="Calibri"/>
          <w:szCs w:val="22"/>
        </w:rPr>
        <w:t xml:space="preserve">Belgian </w:t>
      </w:r>
      <w:r w:rsidR="00D47691" w:rsidRPr="00C66C24">
        <w:rPr>
          <w:rFonts w:ascii="Calibri" w:eastAsia="Calibri" w:hAnsi="Calibri" w:cs="Calibri"/>
          <w:szCs w:val="22"/>
        </w:rPr>
        <w:t xml:space="preserve">coastguard </w:t>
      </w:r>
      <w:r w:rsidR="0019210A" w:rsidRPr="00C66C24">
        <w:rPr>
          <w:rFonts w:ascii="Calibri" w:eastAsia="Calibri" w:hAnsi="Calibri" w:cs="Calibri"/>
          <w:szCs w:val="22"/>
        </w:rPr>
        <w:t>aircrafts) t</w:t>
      </w:r>
      <w:r w:rsidR="000C33E8" w:rsidRPr="00C66C24">
        <w:rPr>
          <w:rFonts w:ascii="Calibri" w:eastAsia="Calibri" w:hAnsi="Calibri" w:cs="Calibri"/>
          <w:szCs w:val="22"/>
        </w:rPr>
        <w:t xml:space="preserve">o monitor </w:t>
      </w:r>
      <w:r w:rsidR="00B4208E" w:rsidRPr="00C66C24">
        <w:rPr>
          <w:rFonts w:ascii="Calibri" w:eastAsia="Calibri" w:hAnsi="Calibri" w:cs="Calibri"/>
          <w:szCs w:val="22"/>
        </w:rPr>
        <w:t xml:space="preserve">air quality in the </w:t>
      </w:r>
      <w:r w:rsidR="00056379" w:rsidRPr="00C66C24">
        <w:rPr>
          <w:rFonts w:ascii="Calibri" w:eastAsia="Calibri" w:hAnsi="Calibri" w:cs="Calibri"/>
          <w:szCs w:val="22"/>
        </w:rPr>
        <w:t xml:space="preserve">North Sea </w:t>
      </w:r>
      <w:r w:rsidR="00552606" w:rsidRPr="00C66C24">
        <w:rPr>
          <w:rFonts w:ascii="Calibri" w:eastAsia="Calibri" w:hAnsi="Calibri" w:cs="Calibri"/>
          <w:szCs w:val="22"/>
        </w:rPr>
        <w:t>Emission Control Area</w:t>
      </w:r>
      <w:r w:rsidR="00F229A9" w:rsidRPr="00C66C24">
        <w:rPr>
          <w:rFonts w:ascii="Calibri" w:eastAsia="Calibri" w:hAnsi="Calibri" w:cs="Calibri"/>
          <w:szCs w:val="22"/>
        </w:rPr>
        <w:t xml:space="preserve"> </w:t>
      </w:r>
      <w:r w:rsidR="00DC77D5" w:rsidRPr="00C66C24">
        <w:rPr>
          <w:rFonts w:ascii="Calibri" w:eastAsia="Calibri" w:hAnsi="Calibri" w:cs="Calibri"/>
          <w:szCs w:val="22"/>
        </w:rPr>
        <w:fldChar w:fldCharType="begin"/>
      </w:r>
      <w:r w:rsidR="001855E3" w:rsidRPr="00C66C24">
        <w:rPr>
          <w:rFonts w:ascii="Calibri" w:eastAsia="Calibri" w:hAnsi="Calibri" w:cs="Calibri"/>
          <w:szCs w:val="22"/>
        </w:rPr>
        <w:instrText xml:space="preserve"> ADDIN ZOTERO_ITEM CSL_CITATION {"citationID":"a6ptahl0oo","properties":{"formattedCitation":"(Van Roy et al., 2022; Van Roy, Merveille, et al., 2023; Van Roy, Van Roozendael, et al., 2023)","plainCitation":"(Van Roy et al., 2022; Van Roy, Merveille, et al., 2023; Van Roy, Van Roozendael, et al., 2023)","noteIndex":0},"citationItems":[{"id":59210,"uris":["http://zotero.org/groups/122386/items/A9TFWMU6"],"itemData":{"id":59210,"type":"article-journal","container-title":"Atmospheric Pollution Research","DOI":"10.1016/j.apr.2022.101518","ISSN":"13091042","issue":"9","journalAbbreviation":"Atmospheric Pollution Research","language":"en","page":"101518","source":"DOI.org (Crossref)","title":"Airborne monitoring of compliance to NOx emission regulations from ocean-going vessels in the Belgian North Sea","volume":"13","author":[{"family":"Van Roy","given":"Ward"},{"family":"Scheldeman","given":"Kobe"},{"family":"Van Roozendael","given":"Benjamin"},{"family":"Van Nieuwenhove","given":"Annelore"},{"family":"Schallier","given":"Ronny"},{"family":"Vigin","given":"Laurence"},{"family":"Maes","given":"Frank"}],"issued":{"date-parts":[["2022",9]]}}},{"id":59212,"uris":["http://zotero.org/groups/122386/items/2Z29TMXV"],"itemData":{"id":59212,"type":"article-journal","container-title":"SSRN Electronic Journal","DOI":"10.2139/ssrn.4485463","ISSN":"1556-5068","journalAbbreviation":"SSRN Journal","language":"en","source":"DOI.org (Crossref)","title":"Policy Recommendations for International Regulations Addressing Air Pollution From Ships","URL":"https://www.ssrn.com/abstract=4485463","author":[{"family":"Van Roy","given":"Ward"},{"family":"Merveille","given":"Jean Baptiste"},{"family":"Van Nieuwenhove","given":"Annelore"},{"family":"Scheldeman","given":"Kobe"},{"family":"Maes","given":"Frank"}],"accessed":{"date-parts":[["2024",1,18]]},"issued":{"date-parts":[["2023"]]}},"label":"page"},{"id":59208,"uris":["http://zotero.org/groups/122386/items/RS3247SN"],"itemData":{"id":59208,"type":"article-journal","abstract":"Abstract\n            Sulfur dioxide and nitrogen oxide emissions from shipping have been regulated internationally for more than fifteen years. Emissions reduction from shipping provides benefits for human health and the environment, but the effectiveness of regulations in reducing ship emissions is less well understood. Here, we examine how the establishment of European Emission Control Areas and other international maritime regulations in the North and Baltic Seas affect sulfur dioxide and nitrogen oxide emissions in the region. We combine and analyze </w:instrText>
      </w:r>
      <w:r w:rsidR="001855E3" w:rsidRPr="007A6F05">
        <w:rPr>
          <w:rFonts w:ascii="Calibri" w:eastAsia="Calibri" w:hAnsi="Calibri" w:cs="Calibri"/>
          <w:szCs w:val="22"/>
        </w:rPr>
        <w:instrText xml:space="preserve">more than 110,000 ship plume measurements, inspection results, and satellite data from 2018 to 2022. We find that compliance rates for sulfur emissions are higher near ports than in open waters. However, the regulations did not affect the concentration of nitrogen oxide emissions, which increased in the past three years. These findings highlight the need for enhanced emission regulations that improve air quality.","container-title":"Communications Earth &amp; Environment","DOI":"10.1038/s43247-023-01050-7","ISSN":"2662-4435","issue":"1","journalAbbreviation":"Commun Earth Environ","language":"en","page":"391","source":"DOI.org (Crossref)","title":"International maritime regulation decreases sulfur dioxide but increases nitrogen oxide emissions in the North and Baltic Sea","volume":"4","author":[{"family":"Van Roy","given":"Ward"},{"family":"Van Roozendael","given":"Benjamin"},{"family":"Vigin","given":"Laurence"},{"family":"Van Nieuwenhove","given":"Annelore"},{"family":"Scheldeman","given":"Kobe"},{"family":"Merveille","given":"Jean-Baptiste"},{"family":"Weigelt","given":"Andreas"},{"family":"Mellqvist","given":"Johan"},{"family":"Van Vliet","given":"Jasper"},{"family":"Van Dinther","given":"Danielle"},{"family":"Beecken","given":"Jorg"},{"family":"Tack","given":"Frederik"},{"family":"Theys","given":"Nicolas"},{"family":"Maes","given":"Frank"}],"issued":{"date-parts":[["2023",10,26]]}}}],"schema":"https://github.com/citation-style-language/schema/raw/master/csl-citation.json"} </w:instrText>
      </w:r>
      <w:r w:rsidR="00DC77D5" w:rsidRPr="00C66C24">
        <w:rPr>
          <w:rFonts w:ascii="Calibri" w:eastAsia="Calibri" w:hAnsi="Calibri" w:cs="Calibri"/>
          <w:szCs w:val="22"/>
        </w:rPr>
        <w:fldChar w:fldCharType="separate"/>
      </w:r>
      <w:r w:rsidR="001855E3" w:rsidRPr="00D42114">
        <w:rPr>
          <w:rFonts w:ascii="Calibri" w:hAnsi="Calibri" w:cs="Calibri"/>
          <w:lang w:val="nl-NL"/>
        </w:rPr>
        <w:t>(Van Roy</w:t>
      </w:r>
      <w:r w:rsidR="00A4048E" w:rsidRPr="00D42114">
        <w:rPr>
          <w:rFonts w:ascii="Calibri" w:hAnsi="Calibri" w:cs="Calibri"/>
          <w:lang w:val="nl-NL"/>
        </w:rPr>
        <w:t>,</w:t>
      </w:r>
      <w:r w:rsidR="001855E3" w:rsidRPr="00D42114">
        <w:rPr>
          <w:rFonts w:ascii="Calibri" w:hAnsi="Calibri" w:cs="Calibri"/>
          <w:lang w:val="nl-NL"/>
        </w:rPr>
        <w:t xml:space="preserve"> et al., 2022; Van Roy et al., </w:t>
      </w:r>
      <w:r w:rsidR="00FF6CA4" w:rsidRPr="00D42114">
        <w:rPr>
          <w:rFonts w:ascii="Calibri" w:hAnsi="Calibri" w:cs="Calibri"/>
          <w:lang w:val="nl-NL"/>
        </w:rPr>
        <w:t>2023a</w:t>
      </w:r>
      <w:r w:rsidR="00C8022D" w:rsidRPr="0021340C">
        <w:rPr>
          <w:rFonts w:ascii="Calibri" w:hAnsi="Calibri" w:cs="Calibri"/>
          <w:lang w:val="nl-NL"/>
        </w:rPr>
        <w:t>;</w:t>
      </w:r>
      <w:r w:rsidR="001855E3" w:rsidRPr="00D42114">
        <w:rPr>
          <w:rFonts w:ascii="Calibri" w:hAnsi="Calibri" w:cs="Calibri"/>
          <w:lang w:val="nl-NL"/>
        </w:rPr>
        <w:t xml:space="preserve"> 2023</w:t>
      </w:r>
      <w:r w:rsidR="00FF6CA4" w:rsidRPr="00D42114">
        <w:rPr>
          <w:rFonts w:ascii="Calibri" w:hAnsi="Calibri" w:cs="Calibri"/>
          <w:lang w:val="nl-NL"/>
        </w:rPr>
        <w:t>b</w:t>
      </w:r>
      <w:r w:rsidR="001855E3" w:rsidRPr="00D42114">
        <w:rPr>
          <w:rFonts w:ascii="Calibri" w:hAnsi="Calibri" w:cs="Calibri"/>
          <w:lang w:val="nl-NL"/>
        </w:rPr>
        <w:t>;)</w:t>
      </w:r>
      <w:r w:rsidR="00DC77D5" w:rsidRPr="00C66C24">
        <w:rPr>
          <w:rFonts w:ascii="Calibri" w:eastAsia="Calibri" w:hAnsi="Calibri" w:cs="Calibri"/>
          <w:szCs w:val="22"/>
        </w:rPr>
        <w:fldChar w:fldCharType="end"/>
      </w:r>
      <w:r w:rsidR="00552606" w:rsidRPr="00D42114">
        <w:rPr>
          <w:rFonts w:ascii="Calibri" w:eastAsia="Calibri" w:hAnsi="Calibri" w:cs="Calibri"/>
          <w:szCs w:val="22"/>
          <w:lang w:val="nl-NL"/>
        </w:rPr>
        <w:t>.</w:t>
      </w:r>
    </w:p>
    <w:p w14:paraId="7A4230B9" w14:textId="2D86FD6D" w:rsidR="0053010A" w:rsidRPr="00C66C24" w:rsidRDefault="00F15DAD" w:rsidP="008C6A9C">
      <w:pPr>
        <w:spacing w:before="0" w:after="0" w:line="257" w:lineRule="auto"/>
        <w:rPr>
          <w:rFonts w:ascii="Calibri" w:eastAsia="Calibri" w:hAnsi="Calibri" w:cs="Calibri"/>
          <w:szCs w:val="22"/>
        </w:rPr>
      </w:pPr>
      <w:r w:rsidRPr="00C66C24">
        <w:rPr>
          <w:rFonts w:ascii="Calibri" w:eastAsia="Calibri" w:hAnsi="Calibri" w:cs="Calibri"/>
          <w:szCs w:val="22"/>
        </w:rPr>
        <w:t xml:space="preserve">Further to this, </w:t>
      </w:r>
      <w:r w:rsidR="00D15A67" w:rsidRPr="00C66C24">
        <w:rPr>
          <w:rFonts w:ascii="Calibri" w:eastAsia="Calibri" w:hAnsi="Calibri" w:cs="Calibri"/>
          <w:szCs w:val="22"/>
        </w:rPr>
        <w:t>s</w:t>
      </w:r>
      <w:r w:rsidR="0053010A" w:rsidRPr="00C66C24">
        <w:rPr>
          <w:rFonts w:ascii="Calibri" w:eastAsia="Calibri" w:hAnsi="Calibri" w:cs="Calibri"/>
          <w:szCs w:val="22"/>
        </w:rPr>
        <w:t xml:space="preserve">ome Member States </w:t>
      </w:r>
      <w:r w:rsidR="00A07E96" w:rsidRPr="00C66C24">
        <w:rPr>
          <w:rFonts w:ascii="Calibri" w:eastAsia="Calibri" w:hAnsi="Calibri" w:cs="Calibri"/>
          <w:szCs w:val="22"/>
        </w:rPr>
        <w:t>also operate</w:t>
      </w:r>
      <w:r w:rsidR="0053010A" w:rsidRPr="00C66C24">
        <w:rPr>
          <w:rFonts w:ascii="Calibri" w:eastAsia="Calibri" w:hAnsi="Calibri" w:cs="Calibri"/>
          <w:szCs w:val="22"/>
        </w:rPr>
        <w:t xml:space="preserve"> fix</w:t>
      </w:r>
      <w:r w:rsidR="0079612D">
        <w:rPr>
          <w:rFonts w:ascii="Calibri" w:eastAsia="Calibri" w:hAnsi="Calibri" w:cs="Calibri"/>
          <w:szCs w:val="22"/>
        </w:rPr>
        <w:t>ed</w:t>
      </w:r>
      <w:r w:rsidR="0053010A" w:rsidRPr="00C66C24">
        <w:rPr>
          <w:rFonts w:ascii="Calibri" w:eastAsia="Calibri" w:hAnsi="Calibri" w:cs="Calibri"/>
          <w:szCs w:val="22"/>
        </w:rPr>
        <w:t xml:space="preserve"> sensing stations</w:t>
      </w:r>
      <w:r w:rsidR="0093696A" w:rsidRPr="00C66C24">
        <w:rPr>
          <w:rFonts w:ascii="Calibri" w:eastAsia="Calibri" w:hAnsi="Calibri" w:cs="Calibri"/>
          <w:szCs w:val="22"/>
        </w:rPr>
        <w:t>. For</w:t>
      </w:r>
      <w:r w:rsidR="0053010A" w:rsidRPr="00C66C24">
        <w:rPr>
          <w:rFonts w:ascii="Calibri" w:eastAsia="Calibri" w:hAnsi="Calibri" w:cs="Calibri"/>
          <w:szCs w:val="22"/>
        </w:rPr>
        <w:t xml:space="preserve"> example</w:t>
      </w:r>
      <w:r w:rsidR="0093696A" w:rsidRPr="00C66C24">
        <w:rPr>
          <w:rFonts w:ascii="Calibri" w:eastAsia="Calibri" w:hAnsi="Calibri" w:cs="Calibri"/>
          <w:szCs w:val="22"/>
        </w:rPr>
        <w:t>,</w:t>
      </w:r>
      <w:r w:rsidR="0053010A" w:rsidRPr="00C66C24">
        <w:rPr>
          <w:rFonts w:ascii="Calibri" w:eastAsia="Calibri" w:hAnsi="Calibri" w:cs="Calibri"/>
          <w:szCs w:val="22"/>
        </w:rPr>
        <w:t xml:space="preserve"> Sweden operate</w:t>
      </w:r>
      <w:r w:rsidR="00F359AE" w:rsidRPr="00C66C24">
        <w:rPr>
          <w:rFonts w:ascii="Calibri" w:eastAsia="Calibri" w:hAnsi="Calibri" w:cs="Calibri"/>
          <w:szCs w:val="22"/>
        </w:rPr>
        <w:t>s</w:t>
      </w:r>
      <w:r w:rsidR="0053010A" w:rsidRPr="00C66C24">
        <w:rPr>
          <w:rFonts w:ascii="Calibri" w:eastAsia="Calibri" w:hAnsi="Calibri" w:cs="Calibri"/>
          <w:szCs w:val="22"/>
        </w:rPr>
        <w:t xml:space="preserve"> two sensing stations for the control of sulphur oxide emissions by vessels in Swedish waters and ports</w:t>
      </w:r>
      <w:r w:rsidR="00361247" w:rsidRPr="00C66C24">
        <w:rPr>
          <w:rFonts w:ascii="Calibri" w:eastAsia="Calibri" w:hAnsi="Calibri" w:cs="Calibri"/>
          <w:szCs w:val="22"/>
        </w:rPr>
        <w:t>,</w:t>
      </w:r>
      <w:r w:rsidR="0053010A" w:rsidRPr="00C66C24">
        <w:rPr>
          <w:rFonts w:ascii="Calibri" w:eastAsia="Calibri" w:hAnsi="Calibri" w:cs="Calibri"/>
          <w:szCs w:val="22"/>
        </w:rPr>
        <w:t xml:space="preserve"> </w:t>
      </w:r>
      <w:r w:rsidR="00361247" w:rsidRPr="00C66C24">
        <w:rPr>
          <w:rFonts w:ascii="Calibri" w:eastAsia="Calibri" w:hAnsi="Calibri" w:cs="Calibri"/>
          <w:szCs w:val="22"/>
        </w:rPr>
        <w:t>o</w:t>
      </w:r>
      <w:r w:rsidR="0053010A" w:rsidRPr="00C66C24">
        <w:rPr>
          <w:rFonts w:ascii="Calibri" w:eastAsia="Calibri" w:hAnsi="Calibri" w:cs="Calibri"/>
          <w:szCs w:val="22"/>
        </w:rPr>
        <w:t xml:space="preserve">ne station located on the </w:t>
      </w:r>
      <w:proofErr w:type="spellStart"/>
      <w:r w:rsidR="0053010A" w:rsidRPr="00C66C24">
        <w:rPr>
          <w:rFonts w:ascii="Calibri" w:eastAsia="Calibri" w:hAnsi="Calibri" w:cs="Calibri"/>
          <w:szCs w:val="22"/>
        </w:rPr>
        <w:t>Öresund</w:t>
      </w:r>
      <w:proofErr w:type="spellEnd"/>
      <w:r w:rsidR="0053010A" w:rsidRPr="00C66C24">
        <w:rPr>
          <w:rFonts w:ascii="Calibri" w:eastAsia="Calibri" w:hAnsi="Calibri" w:cs="Calibri"/>
          <w:szCs w:val="22"/>
        </w:rPr>
        <w:t xml:space="preserve"> bridge and the other is located on an island close to the entrance to the port of Gothenburg. </w:t>
      </w:r>
    </w:p>
    <w:p w14:paraId="2DB16E95" w14:textId="6AA1594F" w:rsidR="00EB1BCF" w:rsidRPr="00C66C24" w:rsidRDefault="0053010A" w:rsidP="008C6A9C">
      <w:pPr>
        <w:spacing w:before="0" w:after="0" w:line="257" w:lineRule="auto"/>
        <w:rPr>
          <w:rFonts w:ascii="Calibri" w:eastAsia="Calibri" w:hAnsi="Calibri" w:cs="Calibri"/>
          <w:szCs w:val="22"/>
        </w:rPr>
      </w:pPr>
      <w:r w:rsidRPr="00C66C24">
        <w:rPr>
          <w:rFonts w:ascii="Calibri" w:eastAsia="Calibri" w:hAnsi="Calibri" w:cs="Calibri"/>
          <w:szCs w:val="22"/>
        </w:rPr>
        <w:t>The</w:t>
      </w:r>
      <w:r w:rsidR="00361247" w:rsidRPr="00C66C24">
        <w:rPr>
          <w:rFonts w:ascii="Calibri" w:eastAsia="Calibri" w:hAnsi="Calibri" w:cs="Calibri"/>
          <w:szCs w:val="22"/>
        </w:rPr>
        <w:t>se</w:t>
      </w:r>
      <w:r w:rsidRPr="00C66C24">
        <w:rPr>
          <w:rFonts w:ascii="Calibri" w:eastAsia="Calibri" w:hAnsi="Calibri" w:cs="Calibri"/>
          <w:szCs w:val="22"/>
        </w:rPr>
        <w:t xml:space="preserve"> stations </w:t>
      </w:r>
      <w:r w:rsidR="00BA7AA8" w:rsidRPr="00C66C24">
        <w:rPr>
          <w:rFonts w:ascii="Calibri" w:eastAsia="Calibri" w:hAnsi="Calibri" w:cs="Calibri"/>
          <w:szCs w:val="22"/>
        </w:rPr>
        <w:t>carry</w:t>
      </w:r>
      <w:r w:rsidRPr="00C66C24">
        <w:rPr>
          <w:rFonts w:ascii="Calibri" w:eastAsia="Calibri" w:hAnsi="Calibri" w:cs="Calibri"/>
          <w:szCs w:val="22"/>
        </w:rPr>
        <w:t xml:space="preserve"> out automatic measurements and calculate </w:t>
      </w:r>
      <w:r w:rsidR="00BA7AA8" w:rsidRPr="00C66C24">
        <w:rPr>
          <w:rFonts w:ascii="Calibri" w:eastAsia="Calibri" w:hAnsi="Calibri" w:cs="Calibri"/>
          <w:szCs w:val="22"/>
        </w:rPr>
        <w:t xml:space="preserve">fuel </w:t>
      </w:r>
      <w:r w:rsidRPr="00C66C24">
        <w:rPr>
          <w:rFonts w:ascii="Calibri" w:eastAsia="Calibri" w:hAnsi="Calibri" w:cs="Calibri"/>
          <w:szCs w:val="22"/>
        </w:rPr>
        <w:t>sulphur content from SO</w:t>
      </w:r>
      <w:r w:rsidRPr="00C66C24">
        <w:rPr>
          <w:rFonts w:ascii="Calibri" w:eastAsia="Calibri" w:hAnsi="Calibri" w:cs="Calibri"/>
          <w:szCs w:val="22"/>
          <w:vertAlign w:val="subscript"/>
        </w:rPr>
        <w:t>2</w:t>
      </w:r>
      <w:r w:rsidRPr="00C66C24">
        <w:rPr>
          <w:rFonts w:ascii="Calibri" w:eastAsia="Calibri" w:hAnsi="Calibri" w:cs="Calibri"/>
          <w:szCs w:val="22"/>
        </w:rPr>
        <w:t>/CO</w:t>
      </w:r>
      <w:r w:rsidRPr="00C66C24">
        <w:rPr>
          <w:rFonts w:ascii="Calibri" w:eastAsia="Calibri" w:hAnsi="Calibri" w:cs="Calibri"/>
          <w:szCs w:val="22"/>
          <w:vertAlign w:val="subscript"/>
        </w:rPr>
        <w:t>2</w:t>
      </w:r>
      <w:r w:rsidRPr="00C66C24">
        <w:rPr>
          <w:rFonts w:ascii="Calibri" w:eastAsia="Calibri" w:hAnsi="Calibri" w:cs="Calibri"/>
          <w:szCs w:val="22"/>
        </w:rPr>
        <w:t xml:space="preserve"> </w:t>
      </w:r>
      <w:r w:rsidR="003600C9" w:rsidRPr="00C66C24">
        <w:rPr>
          <w:rFonts w:ascii="Calibri" w:eastAsia="Calibri" w:hAnsi="Calibri" w:cs="Calibri"/>
          <w:szCs w:val="22"/>
        </w:rPr>
        <w:t>observations</w:t>
      </w:r>
      <w:r w:rsidR="00BA7AA8" w:rsidRPr="00C66C24">
        <w:rPr>
          <w:rFonts w:ascii="Calibri" w:eastAsia="Calibri" w:hAnsi="Calibri" w:cs="Calibri"/>
          <w:szCs w:val="22"/>
        </w:rPr>
        <w:t xml:space="preserve"> </w:t>
      </w:r>
      <w:r w:rsidRPr="00C66C24">
        <w:rPr>
          <w:rFonts w:ascii="Calibri" w:eastAsia="Calibri" w:hAnsi="Calibri" w:cs="Calibri"/>
          <w:szCs w:val="22"/>
        </w:rPr>
        <w:t>and NOx emissions per kWh from NOx/CO</w:t>
      </w:r>
      <w:r w:rsidRPr="00C66C24">
        <w:rPr>
          <w:rFonts w:ascii="Calibri" w:eastAsia="Calibri" w:hAnsi="Calibri" w:cs="Calibri"/>
          <w:szCs w:val="22"/>
          <w:vertAlign w:val="subscript"/>
        </w:rPr>
        <w:t>2</w:t>
      </w:r>
      <w:r w:rsidRPr="00C66C24">
        <w:rPr>
          <w:rFonts w:ascii="Calibri" w:eastAsia="Calibri" w:hAnsi="Calibri" w:cs="Calibri"/>
          <w:szCs w:val="22"/>
        </w:rPr>
        <w:t xml:space="preserve"> </w:t>
      </w:r>
      <w:r w:rsidR="003600C9" w:rsidRPr="00C66C24">
        <w:rPr>
          <w:rFonts w:ascii="Calibri" w:eastAsia="Calibri" w:hAnsi="Calibri" w:cs="Calibri"/>
          <w:szCs w:val="22"/>
        </w:rPr>
        <w:t>observations</w:t>
      </w:r>
      <w:r w:rsidR="00BA7AA8" w:rsidRPr="00C66C24">
        <w:rPr>
          <w:rFonts w:ascii="Calibri" w:eastAsia="Calibri" w:hAnsi="Calibri" w:cs="Calibri"/>
          <w:szCs w:val="22"/>
        </w:rPr>
        <w:t xml:space="preserve"> </w:t>
      </w:r>
      <w:r w:rsidRPr="00C66C24">
        <w:rPr>
          <w:rFonts w:ascii="Calibri" w:eastAsia="Calibri" w:hAnsi="Calibri" w:cs="Calibri"/>
          <w:szCs w:val="22"/>
        </w:rPr>
        <w:t>and sen</w:t>
      </w:r>
      <w:r w:rsidR="003600C9" w:rsidRPr="00C66C24">
        <w:rPr>
          <w:rFonts w:ascii="Calibri" w:eastAsia="Calibri" w:hAnsi="Calibri" w:cs="Calibri"/>
          <w:szCs w:val="22"/>
        </w:rPr>
        <w:t>d</w:t>
      </w:r>
      <w:r w:rsidRPr="00C66C24">
        <w:rPr>
          <w:rFonts w:ascii="Calibri" w:eastAsia="Calibri" w:hAnsi="Calibri" w:cs="Calibri"/>
          <w:szCs w:val="22"/>
        </w:rPr>
        <w:t xml:space="preserve"> the data to a database, that communicate</w:t>
      </w:r>
      <w:r w:rsidR="003600C9" w:rsidRPr="00C66C24">
        <w:rPr>
          <w:rFonts w:ascii="Calibri" w:eastAsia="Calibri" w:hAnsi="Calibri" w:cs="Calibri"/>
          <w:szCs w:val="22"/>
        </w:rPr>
        <w:t>s</w:t>
      </w:r>
      <w:r w:rsidRPr="00C66C24">
        <w:rPr>
          <w:rFonts w:ascii="Calibri" w:eastAsia="Calibri" w:hAnsi="Calibri" w:cs="Calibri"/>
          <w:szCs w:val="22"/>
        </w:rPr>
        <w:t xml:space="preserve"> with different instruments and identifie</w:t>
      </w:r>
      <w:r w:rsidR="003600C9" w:rsidRPr="00C66C24">
        <w:rPr>
          <w:rFonts w:ascii="Calibri" w:eastAsia="Calibri" w:hAnsi="Calibri" w:cs="Calibri"/>
          <w:szCs w:val="22"/>
        </w:rPr>
        <w:t>s</w:t>
      </w:r>
      <w:r w:rsidRPr="00C66C24">
        <w:rPr>
          <w:rFonts w:ascii="Calibri" w:eastAsia="Calibri" w:hAnsi="Calibri" w:cs="Calibri"/>
          <w:szCs w:val="22"/>
        </w:rPr>
        <w:t xml:space="preserve"> the ship. When the measurements show a </w:t>
      </w:r>
      <w:r w:rsidR="003600C9" w:rsidRPr="00C66C24">
        <w:rPr>
          <w:rFonts w:ascii="Calibri" w:eastAsia="Calibri" w:hAnsi="Calibri" w:cs="Calibri"/>
          <w:szCs w:val="22"/>
        </w:rPr>
        <w:t xml:space="preserve">fuel </w:t>
      </w:r>
      <w:r w:rsidRPr="00C66C24">
        <w:rPr>
          <w:rFonts w:ascii="Calibri" w:eastAsia="Calibri" w:hAnsi="Calibri" w:cs="Calibri"/>
          <w:szCs w:val="22"/>
        </w:rPr>
        <w:t>sulphur content out of limits (0</w:t>
      </w:r>
      <w:r w:rsidR="00F33F4F" w:rsidRPr="00C66C24">
        <w:rPr>
          <w:rFonts w:ascii="Calibri" w:eastAsia="Calibri" w:hAnsi="Calibri" w:cs="Calibri"/>
          <w:szCs w:val="22"/>
        </w:rPr>
        <w:t>.</w:t>
      </w:r>
      <w:r w:rsidRPr="00C66C24">
        <w:rPr>
          <w:rFonts w:ascii="Calibri" w:eastAsia="Calibri" w:hAnsi="Calibri" w:cs="Calibri"/>
          <w:szCs w:val="22"/>
        </w:rPr>
        <w:t>10% sulphur content in this case), the database sen</w:t>
      </w:r>
      <w:r w:rsidR="00AF1444" w:rsidRPr="00C66C24">
        <w:rPr>
          <w:rFonts w:ascii="Calibri" w:eastAsia="Calibri" w:hAnsi="Calibri" w:cs="Calibri"/>
          <w:szCs w:val="22"/>
        </w:rPr>
        <w:t>ds</w:t>
      </w:r>
      <w:r w:rsidRPr="00C66C24">
        <w:rPr>
          <w:rFonts w:ascii="Calibri" w:eastAsia="Calibri" w:hAnsi="Calibri" w:cs="Calibri"/>
          <w:szCs w:val="22"/>
        </w:rPr>
        <w:t xml:space="preserve"> an alarm with the sulphur content measurement and ship information to </w:t>
      </w:r>
      <w:r w:rsidR="00AF1444" w:rsidRPr="00C66C24">
        <w:rPr>
          <w:rFonts w:ascii="Calibri" w:eastAsia="Calibri" w:hAnsi="Calibri" w:cs="Calibri"/>
          <w:szCs w:val="22"/>
        </w:rPr>
        <w:t xml:space="preserve">relevant recipient </w:t>
      </w:r>
      <w:r w:rsidRPr="00C66C24">
        <w:rPr>
          <w:rFonts w:ascii="Calibri" w:eastAsia="Calibri" w:hAnsi="Calibri" w:cs="Calibri"/>
          <w:szCs w:val="22"/>
        </w:rPr>
        <w:t>users by e-mail.</w:t>
      </w:r>
      <w:r w:rsidR="004266A8" w:rsidRPr="00C66C24">
        <w:rPr>
          <w:rFonts w:ascii="Calibri" w:eastAsia="Calibri" w:hAnsi="Calibri" w:cs="Calibri"/>
          <w:szCs w:val="22"/>
        </w:rPr>
        <w:t xml:space="preserve"> </w:t>
      </w:r>
      <w:r w:rsidRPr="00C66C24">
        <w:rPr>
          <w:rFonts w:ascii="Calibri" w:eastAsia="Calibri" w:hAnsi="Calibri" w:cs="Calibri"/>
          <w:szCs w:val="22"/>
        </w:rPr>
        <w:t>As an average the</w:t>
      </w:r>
      <w:r w:rsidR="00893CBF" w:rsidRPr="00C66C24">
        <w:rPr>
          <w:rFonts w:ascii="Calibri" w:eastAsia="Calibri" w:hAnsi="Calibri" w:cs="Calibri"/>
          <w:szCs w:val="22"/>
        </w:rPr>
        <w:t xml:space="preserve">se </w:t>
      </w:r>
      <w:r w:rsidRPr="00C66C24">
        <w:rPr>
          <w:rFonts w:ascii="Calibri" w:eastAsia="Calibri" w:hAnsi="Calibri" w:cs="Calibri"/>
          <w:szCs w:val="22"/>
        </w:rPr>
        <w:t>stations take between 1</w:t>
      </w:r>
      <w:r w:rsidR="00B927A8" w:rsidRPr="00C66C24">
        <w:rPr>
          <w:rFonts w:ascii="Calibri" w:eastAsia="Calibri" w:hAnsi="Calibri" w:cs="Calibri"/>
          <w:szCs w:val="22"/>
        </w:rPr>
        <w:t>,</w:t>
      </w:r>
      <w:r w:rsidRPr="00C66C24">
        <w:rPr>
          <w:rFonts w:ascii="Calibri" w:eastAsia="Calibri" w:hAnsi="Calibri" w:cs="Calibri"/>
          <w:szCs w:val="22"/>
        </w:rPr>
        <w:t>600 and 1</w:t>
      </w:r>
      <w:r w:rsidR="00B927A8" w:rsidRPr="00C66C24">
        <w:rPr>
          <w:rFonts w:ascii="Calibri" w:eastAsia="Calibri" w:hAnsi="Calibri" w:cs="Calibri"/>
          <w:szCs w:val="22"/>
        </w:rPr>
        <w:t>,</w:t>
      </w:r>
      <w:r w:rsidRPr="00C66C24">
        <w:rPr>
          <w:rFonts w:ascii="Calibri" w:eastAsia="Calibri" w:hAnsi="Calibri" w:cs="Calibri"/>
          <w:szCs w:val="22"/>
        </w:rPr>
        <w:t>900 valid measurements</w:t>
      </w:r>
      <w:r w:rsidR="002156F3" w:rsidRPr="00C66C24">
        <w:rPr>
          <w:rFonts w:ascii="Calibri" w:eastAsia="Calibri" w:hAnsi="Calibri" w:cs="Calibri"/>
          <w:szCs w:val="22"/>
        </w:rPr>
        <w:t xml:space="preserve"> per year</w:t>
      </w:r>
      <w:r w:rsidRPr="00C66C24">
        <w:rPr>
          <w:rFonts w:ascii="Calibri" w:eastAsia="Calibri" w:hAnsi="Calibri" w:cs="Calibri"/>
          <w:szCs w:val="22"/>
        </w:rPr>
        <w:t xml:space="preserve">, </w:t>
      </w:r>
      <w:r w:rsidR="002156F3" w:rsidRPr="00C66C24">
        <w:rPr>
          <w:rFonts w:ascii="Calibri" w:eastAsia="Calibri" w:hAnsi="Calibri" w:cs="Calibri"/>
          <w:szCs w:val="22"/>
        </w:rPr>
        <w:t xml:space="preserve">and in 2021 </w:t>
      </w:r>
      <w:r w:rsidR="00FF342F" w:rsidRPr="00C66C24">
        <w:rPr>
          <w:rFonts w:ascii="Calibri" w:eastAsia="Calibri" w:hAnsi="Calibri" w:cs="Calibri"/>
          <w:szCs w:val="22"/>
        </w:rPr>
        <w:t xml:space="preserve">and 2022 </w:t>
      </w:r>
      <w:r w:rsidRPr="00C66C24">
        <w:rPr>
          <w:rFonts w:ascii="Calibri" w:eastAsia="Calibri" w:hAnsi="Calibri" w:cs="Calibri"/>
          <w:szCs w:val="22"/>
        </w:rPr>
        <w:t xml:space="preserve">no alerts on not compliant vessels </w:t>
      </w:r>
      <w:r w:rsidR="00F33F4F" w:rsidRPr="00C66C24">
        <w:rPr>
          <w:rFonts w:ascii="Calibri" w:eastAsia="Calibri" w:hAnsi="Calibri" w:cs="Calibri"/>
          <w:szCs w:val="22"/>
        </w:rPr>
        <w:t>were</w:t>
      </w:r>
      <w:r w:rsidRPr="00C66C24">
        <w:rPr>
          <w:rFonts w:ascii="Calibri" w:eastAsia="Calibri" w:hAnsi="Calibri" w:cs="Calibri"/>
          <w:szCs w:val="22"/>
        </w:rPr>
        <w:t xml:space="preserve"> reported from these stations.</w:t>
      </w:r>
    </w:p>
    <w:p w14:paraId="2AB76227" w14:textId="50F392FE" w:rsidR="00F359DE" w:rsidRPr="00C66C24" w:rsidRDefault="00CC26C1" w:rsidP="00BF1E27">
      <w:pPr>
        <w:pStyle w:val="Heading2"/>
      </w:pPr>
      <w:bookmarkStart w:id="113" w:name="_Toc156316328"/>
      <w:bookmarkStart w:id="114" w:name="_Toc157762068"/>
      <w:r w:rsidRPr="00C66C24">
        <w:t xml:space="preserve">Water </w:t>
      </w:r>
      <w:r w:rsidR="00A87E59" w:rsidRPr="00C66C24">
        <w:t>Pollution</w:t>
      </w:r>
      <w:bookmarkEnd w:id="113"/>
      <w:bookmarkEnd w:id="114"/>
    </w:p>
    <w:p w14:paraId="583D3B26" w14:textId="2333204B" w:rsidR="00F359DE" w:rsidRPr="00C66C24" w:rsidRDefault="00F71695" w:rsidP="00BF1E27">
      <w:pPr>
        <w:pStyle w:val="Heading3"/>
      </w:pPr>
      <w:bookmarkStart w:id="115" w:name="_Toc156316329"/>
      <w:bookmarkStart w:id="116" w:name="_Toc157762069"/>
      <w:r w:rsidRPr="00C66C24">
        <w:t>O</w:t>
      </w:r>
      <w:r w:rsidR="00F359DE" w:rsidRPr="00C66C24">
        <w:t>il spills</w:t>
      </w:r>
      <w:bookmarkEnd w:id="115"/>
      <w:bookmarkEnd w:id="116"/>
    </w:p>
    <w:p w14:paraId="57086B7F" w14:textId="018B7E51" w:rsidR="60E97ED1" w:rsidRPr="00C66C24" w:rsidRDefault="60E97ED1" w:rsidP="008C6A9C">
      <w:pPr>
        <w:spacing w:line="257" w:lineRule="auto"/>
      </w:pPr>
      <w:r w:rsidRPr="00C66C24">
        <w:rPr>
          <w:rFonts w:ascii="Calibri" w:eastAsia="Calibri" w:hAnsi="Calibri" w:cs="Calibri"/>
          <w:szCs w:val="22"/>
        </w:rPr>
        <w:t xml:space="preserve">In 2022, </w:t>
      </w:r>
      <w:r w:rsidR="00172183" w:rsidRPr="00C66C24">
        <w:rPr>
          <w:rFonts w:ascii="Calibri" w:eastAsia="Calibri" w:hAnsi="Calibri" w:cs="Calibri"/>
          <w:szCs w:val="22"/>
        </w:rPr>
        <w:t>EMSA’s</w:t>
      </w:r>
      <w:r w:rsidR="00567BA3" w:rsidRPr="00C66C24">
        <w:rPr>
          <w:rFonts w:ascii="Calibri" w:eastAsia="Calibri" w:hAnsi="Calibri" w:cs="Calibri"/>
          <w:szCs w:val="22"/>
        </w:rPr>
        <w:t xml:space="preserve"> </w:t>
      </w:r>
      <w:r w:rsidR="007024B6" w:rsidRPr="00C66C24">
        <w:rPr>
          <w:rFonts w:ascii="Calibri" w:eastAsia="Calibri" w:hAnsi="Calibri" w:cs="Calibri"/>
          <w:szCs w:val="22"/>
        </w:rPr>
        <w:t xml:space="preserve">CleanSeaNet service detected </w:t>
      </w:r>
      <w:r w:rsidRPr="00C66C24">
        <w:rPr>
          <w:rFonts w:ascii="Calibri" w:eastAsia="Calibri" w:hAnsi="Calibri" w:cs="Calibri"/>
          <w:szCs w:val="22"/>
        </w:rPr>
        <w:t>a total of 4</w:t>
      </w:r>
      <w:r w:rsidR="00F46E8D" w:rsidRPr="00C66C24">
        <w:rPr>
          <w:rFonts w:ascii="Calibri" w:eastAsia="Calibri" w:hAnsi="Calibri" w:cs="Calibri"/>
          <w:szCs w:val="22"/>
        </w:rPr>
        <w:t>,</w:t>
      </w:r>
      <w:r w:rsidRPr="00C66C24">
        <w:rPr>
          <w:rFonts w:ascii="Calibri" w:eastAsia="Calibri" w:hAnsi="Calibri" w:cs="Calibri"/>
          <w:szCs w:val="22"/>
        </w:rPr>
        <w:t xml:space="preserve">911 possible </w:t>
      </w:r>
      <w:r w:rsidR="00716186" w:rsidRPr="00C66C24">
        <w:rPr>
          <w:rFonts w:ascii="Calibri" w:eastAsia="Calibri" w:hAnsi="Calibri" w:cs="Calibri"/>
          <w:szCs w:val="22"/>
        </w:rPr>
        <w:t xml:space="preserve">oil </w:t>
      </w:r>
      <w:r w:rsidRPr="00C66C24">
        <w:rPr>
          <w:rFonts w:ascii="Calibri" w:eastAsia="Calibri" w:hAnsi="Calibri" w:cs="Calibri"/>
          <w:szCs w:val="22"/>
        </w:rPr>
        <w:t>spills</w:t>
      </w:r>
      <w:r w:rsidR="006F7EBA" w:rsidRPr="00C66C24">
        <w:rPr>
          <w:rFonts w:ascii="Calibri" w:eastAsia="Calibri" w:hAnsi="Calibri" w:cs="Calibri"/>
          <w:szCs w:val="22"/>
        </w:rPr>
        <w:t xml:space="preserve">. </w:t>
      </w:r>
      <w:r w:rsidRPr="00C66C24">
        <w:rPr>
          <w:rFonts w:ascii="Calibri" w:eastAsia="Calibri" w:hAnsi="Calibri" w:cs="Calibri"/>
          <w:szCs w:val="22"/>
        </w:rPr>
        <w:t xml:space="preserve">The </w:t>
      </w:r>
      <w:r w:rsidR="00D70908" w:rsidRPr="00C66C24">
        <w:rPr>
          <w:rFonts w:ascii="Calibri" w:eastAsia="Calibri" w:hAnsi="Calibri" w:cs="Calibri"/>
          <w:szCs w:val="22"/>
        </w:rPr>
        <w:t>CleanSeaNet</w:t>
      </w:r>
      <w:r w:rsidRPr="00C66C24">
        <w:rPr>
          <w:rFonts w:ascii="Calibri" w:eastAsia="Calibri" w:hAnsi="Calibri" w:cs="Calibri"/>
          <w:szCs w:val="22"/>
        </w:rPr>
        <w:t xml:space="preserve"> service uses a two-level classification system</w:t>
      </w:r>
      <w:r w:rsidR="00813C39" w:rsidRPr="00C66C24">
        <w:rPr>
          <w:rFonts w:ascii="Calibri" w:eastAsia="Calibri" w:hAnsi="Calibri" w:cs="Calibri"/>
          <w:szCs w:val="22"/>
        </w:rPr>
        <w:t xml:space="preserve">, namely </w:t>
      </w:r>
      <w:r w:rsidRPr="00C66C24">
        <w:rPr>
          <w:rFonts w:ascii="Calibri" w:eastAsia="Calibri" w:hAnsi="Calibri" w:cs="Calibri"/>
          <w:szCs w:val="22"/>
        </w:rPr>
        <w:t>Class A and Class B</w:t>
      </w:r>
      <w:r w:rsidR="00813C39" w:rsidRPr="00C66C24">
        <w:rPr>
          <w:rFonts w:ascii="Calibri" w:eastAsia="Calibri" w:hAnsi="Calibri" w:cs="Calibri"/>
          <w:szCs w:val="22"/>
        </w:rPr>
        <w:t>,</w:t>
      </w:r>
      <w:r w:rsidRPr="00C66C24">
        <w:rPr>
          <w:rFonts w:ascii="Calibri" w:eastAsia="Calibri" w:hAnsi="Calibri" w:cs="Calibri"/>
          <w:szCs w:val="22"/>
        </w:rPr>
        <w:t xml:space="preserve"> to indicate the likelihood that a feature detected in a satellite image is a spill. Class A suggests that the detected spill has a higher (more than 50%) detection confidence level, implying that it is </w:t>
      </w:r>
      <w:r w:rsidR="00813C39" w:rsidRPr="00C66C24">
        <w:rPr>
          <w:rFonts w:ascii="Calibri" w:eastAsia="Calibri" w:hAnsi="Calibri" w:cs="Calibri"/>
          <w:szCs w:val="22"/>
        </w:rPr>
        <w:t xml:space="preserve">more </w:t>
      </w:r>
      <w:r w:rsidRPr="00C66C24">
        <w:rPr>
          <w:rFonts w:ascii="Calibri" w:eastAsia="Calibri" w:hAnsi="Calibri" w:cs="Calibri"/>
          <w:szCs w:val="22"/>
        </w:rPr>
        <w:t>likely to be an oil spill. Conversely, a Class B classification indicates a lower (less than 50%) detection confidence level, suggesting that it is less likely to be an oil spill. This two-level classification system helps Member States prioriti</w:t>
      </w:r>
      <w:r w:rsidR="008476CD" w:rsidRPr="00C66C24">
        <w:rPr>
          <w:rFonts w:ascii="Calibri" w:eastAsia="Calibri" w:hAnsi="Calibri" w:cs="Calibri"/>
          <w:szCs w:val="22"/>
        </w:rPr>
        <w:t>s</w:t>
      </w:r>
      <w:r w:rsidRPr="00C66C24">
        <w:rPr>
          <w:rFonts w:ascii="Calibri" w:eastAsia="Calibri" w:hAnsi="Calibri" w:cs="Calibri"/>
          <w:szCs w:val="22"/>
        </w:rPr>
        <w:t>e their response efforts accordingly.</w:t>
      </w:r>
    </w:p>
    <w:p w14:paraId="046977CD" w14:textId="45850EFB" w:rsidR="00F47AC5" w:rsidRPr="00C66C24" w:rsidRDefault="63AADDDF" w:rsidP="008C6A9C">
      <w:pPr>
        <w:keepNext/>
        <w:spacing w:line="257" w:lineRule="auto"/>
        <w:jc w:val="center"/>
      </w:pPr>
      <w:r w:rsidRPr="00C66C24">
        <w:rPr>
          <w:noProof/>
        </w:rPr>
        <w:drawing>
          <wp:inline distT="0" distB="0" distL="0" distR="0" wp14:anchorId="1297376F" wp14:editId="2A1E4FCB">
            <wp:extent cx="4572000" cy="4543425"/>
            <wp:effectExtent l="0" t="0" r="0" b="0"/>
            <wp:docPr id="1461366614" name="Picture 1461366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366614"/>
                    <pic:cNvPicPr/>
                  </pic:nvPicPr>
                  <pic:blipFill>
                    <a:blip r:embed="rId48">
                      <a:extLst>
                        <a:ext uri="{28A0092B-C50C-407E-A947-70E740481C1C}">
                          <a14:useLocalDpi xmlns:a14="http://schemas.microsoft.com/office/drawing/2010/main" val="0"/>
                        </a:ext>
                      </a:extLst>
                    </a:blip>
                    <a:stretch>
                      <a:fillRect/>
                    </a:stretch>
                  </pic:blipFill>
                  <pic:spPr>
                    <a:xfrm>
                      <a:off x="0" y="0"/>
                      <a:ext cx="4572000" cy="4543425"/>
                    </a:xfrm>
                    <a:prstGeom prst="rect">
                      <a:avLst/>
                    </a:prstGeom>
                  </pic:spPr>
                </pic:pic>
              </a:graphicData>
            </a:graphic>
          </wp:inline>
        </w:drawing>
      </w:r>
    </w:p>
    <w:p w14:paraId="40AD9EEF" w14:textId="76773F32" w:rsidR="63AADDDF" w:rsidRPr="00C66C24" w:rsidRDefault="00F47AC5" w:rsidP="008C6A9C">
      <w:pPr>
        <w:pStyle w:val="Caption"/>
        <w:spacing w:after="0" w:line="257" w:lineRule="auto"/>
        <w:jc w:val="center"/>
        <w:rPr>
          <w:sz w:val="20"/>
          <w:szCs w:val="20"/>
        </w:rPr>
      </w:pPr>
      <w:bookmarkStart w:id="117" w:name="Map_37"/>
      <w:bookmarkStart w:id="118" w:name="_Ref156397775"/>
      <w:r w:rsidRPr="00C66C24">
        <w:rPr>
          <w:sz w:val="20"/>
          <w:szCs w:val="20"/>
        </w:rPr>
        <w:t xml:space="preserve">Map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00741FD6" w:rsidRPr="00C66C24">
        <w:rPr>
          <w:noProof/>
          <w:sz w:val="20"/>
          <w:szCs w:val="20"/>
        </w:rPr>
        <w:t>2</w:t>
      </w:r>
      <w:r w:rsidRPr="00C66C24">
        <w:rPr>
          <w:sz w:val="20"/>
          <w:szCs w:val="20"/>
        </w:rPr>
        <w:fldChar w:fldCharType="end"/>
      </w:r>
      <w:r w:rsidRPr="00C66C24">
        <w:rPr>
          <w:sz w:val="20"/>
          <w:szCs w:val="20"/>
        </w:rPr>
        <w:t>.</w:t>
      </w:r>
      <w:r w:rsidR="005936C3" w:rsidRPr="00C66C24">
        <w:rPr>
          <w:sz w:val="20"/>
          <w:szCs w:val="20"/>
        </w:rPr>
        <w:fldChar w:fldCharType="begin"/>
      </w:r>
      <w:r w:rsidR="005936C3" w:rsidRPr="00C66C24">
        <w:rPr>
          <w:sz w:val="20"/>
          <w:szCs w:val="20"/>
        </w:rPr>
        <w:instrText xml:space="preserve"> SEQ Map \* ARABIC \s 1 </w:instrText>
      </w:r>
      <w:r w:rsidR="005936C3" w:rsidRPr="00C66C24">
        <w:rPr>
          <w:sz w:val="20"/>
          <w:szCs w:val="20"/>
        </w:rPr>
        <w:fldChar w:fldCharType="separate"/>
      </w:r>
      <w:r w:rsidR="00AE7E1A" w:rsidRPr="00C66C24">
        <w:rPr>
          <w:noProof/>
          <w:sz w:val="20"/>
          <w:szCs w:val="20"/>
        </w:rPr>
        <w:t>7</w:t>
      </w:r>
      <w:r w:rsidR="005936C3" w:rsidRPr="00C66C24">
        <w:rPr>
          <w:sz w:val="20"/>
          <w:szCs w:val="20"/>
        </w:rPr>
        <w:fldChar w:fldCharType="end"/>
      </w:r>
      <w:bookmarkEnd w:id="117"/>
      <w:r w:rsidRPr="00C66C24">
        <w:rPr>
          <w:sz w:val="20"/>
          <w:szCs w:val="20"/>
        </w:rPr>
        <w:t xml:space="preserve"> Class A </w:t>
      </w:r>
      <w:r w:rsidR="005F300E" w:rsidRPr="00C66C24">
        <w:rPr>
          <w:sz w:val="20"/>
          <w:szCs w:val="20"/>
        </w:rPr>
        <w:t xml:space="preserve">(52%) </w:t>
      </w:r>
      <w:r w:rsidRPr="00C66C24">
        <w:rPr>
          <w:sz w:val="20"/>
          <w:szCs w:val="20"/>
        </w:rPr>
        <w:t xml:space="preserve">and Class B </w:t>
      </w:r>
      <w:r w:rsidR="005F300E" w:rsidRPr="00C66C24">
        <w:rPr>
          <w:sz w:val="20"/>
          <w:szCs w:val="20"/>
        </w:rPr>
        <w:t xml:space="preserve">(48%) </w:t>
      </w:r>
      <w:r w:rsidRPr="00C66C24">
        <w:rPr>
          <w:sz w:val="20"/>
          <w:szCs w:val="20"/>
        </w:rPr>
        <w:t>oil spill detections in 2022</w:t>
      </w:r>
      <w:r w:rsidR="00BA1AE3" w:rsidRPr="00C66C24">
        <w:rPr>
          <w:sz w:val="20"/>
          <w:szCs w:val="20"/>
        </w:rPr>
        <w:t xml:space="preserve"> (except French Outermost Regions)</w:t>
      </w:r>
      <w:r w:rsidR="00421EA7" w:rsidRPr="00C66C24">
        <w:rPr>
          <w:sz w:val="20"/>
          <w:szCs w:val="20"/>
        </w:rPr>
        <w:t>.</w:t>
      </w:r>
      <w:bookmarkEnd w:id="118"/>
    </w:p>
    <w:p w14:paraId="006C7D5B" w14:textId="15B5FFE9" w:rsidR="67C652FB" w:rsidRPr="00C66C24" w:rsidRDefault="00ED2942" w:rsidP="008C6A9C">
      <w:pPr>
        <w:spacing w:before="0" w:after="120" w:line="257" w:lineRule="auto"/>
        <w:jc w:val="center"/>
        <w:rPr>
          <w:rFonts w:ascii="Calibri" w:eastAsia="Calibri" w:hAnsi="Calibri" w:cs="Calibri"/>
          <w:sz w:val="20"/>
          <w:szCs w:val="20"/>
        </w:rPr>
      </w:pPr>
      <w:r w:rsidRPr="00C66C24">
        <w:rPr>
          <w:rFonts w:ascii="Calibri" w:eastAsia="Calibri" w:hAnsi="Calibri" w:cs="Calibri"/>
          <w:sz w:val="20"/>
          <w:szCs w:val="20"/>
        </w:rPr>
        <w:t xml:space="preserve">Source: EMSA, </w:t>
      </w:r>
      <w:r w:rsidR="00CA161E" w:rsidRPr="00C66C24">
        <w:rPr>
          <w:rFonts w:ascii="Calibri" w:eastAsia="Calibri" w:hAnsi="Calibri" w:cs="Calibri"/>
          <w:sz w:val="20"/>
          <w:szCs w:val="20"/>
        </w:rPr>
        <w:t>CleanSeaNet</w:t>
      </w:r>
      <w:r w:rsidR="002544D3" w:rsidRPr="00C66C24">
        <w:rPr>
          <w:rFonts w:ascii="Calibri" w:eastAsia="Calibri" w:hAnsi="Calibri" w:cs="Calibri"/>
          <w:sz w:val="20"/>
          <w:szCs w:val="20"/>
        </w:rPr>
        <w:t>.</w:t>
      </w:r>
    </w:p>
    <w:p w14:paraId="1F7900CB" w14:textId="481E43F6" w:rsidR="00E97707" w:rsidRPr="00C66C24" w:rsidRDefault="00FE5931" w:rsidP="008C6A9C">
      <w:pPr>
        <w:spacing w:before="0" w:after="120" w:line="257" w:lineRule="auto"/>
        <w:rPr>
          <w:rFonts w:ascii="Calibri" w:eastAsia="Calibri" w:hAnsi="Calibri" w:cs="Calibri"/>
          <w:szCs w:val="22"/>
        </w:rPr>
      </w:pPr>
      <w:r w:rsidRPr="00C66C24">
        <w:rPr>
          <w:rFonts w:ascii="Calibri" w:eastAsia="Calibri" w:hAnsi="Calibri" w:cs="Calibri"/>
          <w:szCs w:val="22"/>
        </w:rPr>
        <w:fldChar w:fldCharType="begin"/>
      </w:r>
      <w:r w:rsidRPr="00C66C24">
        <w:rPr>
          <w:rFonts w:ascii="Calibri" w:eastAsia="Calibri" w:hAnsi="Calibri" w:cs="Calibri"/>
          <w:szCs w:val="22"/>
        </w:rPr>
        <w:instrText xml:space="preserve"> REF Map_37 \h  \* MERGEFORMAT </w:instrText>
      </w:r>
      <w:r w:rsidRPr="00C66C24">
        <w:rPr>
          <w:rFonts w:ascii="Calibri" w:eastAsia="Calibri" w:hAnsi="Calibri" w:cs="Calibri"/>
          <w:szCs w:val="22"/>
        </w:rPr>
      </w:r>
      <w:r w:rsidRPr="00C66C24">
        <w:rPr>
          <w:rFonts w:ascii="Calibri" w:eastAsia="Calibri" w:hAnsi="Calibri" w:cs="Calibri"/>
          <w:szCs w:val="22"/>
        </w:rPr>
        <w:fldChar w:fldCharType="separate"/>
      </w:r>
      <w:r w:rsidR="00741FD6" w:rsidRPr="00C66C24">
        <w:rPr>
          <w:rFonts w:ascii="Calibri" w:hAnsi="Calibri" w:cs="Calibri"/>
          <w:szCs w:val="22"/>
        </w:rPr>
        <w:t xml:space="preserve">Map </w:t>
      </w:r>
      <w:r w:rsidR="00741FD6" w:rsidRPr="00C66C24">
        <w:rPr>
          <w:rFonts w:ascii="Calibri" w:hAnsi="Calibri" w:cs="Calibri"/>
          <w:noProof/>
          <w:szCs w:val="22"/>
        </w:rPr>
        <w:t>2.7</w:t>
      </w:r>
      <w:r w:rsidRPr="00C66C24">
        <w:rPr>
          <w:rFonts w:ascii="Calibri" w:eastAsia="Calibri" w:hAnsi="Calibri" w:cs="Calibri"/>
          <w:szCs w:val="22"/>
        </w:rPr>
        <w:fldChar w:fldCharType="end"/>
      </w:r>
      <w:r w:rsidRPr="00C66C24">
        <w:rPr>
          <w:rFonts w:ascii="Calibri" w:eastAsia="Calibri" w:hAnsi="Calibri" w:cs="Calibri"/>
          <w:szCs w:val="22"/>
        </w:rPr>
        <w:t xml:space="preserve"> </w:t>
      </w:r>
      <w:r w:rsidR="00D70908" w:rsidRPr="00C66C24">
        <w:rPr>
          <w:rFonts w:ascii="Calibri" w:eastAsia="Calibri" w:hAnsi="Calibri" w:cs="Calibri"/>
          <w:szCs w:val="22"/>
        </w:rPr>
        <w:t>shows</w:t>
      </w:r>
      <w:r w:rsidR="005A21E4" w:rsidRPr="00C66C24">
        <w:rPr>
          <w:rFonts w:ascii="Calibri" w:eastAsia="Calibri" w:hAnsi="Calibri" w:cs="Calibri"/>
          <w:szCs w:val="22"/>
        </w:rPr>
        <w:t xml:space="preserve"> that </w:t>
      </w:r>
      <w:r w:rsidR="007D1594" w:rsidRPr="00C66C24">
        <w:rPr>
          <w:rFonts w:ascii="Calibri" w:eastAsia="Calibri" w:hAnsi="Calibri" w:cs="Calibri"/>
          <w:szCs w:val="22"/>
        </w:rPr>
        <w:t>there</w:t>
      </w:r>
      <w:r w:rsidR="005A21E4" w:rsidRPr="00C66C24">
        <w:rPr>
          <w:rFonts w:ascii="Calibri" w:eastAsia="Calibri" w:hAnsi="Calibri" w:cs="Calibri"/>
          <w:szCs w:val="22"/>
        </w:rPr>
        <w:t xml:space="preserve"> are</w:t>
      </w:r>
      <w:r w:rsidR="60E97ED1" w:rsidRPr="00C66C24">
        <w:rPr>
          <w:rFonts w:ascii="Calibri" w:eastAsia="Calibri" w:hAnsi="Calibri" w:cs="Calibri"/>
          <w:szCs w:val="22"/>
        </w:rPr>
        <w:t xml:space="preserve"> </w:t>
      </w:r>
      <w:r w:rsidR="00D70908" w:rsidRPr="00C66C24">
        <w:rPr>
          <w:rFonts w:ascii="Calibri" w:eastAsia="Calibri" w:hAnsi="Calibri" w:cs="Calibri"/>
          <w:szCs w:val="22"/>
        </w:rPr>
        <w:t>more potential</w:t>
      </w:r>
      <w:r w:rsidR="60E97ED1" w:rsidRPr="00C66C24">
        <w:rPr>
          <w:rFonts w:ascii="Calibri" w:eastAsia="Calibri" w:hAnsi="Calibri" w:cs="Calibri"/>
          <w:szCs w:val="22"/>
        </w:rPr>
        <w:t xml:space="preserve"> oil spills in the North Sea and Mediterranean Sea compared to other areas. Both regions experience high traffic, with a significant number of ships passing through daily, increasing the likelihood of illegal discharges and accidents.</w:t>
      </w:r>
      <w:r w:rsidR="00BB77E1" w:rsidRPr="00C66C24">
        <w:rPr>
          <w:rFonts w:ascii="Calibri" w:eastAsia="Calibri" w:hAnsi="Calibri" w:cs="Calibri"/>
          <w:szCs w:val="22"/>
        </w:rPr>
        <w:t xml:space="preserve"> </w:t>
      </w:r>
      <w:r w:rsidR="60E97ED1" w:rsidRPr="00C66C24">
        <w:rPr>
          <w:rFonts w:ascii="Calibri" w:eastAsia="Calibri" w:hAnsi="Calibri" w:cs="Calibri"/>
          <w:szCs w:val="22"/>
        </w:rPr>
        <w:t>Furthermore, the North Sea is one of the world</w:t>
      </w:r>
      <w:r w:rsidR="00D51B55" w:rsidRPr="00C66C24">
        <w:rPr>
          <w:rFonts w:ascii="Calibri" w:eastAsia="Calibri" w:hAnsi="Calibri" w:cs="Calibri"/>
          <w:szCs w:val="22"/>
        </w:rPr>
        <w:t>’</w:t>
      </w:r>
      <w:r w:rsidR="60E97ED1" w:rsidRPr="00C66C24">
        <w:rPr>
          <w:rFonts w:ascii="Calibri" w:eastAsia="Calibri" w:hAnsi="Calibri" w:cs="Calibri"/>
          <w:szCs w:val="22"/>
        </w:rPr>
        <w:t xml:space="preserve">s largest offshore oil and gas production regions, with numerous platforms and drilling rigs operating in the area. Accidental </w:t>
      </w:r>
      <w:r w:rsidR="00D70908" w:rsidRPr="00C66C24">
        <w:rPr>
          <w:rFonts w:ascii="Calibri" w:eastAsia="Calibri" w:hAnsi="Calibri" w:cs="Calibri"/>
          <w:szCs w:val="22"/>
        </w:rPr>
        <w:t>and operational</w:t>
      </w:r>
      <w:r w:rsidR="60E97ED1" w:rsidRPr="00C66C24">
        <w:rPr>
          <w:rFonts w:ascii="Calibri" w:eastAsia="Calibri" w:hAnsi="Calibri" w:cs="Calibri"/>
          <w:szCs w:val="22"/>
        </w:rPr>
        <w:t xml:space="preserve"> spills associated with offshore oil and gas production could </w:t>
      </w:r>
      <w:r w:rsidR="00472653" w:rsidRPr="00C66C24">
        <w:rPr>
          <w:rFonts w:ascii="Calibri" w:eastAsia="Calibri" w:hAnsi="Calibri" w:cs="Calibri"/>
          <w:szCs w:val="22"/>
        </w:rPr>
        <w:t>additionally</w:t>
      </w:r>
      <w:r w:rsidR="60E97ED1" w:rsidRPr="00C66C24">
        <w:rPr>
          <w:rFonts w:ascii="Calibri" w:eastAsia="Calibri" w:hAnsi="Calibri" w:cs="Calibri"/>
          <w:szCs w:val="22"/>
        </w:rPr>
        <w:t xml:space="preserve"> contribute to </w:t>
      </w:r>
      <w:r w:rsidR="00D70908" w:rsidRPr="00C66C24">
        <w:rPr>
          <w:rFonts w:ascii="Calibri" w:eastAsia="Calibri" w:hAnsi="Calibri" w:cs="Calibri"/>
          <w:szCs w:val="22"/>
        </w:rPr>
        <w:t>the large</w:t>
      </w:r>
      <w:r w:rsidR="60E97ED1" w:rsidRPr="00C66C24">
        <w:rPr>
          <w:rFonts w:ascii="Calibri" w:eastAsia="Calibri" w:hAnsi="Calibri" w:cs="Calibri"/>
          <w:szCs w:val="22"/>
        </w:rPr>
        <w:t xml:space="preserve"> number of </w:t>
      </w:r>
      <w:r w:rsidR="00D70908" w:rsidRPr="00C66C24">
        <w:rPr>
          <w:rFonts w:ascii="Calibri" w:eastAsia="Calibri" w:hAnsi="Calibri" w:cs="Calibri"/>
          <w:szCs w:val="22"/>
        </w:rPr>
        <w:t xml:space="preserve">potential </w:t>
      </w:r>
      <w:r w:rsidR="60E97ED1" w:rsidRPr="00C66C24">
        <w:rPr>
          <w:rFonts w:ascii="Calibri" w:eastAsia="Calibri" w:hAnsi="Calibri" w:cs="Calibri"/>
          <w:szCs w:val="22"/>
        </w:rPr>
        <w:t xml:space="preserve">pollution </w:t>
      </w:r>
      <w:r w:rsidR="00D70908" w:rsidRPr="00C66C24">
        <w:rPr>
          <w:rFonts w:ascii="Calibri" w:eastAsia="Calibri" w:hAnsi="Calibri" w:cs="Calibri"/>
          <w:szCs w:val="22"/>
        </w:rPr>
        <w:t>alerts</w:t>
      </w:r>
      <w:r w:rsidR="60E97ED1" w:rsidRPr="00C66C24">
        <w:rPr>
          <w:rFonts w:ascii="Calibri" w:eastAsia="Calibri" w:hAnsi="Calibri" w:cs="Calibri"/>
          <w:szCs w:val="22"/>
        </w:rPr>
        <w:t>.</w:t>
      </w:r>
      <w:r w:rsidR="007024B6" w:rsidRPr="00C66C24">
        <w:rPr>
          <w:rFonts w:ascii="Calibri" w:eastAsia="Calibri" w:hAnsi="Calibri" w:cs="Calibri"/>
          <w:szCs w:val="22"/>
        </w:rPr>
        <w:t xml:space="preserve"> </w:t>
      </w:r>
      <w:r w:rsidR="60E97ED1" w:rsidRPr="00C66C24">
        <w:rPr>
          <w:rFonts w:ascii="Calibri" w:eastAsia="Calibri" w:hAnsi="Calibri" w:cs="Calibri"/>
          <w:szCs w:val="22"/>
        </w:rPr>
        <w:t>The Mediterranean Sea is a highly industriali</w:t>
      </w:r>
      <w:r w:rsidR="00D70908" w:rsidRPr="00C66C24">
        <w:rPr>
          <w:rFonts w:ascii="Calibri" w:eastAsia="Calibri" w:hAnsi="Calibri" w:cs="Calibri"/>
          <w:szCs w:val="22"/>
        </w:rPr>
        <w:t>s</w:t>
      </w:r>
      <w:r w:rsidR="60E97ED1" w:rsidRPr="00C66C24">
        <w:rPr>
          <w:rFonts w:ascii="Calibri" w:eastAsia="Calibri" w:hAnsi="Calibri" w:cs="Calibri"/>
          <w:szCs w:val="22"/>
        </w:rPr>
        <w:t>ed region, with numerous ports, refineries, and petrochemical plants located along its coastlines. Industrial activit</w:t>
      </w:r>
      <w:r w:rsidR="00D70908" w:rsidRPr="00C66C24">
        <w:rPr>
          <w:rFonts w:ascii="Calibri" w:eastAsia="Calibri" w:hAnsi="Calibri" w:cs="Calibri"/>
          <w:szCs w:val="22"/>
        </w:rPr>
        <w:t>ies</w:t>
      </w:r>
      <w:r w:rsidR="60E97ED1" w:rsidRPr="00C66C24">
        <w:rPr>
          <w:rFonts w:ascii="Calibri" w:eastAsia="Calibri" w:hAnsi="Calibri" w:cs="Calibri"/>
          <w:szCs w:val="22"/>
        </w:rPr>
        <w:t xml:space="preserve"> elevate the risk of pollution incidents.</w:t>
      </w:r>
      <w:r w:rsidR="00D70908" w:rsidRPr="00C66C24">
        <w:rPr>
          <w:rFonts w:ascii="Calibri" w:eastAsia="Calibri" w:hAnsi="Calibri" w:cs="Calibri"/>
          <w:szCs w:val="22"/>
        </w:rPr>
        <w:t xml:space="preserve"> </w:t>
      </w:r>
      <w:r w:rsidR="00DD3254" w:rsidRPr="00C66C24">
        <w:rPr>
          <w:rFonts w:ascii="Calibri" w:eastAsia="Calibri" w:hAnsi="Calibri" w:cs="Calibri"/>
          <w:szCs w:val="22"/>
        </w:rPr>
        <w:t>For example, s</w:t>
      </w:r>
      <w:r w:rsidR="00F904AC" w:rsidRPr="00C66C24">
        <w:rPr>
          <w:rFonts w:ascii="Calibri" w:eastAsia="Calibri" w:hAnsi="Calibri" w:cs="Calibri"/>
          <w:szCs w:val="22"/>
        </w:rPr>
        <w:t>tudies have shown how a</w:t>
      </w:r>
      <w:r w:rsidR="00E97707" w:rsidRPr="00C66C24">
        <w:rPr>
          <w:rFonts w:ascii="Calibri" w:eastAsia="Calibri" w:hAnsi="Calibri" w:cs="Calibri"/>
          <w:szCs w:val="22"/>
        </w:rPr>
        <w:t>round 35% of oil that enters the sea comes from regular shipping operations</w:t>
      </w:r>
      <w:r w:rsidR="005122A8" w:rsidRPr="00C66C24">
        <w:rPr>
          <w:rFonts w:ascii="Calibri" w:eastAsia="Calibri" w:hAnsi="Calibri" w:cs="Calibri"/>
          <w:szCs w:val="22"/>
        </w:rPr>
        <w:t>, and</w:t>
      </w:r>
      <w:r w:rsidR="00E97707" w:rsidRPr="00C66C24">
        <w:rPr>
          <w:rFonts w:ascii="Calibri" w:eastAsia="Calibri" w:hAnsi="Calibri" w:cs="Calibri"/>
          <w:szCs w:val="22"/>
        </w:rPr>
        <w:t xml:space="preserve"> </w:t>
      </w:r>
      <w:r w:rsidR="005122A8" w:rsidRPr="00C66C24">
        <w:rPr>
          <w:rFonts w:ascii="Calibri" w:eastAsia="Calibri" w:hAnsi="Calibri" w:cs="Calibri"/>
          <w:szCs w:val="22"/>
        </w:rPr>
        <w:t>a</w:t>
      </w:r>
      <w:r w:rsidR="00E97707" w:rsidRPr="00C66C24">
        <w:rPr>
          <w:rFonts w:ascii="Calibri" w:eastAsia="Calibri" w:hAnsi="Calibri" w:cs="Calibri"/>
          <w:szCs w:val="22"/>
        </w:rPr>
        <w:t xml:space="preserve">round 45% of oil is input from land-based sources with municipal/industrial effluents and from routine oil rig operations, 10% from accidents of oil tankers, 5% natural sources, 5% undefined sources </w:t>
      </w:r>
      <w:r w:rsidR="005536D4" w:rsidRPr="00C66C24">
        <w:rPr>
          <w:rFonts w:ascii="Calibri" w:eastAsia="Calibri" w:hAnsi="Calibri" w:cs="Calibri"/>
          <w:szCs w:val="22"/>
        </w:rPr>
        <w:fldChar w:fldCharType="begin"/>
      </w:r>
      <w:r w:rsidR="001855E3" w:rsidRPr="00C66C24">
        <w:rPr>
          <w:rFonts w:ascii="Calibri" w:eastAsia="Calibri" w:hAnsi="Calibri" w:cs="Calibri"/>
          <w:szCs w:val="22"/>
        </w:rPr>
        <w:instrText xml:space="preserve"> ADDIN ZOTERO_ITEM CSL_CITATION {"citationID":"a72la3f6mh","properties":{"formattedCitation":"(World Ocean Review, 2014)","plainCitation":"(World Ocean Review, 2014)","noteIndex":0},"citationItems":[{"id":59213,"uris":["http://zotero.org/groups/122386/items/6JINP7L2"],"itemData":{"id":59213,"type":"webpage","title":"World Ocean Review 3","title-short":"WOR 3","URL":"https://worldoceanreview.com/en/wor-3/oil-and-gas/oiling-the-oceans/","author":[{"literal":"World Ocean Review"}],"issued":{"date-parts":[["2014"]]}}}],"schema":"https://github.com/citation-style-language/schema/raw/master/csl-citation.json"} </w:instrText>
      </w:r>
      <w:r w:rsidR="005536D4" w:rsidRPr="00C66C24">
        <w:rPr>
          <w:rFonts w:ascii="Calibri" w:eastAsia="Calibri" w:hAnsi="Calibri" w:cs="Calibri"/>
          <w:szCs w:val="22"/>
        </w:rPr>
        <w:fldChar w:fldCharType="separate"/>
      </w:r>
      <w:r w:rsidR="001855E3" w:rsidRPr="00C66C24">
        <w:rPr>
          <w:rFonts w:ascii="Calibri" w:eastAsia="Calibri" w:hAnsi="Calibri" w:cs="Calibri"/>
          <w:szCs w:val="22"/>
        </w:rPr>
        <w:t>(World Ocean Review, 2014)</w:t>
      </w:r>
      <w:r w:rsidR="005536D4" w:rsidRPr="00C66C24">
        <w:rPr>
          <w:rFonts w:ascii="Calibri" w:eastAsia="Calibri" w:hAnsi="Calibri" w:cs="Calibri"/>
          <w:szCs w:val="22"/>
        </w:rPr>
        <w:fldChar w:fldCharType="end"/>
      </w:r>
      <w:r w:rsidR="00E97707" w:rsidRPr="00C66C24">
        <w:rPr>
          <w:rFonts w:ascii="Calibri" w:eastAsia="Calibri" w:hAnsi="Calibri" w:cs="Calibri"/>
          <w:szCs w:val="22"/>
        </w:rPr>
        <w:t>.</w:t>
      </w:r>
    </w:p>
    <w:p w14:paraId="1C14B6ED" w14:textId="12B2157C" w:rsidR="00240869" w:rsidRPr="00C66C24" w:rsidRDefault="00A774E5" w:rsidP="008C6A9C">
      <w:pPr>
        <w:spacing w:before="0" w:after="120" w:line="257" w:lineRule="auto"/>
        <w:rPr>
          <w:rFonts w:ascii="Calibri" w:hAnsi="Calibri" w:cs="Calibri"/>
          <w:spacing w:val="-6"/>
          <w:szCs w:val="22"/>
        </w:rPr>
      </w:pPr>
      <w:r w:rsidRPr="00C66C24">
        <w:rPr>
          <w:noProof/>
        </w:rPr>
        <w:drawing>
          <wp:inline distT="0" distB="0" distL="0" distR="0" wp14:anchorId="54EEF24A" wp14:editId="5C45544D">
            <wp:extent cx="5007600" cy="3326400"/>
            <wp:effectExtent l="0" t="0" r="317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r:link="rId50">
                      <a:extLst>
                        <a:ext uri="{28A0092B-C50C-407E-A947-70E740481C1C}">
                          <a14:useLocalDpi xmlns:a14="http://schemas.microsoft.com/office/drawing/2010/main" val="0"/>
                        </a:ext>
                      </a:extLst>
                    </a:blip>
                    <a:srcRect/>
                    <a:stretch>
                      <a:fillRect/>
                    </a:stretch>
                  </pic:blipFill>
                  <pic:spPr bwMode="auto">
                    <a:xfrm>
                      <a:off x="0" y="0"/>
                      <a:ext cx="5007600" cy="3326400"/>
                    </a:xfrm>
                    <a:prstGeom prst="rect">
                      <a:avLst/>
                    </a:prstGeom>
                    <a:noFill/>
                    <a:ln>
                      <a:noFill/>
                    </a:ln>
                  </pic:spPr>
                </pic:pic>
              </a:graphicData>
            </a:graphic>
          </wp:inline>
        </w:drawing>
      </w:r>
    </w:p>
    <w:p w14:paraId="12B81E89" w14:textId="6411BE05" w:rsidR="00176F1B" w:rsidRPr="00C66C24" w:rsidRDefault="00A774E5" w:rsidP="008C6A9C">
      <w:pPr>
        <w:pStyle w:val="Caption"/>
        <w:spacing w:after="0" w:line="257" w:lineRule="auto"/>
        <w:jc w:val="center"/>
        <w:rPr>
          <w:sz w:val="20"/>
          <w:szCs w:val="20"/>
        </w:rPr>
      </w:pPr>
      <w:bookmarkStart w:id="119" w:name="_Ref156398672"/>
      <w:bookmarkStart w:id="120" w:name="_Ref156398662"/>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DC221D" w:rsidRPr="00C66C24">
        <w:rPr>
          <w:noProof/>
          <w:sz w:val="20"/>
          <w:szCs w:val="20"/>
        </w:rPr>
        <w:t>22</w:t>
      </w:r>
      <w:r w:rsidR="00A81F61" w:rsidRPr="00C66C24">
        <w:rPr>
          <w:sz w:val="20"/>
          <w:szCs w:val="20"/>
        </w:rPr>
        <w:fldChar w:fldCharType="end"/>
      </w:r>
      <w:bookmarkEnd w:id="119"/>
      <w:r w:rsidRPr="00C66C24">
        <w:rPr>
          <w:sz w:val="20"/>
          <w:szCs w:val="20"/>
        </w:rPr>
        <w:t xml:space="preserve"> Histogram of CSN Oil spill detections according to areas classes (km2) 2020-2022</w:t>
      </w:r>
      <w:r w:rsidR="00CA161E" w:rsidRPr="00C66C24">
        <w:rPr>
          <w:sz w:val="20"/>
          <w:szCs w:val="20"/>
        </w:rPr>
        <w:t>.</w:t>
      </w:r>
      <w:bookmarkEnd w:id="120"/>
    </w:p>
    <w:p w14:paraId="273498C4" w14:textId="6AF9EF58" w:rsidR="00CA161E" w:rsidRPr="00C66C24" w:rsidRDefault="00CA161E" w:rsidP="008C6A9C">
      <w:pPr>
        <w:spacing w:before="0" w:after="120" w:line="257" w:lineRule="auto"/>
        <w:jc w:val="center"/>
        <w:rPr>
          <w:sz w:val="20"/>
          <w:szCs w:val="20"/>
        </w:rPr>
      </w:pPr>
      <w:r w:rsidRPr="00C66C24">
        <w:rPr>
          <w:sz w:val="20"/>
          <w:szCs w:val="20"/>
        </w:rPr>
        <w:t>Source: EMSA, CleanSeaNet</w:t>
      </w:r>
      <w:r w:rsidR="007A3BBE" w:rsidRPr="00C66C24">
        <w:rPr>
          <w:sz w:val="20"/>
          <w:szCs w:val="20"/>
        </w:rPr>
        <w:t xml:space="preserve"> (2023).</w:t>
      </w:r>
    </w:p>
    <w:p w14:paraId="66333A17" w14:textId="28D7B92B" w:rsidR="007453BB" w:rsidRPr="00C66C24" w:rsidRDefault="00975AFA" w:rsidP="008C6A9C">
      <w:pPr>
        <w:spacing w:before="0" w:after="0" w:line="257" w:lineRule="auto"/>
        <w:rPr>
          <w:rFonts w:ascii="Calibri" w:eastAsia="Calibri" w:hAnsi="Calibri" w:cs="Calibri"/>
          <w:szCs w:val="22"/>
        </w:rPr>
      </w:pPr>
      <w:r w:rsidRPr="00C66C24">
        <w:rPr>
          <w:rFonts w:ascii="Calibri" w:eastAsia="Calibri" w:hAnsi="Calibri" w:cs="Calibri"/>
          <w:szCs w:val="22"/>
        </w:rPr>
        <w:t>Overall</w:t>
      </w:r>
      <w:r w:rsidR="005A21E4" w:rsidRPr="00C66C24">
        <w:rPr>
          <w:rFonts w:ascii="Calibri" w:eastAsia="Calibri" w:hAnsi="Calibri" w:cs="Calibri"/>
          <w:szCs w:val="22"/>
        </w:rPr>
        <w:t>,</w:t>
      </w:r>
      <w:r w:rsidRPr="00C66C24">
        <w:rPr>
          <w:rFonts w:ascii="Calibri" w:eastAsia="Calibri" w:hAnsi="Calibri" w:cs="Calibri"/>
          <w:szCs w:val="22"/>
        </w:rPr>
        <w:t xml:space="preserve"> the number </w:t>
      </w:r>
      <w:r w:rsidR="002A2BEE" w:rsidRPr="00C66C24">
        <w:rPr>
          <w:rFonts w:ascii="Calibri" w:eastAsia="Calibri" w:hAnsi="Calibri" w:cs="Calibri"/>
          <w:szCs w:val="22"/>
        </w:rPr>
        <w:t xml:space="preserve">of </w:t>
      </w:r>
      <w:r w:rsidR="004C1747" w:rsidRPr="00C66C24">
        <w:rPr>
          <w:rFonts w:ascii="Calibri" w:eastAsia="Calibri" w:hAnsi="Calibri" w:cs="Calibri"/>
          <w:szCs w:val="22"/>
        </w:rPr>
        <w:t>detected</w:t>
      </w:r>
      <w:r w:rsidR="007B365F" w:rsidRPr="00C66C24">
        <w:rPr>
          <w:rFonts w:ascii="Calibri" w:eastAsia="Calibri" w:hAnsi="Calibri" w:cs="Calibri"/>
          <w:szCs w:val="22"/>
        </w:rPr>
        <w:t xml:space="preserve"> potential pollution incidents</w:t>
      </w:r>
      <w:r w:rsidR="00653B7F" w:rsidRPr="00C66C24">
        <w:rPr>
          <w:rFonts w:ascii="Calibri" w:eastAsia="Calibri" w:hAnsi="Calibri" w:cs="Calibri"/>
          <w:szCs w:val="22"/>
        </w:rPr>
        <w:t xml:space="preserve"> </w:t>
      </w:r>
      <w:r w:rsidR="00402384" w:rsidRPr="00C66C24">
        <w:rPr>
          <w:rFonts w:ascii="Calibri" w:eastAsia="Calibri" w:hAnsi="Calibri" w:cs="Calibri"/>
          <w:szCs w:val="22"/>
        </w:rPr>
        <w:t>ha</w:t>
      </w:r>
      <w:r w:rsidR="00653B7F" w:rsidRPr="00C66C24">
        <w:rPr>
          <w:rFonts w:ascii="Calibri" w:eastAsia="Calibri" w:hAnsi="Calibri" w:cs="Calibri"/>
          <w:szCs w:val="22"/>
        </w:rPr>
        <w:t xml:space="preserve">s </w:t>
      </w:r>
      <w:r w:rsidR="00402384" w:rsidRPr="00C66C24">
        <w:rPr>
          <w:rFonts w:ascii="Calibri" w:eastAsia="Calibri" w:hAnsi="Calibri" w:cs="Calibri"/>
          <w:szCs w:val="22"/>
        </w:rPr>
        <w:t xml:space="preserve">been </w:t>
      </w:r>
      <w:r w:rsidR="00653B7F" w:rsidRPr="00C66C24">
        <w:rPr>
          <w:rFonts w:ascii="Calibri" w:eastAsia="Calibri" w:hAnsi="Calibri" w:cs="Calibri"/>
          <w:szCs w:val="22"/>
        </w:rPr>
        <w:t>reducing</w:t>
      </w:r>
      <w:r w:rsidR="00402384" w:rsidRPr="00C66C24">
        <w:rPr>
          <w:rFonts w:ascii="Calibri" w:eastAsia="Calibri" w:hAnsi="Calibri" w:cs="Calibri"/>
          <w:szCs w:val="22"/>
        </w:rPr>
        <w:t xml:space="preserve"> over time (see </w:t>
      </w:r>
      <w:r w:rsidR="00E67AE5" w:rsidRPr="00C66C24">
        <w:rPr>
          <w:rFonts w:ascii="Calibri" w:eastAsia="Calibri" w:hAnsi="Calibri" w:cs="Calibri"/>
          <w:szCs w:val="22"/>
        </w:rPr>
        <w:fldChar w:fldCharType="begin"/>
      </w:r>
      <w:r w:rsidR="00E67AE5" w:rsidRPr="00C66C24">
        <w:rPr>
          <w:rFonts w:ascii="Calibri" w:eastAsia="Calibri" w:hAnsi="Calibri" w:cs="Calibri"/>
          <w:szCs w:val="22"/>
        </w:rPr>
        <w:instrText xml:space="preserve"> REF _Ref156398662 \h </w:instrText>
      </w:r>
      <w:r w:rsidR="007127A6" w:rsidRPr="00C66C24">
        <w:rPr>
          <w:rFonts w:ascii="Calibri" w:eastAsia="Calibri" w:hAnsi="Calibri" w:cs="Calibri"/>
          <w:szCs w:val="22"/>
        </w:rPr>
        <w:instrText xml:space="preserve"> \* MERGEFORMAT </w:instrText>
      </w:r>
      <w:r w:rsidR="00E67AE5" w:rsidRPr="00C66C24">
        <w:rPr>
          <w:rFonts w:ascii="Calibri" w:eastAsia="Calibri" w:hAnsi="Calibri" w:cs="Calibri"/>
          <w:szCs w:val="22"/>
        </w:rPr>
      </w:r>
      <w:r w:rsidR="00D77731" w:rsidRPr="00C66C24">
        <w:rPr>
          <w:rFonts w:ascii="Calibri" w:eastAsia="Calibri" w:hAnsi="Calibri" w:cs="Calibri"/>
          <w:szCs w:val="22"/>
        </w:rPr>
        <w:fldChar w:fldCharType="separate"/>
      </w:r>
      <w:r w:rsidR="00E67AE5" w:rsidRPr="00C66C24">
        <w:rPr>
          <w:rFonts w:ascii="Calibri" w:eastAsia="Calibri" w:hAnsi="Calibri" w:cs="Calibri"/>
          <w:szCs w:val="22"/>
        </w:rPr>
        <w:fldChar w:fldCharType="end"/>
      </w:r>
      <w:r w:rsidR="00176B1E" w:rsidRPr="00C66C24">
        <w:rPr>
          <w:rFonts w:ascii="Calibri" w:eastAsia="Calibri" w:hAnsi="Calibri" w:cs="Calibri"/>
          <w:szCs w:val="22"/>
        </w:rPr>
        <w:fldChar w:fldCharType="begin"/>
      </w:r>
      <w:r w:rsidR="00176B1E" w:rsidRPr="00C66C24">
        <w:rPr>
          <w:rFonts w:ascii="Calibri" w:eastAsia="Calibri" w:hAnsi="Calibri" w:cs="Calibri"/>
          <w:szCs w:val="22"/>
        </w:rPr>
        <w:instrText xml:space="preserve"> REF _Ref156398672 \h </w:instrText>
      </w:r>
      <w:r w:rsidR="007127A6" w:rsidRPr="00C66C24">
        <w:rPr>
          <w:rFonts w:ascii="Calibri" w:eastAsia="Calibri" w:hAnsi="Calibri" w:cs="Calibri"/>
          <w:szCs w:val="22"/>
        </w:rPr>
        <w:instrText xml:space="preserve"> \* MERGEFORMAT </w:instrText>
      </w:r>
      <w:r w:rsidR="00176B1E" w:rsidRPr="00C66C24">
        <w:rPr>
          <w:rFonts w:ascii="Calibri" w:eastAsia="Calibri" w:hAnsi="Calibri" w:cs="Calibri"/>
          <w:szCs w:val="22"/>
        </w:rPr>
      </w:r>
      <w:r w:rsidR="00176B1E" w:rsidRPr="00C66C24">
        <w:rPr>
          <w:rFonts w:ascii="Calibri" w:eastAsia="Calibri" w:hAnsi="Calibri" w:cs="Calibri"/>
          <w:szCs w:val="22"/>
        </w:rPr>
        <w:fldChar w:fldCharType="separate"/>
      </w:r>
      <w:r w:rsidR="00AD7D48" w:rsidRPr="00C66C24">
        <w:rPr>
          <w:szCs w:val="22"/>
        </w:rPr>
        <w:t>Fig</w:t>
      </w:r>
      <w:bookmarkStart w:id="121" w:name="_Hlt157610505"/>
      <w:r w:rsidR="00AD7D48" w:rsidRPr="00C66C24">
        <w:rPr>
          <w:szCs w:val="22"/>
        </w:rPr>
        <w:t>u</w:t>
      </w:r>
      <w:bookmarkEnd w:id="121"/>
      <w:r w:rsidR="00AD7D48" w:rsidRPr="00C66C24">
        <w:rPr>
          <w:szCs w:val="22"/>
        </w:rPr>
        <w:t>re 2.</w:t>
      </w:r>
      <w:bookmarkStart w:id="122" w:name="_Hlt157610257"/>
      <w:r w:rsidR="00AD7D48" w:rsidRPr="00C66C24">
        <w:rPr>
          <w:szCs w:val="22"/>
        </w:rPr>
        <w:t>2</w:t>
      </w:r>
      <w:bookmarkEnd w:id="122"/>
      <w:r w:rsidR="00AD7D48" w:rsidRPr="00C66C24">
        <w:rPr>
          <w:szCs w:val="22"/>
        </w:rPr>
        <w:t>2</w:t>
      </w:r>
      <w:r w:rsidR="00176B1E" w:rsidRPr="00C66C24">
        <w:rPr>
          <w:rFonts w:ascii="Calibri" w:eastAsia="Calibri" w:hAnsi="Calibri" w:cs="Calibri"/>
          <w:szCs w:val="22"/>
        </w:rPr>
        <w:fldChar w:fldCharType="end"/>
      </w:r>
      <w:r w:rsidR="00402384" w:rsidRPr="00C66C24">
        <w:rPr>
          <w:rFonts w:ascii="Calibri" w:eastAsia="Calibri" w:hAnsi="Calibri" w:cs="Calibri"/>
          <w:szCs w:val="22"/>
        </w:rPr>
        <w:t>).</w:t>
      </w:r>
      <w:r w:rsidR="00ED6EC8" w:rsidRPr="00C66C24">
        <w:rPr>
          <w:rFonts w:ascii="Calibri" w:eastAsia="Calibri" w:hAnsi="Calibri" w:cs="Calibri"/>
          <w:szCs w:val="22"/>
        </w:rPr>
        <w:t xml:space="preserve"> </w:t>
      </w:r>
      <w:r w:rsidR="00F16BF7" w:rsidRPr="00C66C24">
        <w:rPr>
          <w:rFonts w:ascii="Calibri" w:eastAsia="Calibri" w:hAnsi="Calibri" w:cs="Calibri"/>
          <w:szCs w:val="22"/>
        </w:rPr>
        <w:t xml:space="preserve">In 2022 </w:t>
      </w:r>
      <w:r w:rsidR="00750F28" w:rsidRPr="00C66C24">
        <w:rPr>
          <w:rFonts w:ascii="Calibri" w:eastAsia="Calibri" w:hAnsi="Calibri" w:cs="Calibri"/>
          <w:szCs w:val="22"/>
        </w:rPr>
        <w:t>52% of the C</w:t>
      </w:r>
      <w:r w:rsidR="00C93A03" w:rsidRPr="00C66C24">
        <w:rPr>
          <w:rFonts w:ascii="Calibri" w:eastAsia="Calibri" w:hAnsi="Calibri" w:cs="Calibri"/>
          <w:szCs w:val="22"/>
        </w:rPr>
        <w:t>lean</w:t>
      </w:r>
      <w:r w:rsidR="00750F28" w:rsidRPr="00C66C24">
        <w:rPr>
          <w:rFonts w:ascii="Calibri" w:eastAsia="Calibri" w:hAnsi="Calibri" w:cs="Calibri"/>
          <w:szCs w:val="22"/>
        </w:rPr>
        <w:t>S</w:t>
      </w:r>
      <w:r w:rsidR="00C93A03" w:rsidRPr="00C66C24">
        <w:rPr>
          <w:rFonts w:ascii="Calibri" w:eastAsia="Calibri" w:hAnsi="Calibri" w:cs="Calibri"/>
          <w:szCs w:val="22"/>
        </w:rPr>
        <w:t>ea</w:t>
      </w:r>
      <w:r w:rsidR="00750F28" w:rsidRPr="00C66C24">
        <w:rPr>
          <w:rFonts w:ascii="Calibri" w:eastAsia="Calibri" w:hAnsi="Calibri" w:cs="Calibri"/>
          <w:szCs w:val="22"/>
        </w:rPr>
        <w:t>N</w:t>
      </w:r>
      <w:r w:rsidR="00C93A03" w:rsidRPr="00C66C24">
        <w:rPr>
          <w:rFonts w:ascii="Calibri" w:eastAsia="Calibri" w:hAnsi="Calibri" w:cs="Calibri"/>
          <w:szCs w:val="22"/>
        </w:rPr>
        <w:t>et</w:t>
      </w:r>
      <w:r w:rsidR="00750F28" w:rsidRPr="00C66C24">
        <w:rPr>
          <w:rFonts w:ascii="Calibri" w:eastAsia="Calibri" w:hAnsi="Calibri" w:cs="Calibri"/>
          <w:szCs w:val="22"/>
        </w:rPr>
        <w:t xml:space="preserve"> detected </w:t>
      </w:r>
      <w:r w:rsidR="00F40E3F" w:rsidRPr="00C66C24">
        <w:rPr>
          <w:rFonts w:ascii="Calibri" w:eastAsia="Calibri" w:hAnsi="Calibri" w:cs="Calibri"/>
          <w:szCs w:val="22"/>
        </w:rPr>
        <w:t>potential pollution incidents</w:t>
      </w:r>
      <w:r w:rsidR="00750F28" w:rsidRPr="00C66C24">
        <w:rPr>
          <w:rFonts w:ascii="Calibri" w:eastAsia="Calibri" w:hAnsi="Calibri" w:cs="Calibri"/>
          <w:szCs w:val="22"/>
        </w:rPr>
        <w:t xml:space="preserve"> were lower than 2 km</w:t>
      </w:r>
      <w:r w:rsidR="00750F28" w:rsidRPr="00C66C24">
        <w:rPr>
          <w:rFonts w:ascii="Calibri" w:eastAsia="Calibri" w:hAnsi="Calibri" w:cs="Calibri"/>
          <w:szCs w:val="22"/>
          <w:vertAlign w:val="superscript"/>
        </w:rPr>
        <w:t>2</w:t>
      </w:r>
      <w:r w:rsidR="00750F28" w:rsidRPr="00C66C24">
        <w:rPr>
          <w:rFonts w:ascii="Calibri" w:eastAsia="Calibri" w:hAnsi="Calibri" w:cs="Calibri"/>
          <w:szCs w:val="22"/>
        </w:rPr>
        <w:t xml:space="preserve"> and 80% were lower than 7 km</w:t>
      </w:r>
      <w:r w:rsidR="00750F28" w:rsidRPr="00C66C24">
        <w:rPr>
          <w:rFonts w:ascii="Calibri" w:eastAsia="Calibri" w:hAnsi="Calibri" w:cs="Calibri"/>
          <w:szCs w:val="22"/>
          <w:vertAlign w:val="superscript"/>
        </w:rPr>
        <w:t>2</w:t>
      </w:r>
      <w:r w:rsidR="00750F28" w:rsidRPr="00C66C24">
        <w:rPr>
          <w:rFonts w:ascii="Calibri" w:eastAsia="Calibri" w:hAnsi="Calibri" w:cs="Calibri"/>
          <w:szCs w:val="22"/>
        </w:rPr>
        <w:t xml:space="preserve">. </w:t>
      </w:r>
      <w:r w:rsidR="00C93A03" w:rsidRPr="00C66C24">
        <w:rPr>
          <w:rFonts w:ascii="Calibri" w:eastAsia="Calibri" w:hAnsi="Calibri" w:cs="Calibri"/>
          <w:szCs w:val="22"/>
        </w:rPr>
        <w:t xml:space="preserve">While there is no apparent trend in the size of </w:t>
      </w:r>
      <w:r w:rsidR="00F40E3F" w:rsidRPr="00C66C24">
        <w:rPr>
          <w:rFonts w:ascii="Calibri" w:eastAsia="Calibri" w:hAnsi="Calibri" w:cs="Calibri"/>
          <w:szCs w:val="22"/>
        </w:rPr>
        <w:t>detected potential pollution incidents</w:t>
      </w:r>
      <w:r w:rsidR="00367F23" w:rsidRPr="00C66C24">
        <w:rPr>
          <w:rFonts w:ascii="Calibri" w:eastAsia="Calibri" w:hAnsi="Calibri" w:cs="Calibri"/>
          <w:szCs w:val="22"/>
        </w:rPr>
        <w:t xml:space="preserve">, </w:t>
      </w:r>
      <w:r w:rsidR="003F17F9" w:rsidRPr="00C66C24">
        <w:rPr>
          <w:rFonts w:ascii="Calibri" w:eastAsia="Calibri" w:hAnsi="Calibri" w:cs="Calibri"/>
          <w:szCs w:val="22"/>
        </w:rPr>
        <w:t xml:space="preserve">it is possible to </w:t>
      </w:r>
      <w:r w:rsidR="0007356B" w:rsidRPr="00C66C24">
        <w:rPr>
          <w:rFonts w:ascii="Calibri" w:eastAsia="Calibri" w:hAnsi="Calibri" w:cs="Calibri"/>
          <w:szCs w:val="22"/>
        </w:rPr>
        <w:t xml:space="preserve">infer that </w:t>
      </w:r>
      <w:r w:rsidR="00020763" w:rsidRPr="00C66C24">
        <w:rPr>
          <w:rFonts w:ascii="Calibri" w:eastAsia="Calibri" w:hAnsi="Calibri" w:cs="Calibri"/>
          <w:szCs w:val="22"/>
        </w:rPr>
        <w:t>l</w:t>
      </w:r>
      <w:r w:rsidR="00ED6EC8" w:rsidRPr="00C66C24">
        <w:rPr>
          <w:rFonts w:ascii="Calibri" w:eastAsia="Calibri" w:hAnsi="Calibri" w:cs="Calibri"/>
          <w:szCs w:val="22"/>
        </w:rPr>
        <w:t xml:space="preserve">arge </w:t>
      </w:r>
      <w:r w:rsidR="009556B3" w:rsidRPr="00C66C24">
        <w:rPr>
          <w:rFonts w:ascii="Calibri" w:eastAsia="Calibri" w:hAnsi="Calibri" w:cs="Calibri"/>
          <w:szCs w:val="22"/>
        </w:rPr>
        <w:t>(</w:t>
      </w:r>
      <w:r w:rsidR="00C361FF" w:rsidRPr="00C66C24">
        <w:rPr>
          <w:rFonts w:ascii="Calibri" w:eastAsia="Calibri" w:hAnsi="Calibri" w:cs="Calibri"/>
          <w:szCs w:val="22"/>
        </w:rPr>
        <w:t xml:space="preserve">hereby defined as </w:t>
      </w:r>
      <w:r w:rsidR="009556B3" w:rsidRPr="00C66C24">
        <w:rPr>
          <w:rFonts w:ascii="Calibri" w:eastAsia="Calibri" w:hAnsi="Calibri" w:cs="Calibri"/>
          <w:szCs w:val="22"/>
        </w:rPr>
        <w:t>&gt;</w:t>
      </w:r>
      <w:r w:rsidR="00622B2F" w:rsidRPr="00C66C24">
        <w:rPr>
          <w:rFonts w:ascii="Calibri" w:eastAsia="Calibri" w:hAnsi="Calibri" w:cs="Calibri"/>
          <w:szCs w:val="22"/>
        </w:rPr>
        <w:t>50km</w:t>
      </w:r>
      <w:r w:rsidR="00622B2F" w:rsidRPr="00C66C24">
        <w:rPr>
          <w:rFonts w:ascii="Calibri" w:eastAsia="Calibri" w:hAnsi="Calibri" w:cs="Calibri"/>
          <w:szCs w:val="22"/>
          <w:vertAlign w:val="superscript"/>
        </w:rPr>
        <w:t>2</w:t>
      </w:r>
      <w:r w:rsidR="00E923A7" w:rsidRPr="00C66C24">
        <w:rPr>
          <w:rFonts w:ascii="Calibri" w:eastAsia="Calibri" w:hAnsi="Calibri" w:cs="Calibri"/>
          <w:szCs w:val="22"/>
        </w:rPr>
        <w:t xml:space="preserve">) </w:t>
      </w:r>
      <w:r w:rsidR="00ED6EC8" w:rsidRPr="00C66C24">
        <w:rPr>
          <w:rFonts w:ascii="Calibri" w:eastAsia="Calibri" w:hAnsi="Calibri" w:cs="Calibri"/>
          <w:szCs w:val="22"/>
        </w:rPr>
        <w:t>pot</w:t>
      </w:r>
      <w:r w:rsidR="00ED666F" w:rsidRPr="00C66C24">
        <w:rPr>
          <w:rFonts w:ascii="Calibri" w:eastAsia="Calibri" w:hAnsi="Calibri" w:cs="Calibri"/>
          <w:szCs w:val="22"/>
        </w:rPr>
        <w:t xml:space="preserve">ential pollution incidents </w:t>
      </w:r>
      <w:r w:rsidR="002034EA" w:rsidRPr="00C66C24">
        <w:rPr>
          <w:rFonts w:ascii="Calibri" w:eastAsia="Calibri" w:hAnsi="Calibri" w:cs="Calibri"/>
          <w:szCs w:val="22"/>
        </w:rPr>
        <w:t xml:space="preserve">represent </w:t>
      </w:r>
      <w:r w:rsidR="00EB4386" w:rsidRPr="00C66C24">
        <w:rPr>
          <w:rFonts w:ascii="Calibri" w:eastAsia="Calibri" w:hAnsi="Calibri" w:cs="Calibri"/>
          <w:szCs w:val="22"/>
        </w:rPr>
        <w:t xml:space="preserve">on average </w:t>
      </w:r>
      <w:r w:rsidR="00020763" w:rsidRPr="00C66C24">
        <w:rPr>
          <w:rFonts w:ascii="Calibri" w:eastAsia="Calibri" w:hAnsi="Calibri" w:cs="Calibri"/>
          <w:szCs w:val="22"/>
        </w:rPr>
        <w:t xml:space="preserve">approximately 10% of all </w:t>
      </w:r>
      <w:r w:rsidR="004709E6" w:rsidRPr="00C66C24">
        <w:rPr>
          <w:rFonts w:ascii="Calibri" w:eastAsia="Calibri" w:hAnsi="Calibri" w:cs="Calibri"/>
          <w:szCs w:val="22"/>
        </w:rPr>
        <w:t xml:space="preserve">detected </w:t>
      </w:r>
      <w:r w:rsidR="003E244D" w:rsidRPr="00C66C24">
        <w:rPr>
          <w:rFonts w:ascii="Calibri" w:eastAsia="Calibri" w:hAnsi="Calibri" w:cs="Calibri"/>
          <w:szCs w:val="22"/>
        </w:rPr>
        <w:t>potential pollution incidents</w:t>
      </w:r>
      <w:r w:rsidR="00C26DD9" w:rsidRPr="00C66C24">
        <w:rPr>
          <w:rFonts w:ascii="Calibri" w:eastAsia="Calibri" w:hAnsi="Calibri" w:cs="Calibri"/>
          <w:szCs w:val="22"/>
        </w:rPr>
        <w:t>.</w:t>
      </w:r>
      <w:r w:rsidR="00DE19EA" w:rsidRPr="00C66C24">
        <w:rPr>
          <w:rFonts w:ascii="Calibri" w:eastAsia="Calibri" w:hAnsi="Calibri" w:cs="Calibri"/>
          <w:szCs w:val="22"/>
        </w:rPr>
        <w:t xml:space="preserve"> </w:t>
      </w:r>
    </w:p>
    <w:p w14:paraId="5FAB23EA" w14:textId="43EF3E6C" w:rsidR="008C2A58" w:rsidRPr="00C66C24" w:rsidRDefault="00FE7E7B" w:rsidP="00343619">
      <w:pPr>
        <w:spacing w:before="0" w:after="0" w:line="257" w:lineRule="auto"/>
        <w:rPr>
          <w:rFonts w:ascii="Calibri" w:eastAsia="Calibri" w:hAnsi="Calibri" w:cs="Calibri"/>
          <w:szCs w:val="22"/>
        </w:rPr>
      </w:pPr>
      <w:r w:rsidRPr="00C66C24">
        <w:rPr>
          <w:rFonts w:ascii="Calibri" w:eastAsia="Calibri" w:hAnsi="Calibri" w:cs="Calibri"/>
          <w:szCs w:val="22"/>
        </w:rPr>
        <w:t>B</w:t>
      </w:r>
      <w:r w:rsidR="00D17BDB" w:rsidRPr="00C66C24">
        <w:rPr>
          <w:rFonts w:ascii="Calibri" w:eastAsia="Calibri" w:hAnsi="Calibri" w:cs="Calibri"/>
          <w:szCs w:val="22"/>
        </w:rPr>
        <w:t>y analysing the</w:t>
      </w:r>
      <w:r w:rsidR="00011DE9" w:rsidRPr="00C66C24">
        <w:rPr>
          <w:rFonts w:ascii="Calibri" w:eastAsia="Calibri" w:hAnsi="Calibri" w:cs="Calibri"/>
          <w:szCs w:val="22"/>
        </w:rPr>
        <w:t xml:space="preserve"> </w:t>
      </w:r>
      <w:r w:rsidR="000F6542" w:rsidRPr="00C66C24">
        <w:rPr>
          <w:rFonts w:ascii="Calibri" w:eastAsia="Calibri" w:hAnsi="Calibri" w:cs="Calibri"/>
          <w:szCs w:val="22"/>
        </w:rPr>
        <w:t xml:space="preserve">CleanSeaNet </w:t>
      </w:r>
      <w:r w:rsidR="00011DE9" w:rsidRPr="00C66C24">
        <w:rPr>
          <w:rFonts w:ascii="Calibri" w:eastAsia="Calibri" w:hAnsi="Calibri" w:cs="Calibri"/>
          <w:szCs w:val="22"/>
        </w:rPr>
        <w:t>data</w:t>
      </w:r>
      <w:r w:rsidR="00F216DF" w:rsidRPr="00C66C24">
        <w:rPr>
          <w:rFonts w:ascii="Calibri" w:eastAsia="Calibri" w:hAnsi="Calibri" w:cs="Calibri"/>
          <w:szCs w:val="22"/>
        </w:rPr>
        <w:t>,</w:t>
      </w:r>
      <w:r w:rsidR="00DD3075" w:rsidRPr="00C66C24">
        <w:rPr>
          <w:rFonts w:ascii="Calibri" w:eastAsia="Calibri" w:hAnsi="Calibri" w:cs="Calibri"/>
          <w:szCs w:val="22"/>
        </w:rPr>
        <w:t xml:space="preserve"> </w:t>
      </w:r>
      <w:r w:rsidR="00982976" w:rsidRPr="00C66C24">
        <w:rPr>
          <w:rFonts w:ascii="Calibri" w:eastAsia="Calibri" w:hAnsi="Calibri" w:cs="Calibri"/>
          <w:szCs w:val="22"/>
        </w:rPr>
        <w:t>it is possible to</w:t>
      </w:r>
      <w:r w:rsidR="00DD3075" w:rsidRPr="00C66C24">
        <w:rPr>
          <w:rFonts w:ascii="Calibri" w:eastAsia="Calibri" w:hAnsi="Calibri" w:cs="Calibri"/>
          <w:szCs w:val="22"/>
        </w:rPr>
        <w:t xml:space="preserve"> </w:t>
      </w:r>
      <w:r w:rsidR="008A3539" w:rsidRPr="00C66C24">
        <w:rPr>
          <w:rFonts w:ascii="Calibri" w:eastAsia="Calibri" w:hAnsi="Calibri" w:cs="Calibri"/>
          <w:szCs w:val="22"/>
        </w:rPr>
        <w:t>identify</w:t>
      </w:r>
      <w:r w:rsidR="00011DE9" w:rsidRPr="00C66C24">
        <w:rPr>
          <w:rFonts w:ascii="Calibri" w:eastAsia="Calibri" w:hAnsi="Calibri" w:cs="Calibri"/>
          <w:szCs w:val="22"/>
        </w:rPr>
        <w:t xml:space="preserve"> a decreasing trend </w:t>
      </w:r>
      <w:r w:rsidR="008A3539" w:rsidRPr="00C66C24">
        <w:rPr>
          <w:rFonts w:ascii="Calibri" w:eastAsia="Calibri" w:hAnsi="Calibri" w:cs="Calibri"/>
          <w:szCs w:val="22"/>
        </w:rPr>
        <w:t xml:space="preserve">in </w:t>
      </w:r>
      <w:r w:rsidR="00F216DF" w:rsidRPr="00C66C24">
        <w:rPr>
          <w:rFonts w:ascii="Calibri" w:eastAsia="Calibri" w:hAnsi="Calibri" w:cs="Calibri"/>
          <w:szCs w:val="22"/>
        </w:rPr>
        <w:t xml:space="preserve">the </w:t>
      </w:r>
      <w:r w:rsidR="008A3539" w:rsidRPr="00C66C24">
        <w:rPr>
          <w:rFonts w:ascii="Calibri" w:eastAsia="Calibri" w:hAnsi="Calibri" w:cs="Calibri"/>
          <w:szCs w:val="22"/>
        </w:rPr>
        <w:t xml:space="preserve">number of </w:t>
      </w:r>
      <w:r w:rsidR="000F6542" w:rsidRPr="00C66C24">
        <w:rPr>
          <w:rFonts w:ascii="Calibri" w:eastAsia="Calibri" w:hAnsi="Calibri" w:cs="Calibri"/>
          <w:szCs w:val="22"/>
        </w:rPr>
        <w:t xml:space="preserve">possible </w:t>
      </w:r>
      <w:r w:rsidR="00F216DF" w:rsidRPr="00C66C24">
        <w:rPr>
          <w:rFonts w:ascii="Calibri" w:eastAsia="Calibri" w:hAnsi="Calibri" w:cs="Calibri"/>
          <w:szCs w:val="22"/>
        </w:rPr>
        <w:t>pollution incidents</w:t>
      </w:r>
      <w:r w:rsidR="000F6542" w:rsidRPr="00C66C24">
        <w:rPr>
          <w:rFonts w:ascii="Calibri" w:eastAsia="Calibri" w:hAnsi="Calibri" w:cs="Calibri"/>
          <w:szCs w:val="22"/>
        </w:rPr>
        <w:t xml:space="preserve"> detected </w:t>
      </w:r>
      <w:r w:rsidR="008A3539" w:rsidRPr="00C66C24">
        <w:rPr>
          <w:rFonts w:ascii="Calibri" w:eastAsia="Calibri" w:hAnsi="Calibri" w:cs="Calibri"/>
          <w:szCs w:val="22"/>
        </w:rPr>
        <w:t>per million km</w:t>
      </w:r>
      <w:r w:rsidR="008A3539" w:rsidRPr="00C66C24">
        <w:rPr>
          <w:rFonts w:ascii="Calibri" w:eastAsia="Calibri" w:hAnsi="Calibri" w:cs="Calibri"/>
          <w:szCs w:val="22"/>
          <w:vertAlign w:val="superscript"/>
        </w:rPr>
        <w:t>2</w:t>
      </w:r>
      <w:r w:rsidR="004F0704" w:rsidRPr="00C66C24">
        <w:rPr>
          <w:rFonts w:ascii="Calibri" w:eastAsia="Calibri" w:hAnsi="Calibri" w:cs="Calibri"/>
          <w:szCs w:val="22"/>
        </w:rPr>
        <w:t xml:space="preserve"> </w:t>
      </w:r>
      <w:r w:rsidR="00F216DF" w:rsidRPr="00C66C24">
        <w:rPr>
          <w:rFonts w:ascii="Calibri" w:eastAsia="Calibri" w:hAnsi="Calibri" w:cs="Calibri"/>
          <w:szCs w:val="22"/>
        </w:rPr>
        <w:t xml:space="preserve">between </w:t>
      </w:r>
      <w:r w:rsidR="00011DE9" w:rsidRPr="00C66C24">
        <w:rPr>
          <w:rFonts w:ascii="Calibri" w:eastAsia="Calibri" w:hAnsi="Calibri" w:cs="Calibri"/>
          <w:szCs w:val="22"/>
        </w:rPr>
        <w:t xml:space="preserve">2008 </w:t>
      </w:r>
      <w:r w:rsidR="00F216DF" w:rsidRPr="00C66C24">
        <w:rPr>
          <w:rFonts w:ascii="Calibri" w:eastAsia="Calibri" w:hAnsi="Calibri" w:cs="Calibri"/>
          <w:szCs w:val="22"/>
        </w:rPr>
        <w:t>and</w:t>
      </w:r>
      <w:r w:rsidR="00011DE9" w:rsidRPr="00C66C24">
        <w:rPr>
          <w:rFonts w:ascii="Calibri" w:eastAsia="Calibri" w:hAnsi="Calibri" w:cs="Calibri"/>
          <w:szCs w:val="22"/>
        </w:rPr>
        <w:t xml:space="preserve"> 2015</w:t>
      </w:r>
      <w:r w:rsidR="60E97ED1" w:rsidRPr="00C66C24">
        <w:rPr>
          <w:rFonts w:ascii="Calibri" w:eastAsia="Calibri" w:hAnsi="Calibri" w:cs="Calibri"/>
          <w:szCs w:val="22"/>
        </w:rPr>
        <w:t xml:space="preserve"> </w:t>
      </w:r>
      <w:r w:rsidR="004F0704" w:rsidRPr="00C66C24">
        <w:rPr>
          <w:rFonts w:ascii="Calibri" w:eastAsia="Calibri" w:hAnsi="Calibri" w:cs="Calibri"/>
          <w:szCs w:val="22"/>
        </w:rPr>
        <w:t xml:space="preserve">(see </w:t>
      </w:r>
      <w:r w:rsidR="009712D0" w:rsidRPr="00C66C24">
        <w:rPr>
          <w:szCs w:val="22"/>
        </w:rPr>
        <w:fldChar w:fldCharType="begin"/>
      </w:r>
      <w:r w:rsidR="009712D0" w:rsidRPr="00C66C24">
        <w:rPr>
          <w:szCs w:val="22"/>
        </w:rPr>
        <w:instrText xml:space="preserve"> REF _Ref151111613 \h </w:instrText>
      </w:r>
      <w:r w:rsidR="00997B2D" w:rsidRPr="00C66C24">
        <w:rPr>
          <w:szCs w:val="22"/>
        </w:rPr>
        <w:instrText xml:space="preserve"> \* MERGEFORMAT </w:instrText>
      </w:r>
      <w:r w:rsidR="009712D0" w:rsidRPr="00C66C24">
        <w:rPr>
          <w:szCs w:val="22"/>
        </w:rPr>
      </w:r>
      <w:r w:rsidR="009712D0" w:rsidRPr="00C66C24">
        <w:rPr>
          <w:szCs w:val="22"/>
        </w:rPr>
        <w:fldChar w:fldCharType="separate"/>
      </w:r>
      <w:r w:rsidR="00102E66" w:rsidRPr="00C66C24">
        <w:rPr>
          <w:szCs w:val="22"/>
        </w:rPr>
        <w:t>Figure 2.</w:t>
      </w:r>
      <w:r w:rsidR="0009738D" w:rsidRPr="00C66C24">
        <w:rPr>
          <w:szCs w:val="22"/>
        </w:rPr>
        <w:t>23</w:t>
      </w:r>
      <w:r w:rsidR="009712D0" w:rsidRPr="00C66C24">
        <w:rPr>
          <w:szCs w:val="22"/>
        </w:rPr>
        <w:fldChar w:fldCharType="end"/>
      </w:r>
      <w:r w:rsidR="004F0704" w:rsidRPr="00C66C24">
        <w:rPr>
          <w:rFonts w:ascii="Calibri" w:eastAsia="Calibri" w:hAnsi="Calibri" w:cs="Calibri"/>
          <w:szCs w:val="22"/>
        </w:rPr>
        <w:t>)</w:t>
      </w:r>
      <w:r w:rsidR="009B5EB1" w:rsidRPr="00C66C24">
        <w:rPr>
          <w:rFonts w:ascii="Calibri" w:eastAsia="Calibri" w:hAnsi="Calibri" w:cs="Calibri"/>
          <w:szCs w:val="22"/>
        </w:rPr>
        <w:t xml:space="preserve">, with </w:t>
      </w:r>
      <w:r w:rsidR="00F216DF" w:rsidRPr="00C66C24">
        <w:rPr>
          <w:rFonts w:ascii="Calibri" w:eastAsia="Calibri" w:hAnsi="Calibri" w:cs="Calibri"/>
          <w:szCs w:val="22"/>
        </w:rPr>
        <w:t xml:space="preserve">greater </w:t>
      </w:r>
      <w:r w:rsidR="009B5EB1" w:rsidRPr="00C66C24">
        <w:rPr>
          <w:rFonts w:ascii="Calibri" w:eastAsia="Calibri" w:hAnsi="Calibri" w:cs="Calibri"/>
          <w:szCs w:val="22"/>
        </w:rPr>
        <w:t>decrease</w:t>
      </w:r>
      <w:r w:rsidR="004920AB" w:rsidRPr="00C66C24">
        <w:rPr>
          <w:rFonts w:ascii="Calibri" w:eastAsia="Calibri" w:hAnsi="Calibri" w:cs="Calibri"/>
          <w:szCs w:val="22"/>
        </w:rPr>
        <w:t xml:space="preserve"> </w:t>
      </w:r>
      <w:r w:rsidR="00F216DF" w:rsidRPr="00C66C24">
        <w:rPr>
          <w:rFonts w:ascii="Calibri" w:eastAsia="Calibri" w:hAnsi="Calibri" w:cs="Calibri"/>
          <w:szCs w:val="22"/>
        </w:rPr>
        <w:t xml:space="preserve">between </w:t>
      </w:r>
      <w:r w:rsidR="004920AB" w:rsidRPr="00C66C24">
        <w:rPr>
          <w:rFonts w:ascii="Calibri" w:eastAsia="Calibri" w:hAnsi="Calibri" w:cs="Calibri"/>
          <w:szCs w:val="22"/>
        </w:rPr>
        <w:t>2008</w:t>
      </w:r>
      <w:r w:rsidR="00F216DF" w:rsidRPr="00C66C24">
        <w:rPr>
          <w:rFonts w:ascii="Calibri" w:eastAsia="Calibri" w:hAnsi="Calibri" w:cs="Calibri"/>
          <w:szCs w:val="22"/>
        </w:rPr>
        <w:t xml:space="preserve"> and</w:t>
      </w:r>
      <w:r w:rsidR="004B7080" w:rsidRPr="00C66C24">
        <w:rPr>
          <w:rFonts w:ascii="Calibri" w:eastAsia="Calibri" w:hAnsi="Calibri" w:cs="Calibri"/>
          <w:szCs w:val="22"/>
        </w:rPr>
        <w:t xml:space="preserve"> </w:t>
      </w:r>
      <w:r w:rsidR="004920AB" w:rsidRPr="00C66C24">
        <w:rPr>
          <w:rFonts w:ascii="Calibri" w:eastAsia="Calibri" w:hAnsi="Calibri" w:cs="Calibri"/>
          <w:szCs w:val="22"/>
        </w:rPr>
        <w:t>2010.</w:t>
      </w:r>
      <w:r w:rsidR="60E97ED1" w:rsidRPr="00C66C24">
        <w:rPr>
          <w:rFonts w:ascii="Calibri" w:eastAsia="Calibri" w:hAnsi="Calibri" w:cs="Calibri"/>
          <w:szCs w:val="22"/>
        </w:rPr>
        <w:t xml:space="preserve"> This coincided </w:t>
      </w:r>
      <w:r w:rsidR="00F216DF" w:rsidRPr="00C66C24">
        <w:rPr>
          <w:rFonts w:ascii="Calibri" w:eastAsia="Calibri" w:hAnsi="Calibri" w:cs="Calibri"/>
          <w:szCs w:val="22"/>
        </w:rPr>
        <w:t xml:space="preserve">the </w:t>
      </w:r>
      <w:r w:rsidR="60E97ED1" w:rsidRPr="00C66C24">
        <w:rPr>
          <w:rFonts w:ascii="Calibri" w:eastAsia="Calibri" w:hAnsi="Calibri" w:cs="Calibri"/>
          <w:szCs w:val="22"/>
        </w:rPr>
        <w:t>increased awareness of maritime pollution</w:t>
      </w:r>
      <w:r w:rsidR="000F6542" w:rsidRPr="00C66C24">
        <w:rPr>
          <w:rFonts w:ascii="Calibri" w:eastAsia="Calibri" w:hAnsi="Calibri" w:cs="Calibri"/>
          <w:szCs w:val="22"/>
        </w:rPr>
        <w:t xml:space="preserve"> prevention</w:t>
      </w:r>
      <w:r w:rsidR="60E97ED1" w:rsidRPr="00C66C24">
        <w:rPr>
          <w:rFonts w:ascii="Calibri" w:eastAsia="Calibri" w:hAnsi="Calibri" w:cs="Calibri"/>
          <w:szCs w:val="22"/>
        </w:rPr>
        <w:t xml:space="preserve"> and improvements in the provision of port reception facilities across the </w:t>
      </w:r>
      <w:r w:rsidR="00F216DF" w:rsidRPr="00C66C24">
        <w:rPr>
          <w:rFonts w:ascii="Calibri" w:eastAsia="Calibri" w:hAnsi="Calibri" w:cs="Calibri"/>
          <w:szCs w:val="22"/>
        </w:rPr>
        <w:t xml:space="preserve">EU </w:t>
      </w:r>
      <w:r w:rsidR="00261966" w:rsidRPr="00C66C24">
        <w:rPr>
          <w:rFonts w:ascii="Calibri" w:eastAsia="Calibri" w:hAnsi="Calibri" w:cs="Calibri"/>
          <w:szCs w:val="22"/>
        </w:rPr>
        <w:fldChar w:fldCharType="begin"/>
      </w:r>
      <w:r w:rsidR="001855E3" w:rsidRPr="00C66C24">
        <w:rPr>
          <w:rFonts w:ascii="Calibri" w:eastAsia="Calibri" w:hAnsi="Calibri" w:cs="Calibri"/>
          <w:szCs w:val="22"/>
        </w:rPr>
        <w:instrText xml:space="preserve"> ADDIN ZOTERO_ITEM CSL_CITATION {"citationID":"a5df52mdf6","properties":{"formattedCitation":"(UNCTAD, 2011)","plainCitation":"(UNCTAD, 2011)","noteIndex":0},"citationItems":[{"id":52282,"uris":["http://zotero.org/groups/122386/items/TFLYVLRQ"],"itemData":{"id":52282,"type":"report","collection-title":"UNCTAD/RMT/2011","event-place":"Switzerland","note":"Sales No. E.11.II.D.4\nISBN 978-92-1-112841-3\nISSN 0566-7682","publisher":"United Nations","publisher-place":"Switzerland","title":"Review of maritime transport 2011","URL":"https://unctad.org/system/files/official-document/rmt2011_en.pdf","author":[{"family":"UNCTAD","given":""}],"accessed":{"date-parts":[["2023",10,25]]},"issued":{"date-parts":[["2011"]]}}}],"schema":"https://github.com/citation-style-language/schema/raw/master/csl-citation.json"} </w:instrText>
      </w:r>
      <w:r w:rsidR="00261966" w:rsidRPr="00C66C24">
        <w:rPr>
          <w:rFonts w:ascii="Calibri" w:eastAsia="Calibri" w:hAnsi="Calibri" w:cs="Calibri"/>
          <w:szCs w:val="22"/>
        </w:rPr>
        <w:fldChar w:fldCharType="separate"/>
      </w:r>
      <w:r w:rsidR="00A14EAE" w:rsidRPr="00C66C24">
        <w:rPr>
          <w:rFonts w:ascii="Calibri" w:hAnsi="Calibri" w:cs="Calibri"/>
        </w:rPr>
        <w:t>(UNCTAD, 2011)</w:t>
      </w:r>
      <w:r w:rsidR="00261966" w:rsidRPr="00C66C24">
        <w:rPr>
          <w:rFonts w:ascii="Calibri" w:eastAsia="Calibri" w:hAnsi="Calibri" w:cs="Calibri"/>
          <w:szCs w:val="22"/>
        </w:rPr>
        <w:fldChar w:fldCharType="end"/>
      </w:r>
      <w:r w:rsidR="004920AB" w:rsidRPr="00C66C24">
        <w:rPr>
          <w:rFonts w:ascii="Calibri" w:eastAsia="Calibri" w:hAnsi="Calibri" w:cs="Calibri"/>
          <w:szCs w:val="22"/>
        </w:rPr>
        <w:t xml:space="preserve">. </w:t>
      </w:r>
      <w:r w:rsidR="60E97ED1" w:rsidRPr="00C66C24">
        <w:rPr>
          <w:rFonts w:ascii="Calibri" w:eastAsia="Calibri" w:hAnsi="Calibri" w:cs="Calibri"/>
        </w:rPr>
        <w:t xml:space="preserve">In 2022, the average number of </w:t>
      </w:r>
      <w:r w:rsidR="00F216DF" w:rsidRPr="00C66C24">
        <w:rPr>
          <w:rFonts w:ascii="Calibri" w:eastAsia="Calibri" w:hAnsi="Calibri" w:cs="Calibri"/>
          <w:szCs w:val="22"/>
        </w:rPr>
        <w:t>pollution incidents</w:t>
      </w:r>
      <w:r w:rsidR="000F6542" w:rsidRPr="00C66C24">
        <w:rPr>
          <w:rFonts w:ascii="Calibri" w:eastAsia="Calibri" w:hAnsi="Calibri" w:cs="Calibri"/>
          <w:szCs w:val="22"/>
        </w:rPr>
        <w:t xml:space="preserve"> detected by CleanSeaNet</w:t>
      </w:r>
      <w:r w:rsidR="000F6542" w:rsidRPr="00C66C24">
        <w:rPr>
          <w:rFonts w:ascii="Calibri" w:eastAsia="Calibri" w:hAnsi="Calibri" w:cs="Calibri"/>
        </w:rPr>
        <w:t xml:space="preserve"> </w:t>
      </w:r>
      <w:r w:rsidR="60E97ED1" w:rsidRPr="00C66C24">
        <w:rPr>
          <w:rFonts w:ascii="Calibri" w:eastAsia="Calibri" w:hAnsi="Calibri" w:cs="Calibri"/>
        </w:rPr>
        <w:t xml:space="preserve">per million </w:t>
      </w:r>
      <w:r w:rsidR="000F6542" w:rsidRPr="00C66C24">
        <w:rPr>
          <w:rFonts w:ascii="Calibri" w:eastAsia="Calibri" w:hAnsi="Calibri" w:cs="Calibri"/>
          <w:szCs w:val="22"/>
        </w:rPr>
        <w:t>km</w:t>
      </w:r>
      <w:r w:rsidR="000F6542" w:rsidRPr="00C66C24">
        <w:rPr>
          <w:rFonts w:ascii="Calibri" w:eastAsia="Calibri" w:hAnsi="Calibri" w:cs="Calibri"/>
          <w:szCs w:val="22"/>
          <w:vertAlign w:val="superscript"/>
        </w:rPr>
        <w:t>2</w:t>
      </w:r>
      <w:r w:rsidR="60E97ED1" w:rsidRPr="00C66C24">
        <w:rPr>
          <w:rFonts w:ascii="Calibri" w:hAnsi="Calibri"/>
          <w:vertAlign w:val="superscript"/>
        </w:rPr>
        <w:t xml:space="preserve"> </w:t>
      </w:r>
      <w:r w:rsidR="60E97ED1" w:rsidRPr="00C66C24">
        <w:rPr>
          <w:rFonts w:ascii="Calibri" w:eastAsia="Calibri" w:hAnsi="Calibri" w:cs="Calibri"/>
        </w:rPr>
        <w:t xml:space="preserve">was 4.01, compared to 4.57 in 2021, demonstrating </w:t>
      </w:r>
      <w:r w:rsidR="000B4226" w:rsidRPr="00C66C24">
        <w:rPr>
          <w:rFonts w:ascii="Calibri" w:eastAsia="Calibri" w:hAnsi="Calibri" w:cs="Calibri"/>
        </w:rPr>
        <w:t xml:space="preserve">a </w:t>
      </w:r>
      <w:r w:rsidR="60E97ED1" w:rsidRPr="00C66C24">
        <w:rPr>
          <w:rFonts w:ascii="Calibri" w:eastAsia="Calibri" w:hAnsi="Calibri" w:cs="Calibri"/>
        </w:rPr>
        <w:t>12% decrease and confirming th</w:t>
      </w:r>
      <w:r w:rsidR="00C1117F" w:rsidRPr="00C66C24">
        <w:rPr>
          <w:rFonts w:ascii="Calibri" w:eastAsia="Calibri" w:hAnsi="Calibri" w:cs="Calibri"/>
        </w:rPr>
        <w:t>is</w:t>
      </w:r>
      <w:r w:rsidR="60E97ED1" w:rsidRPr="00C66C24">
        <w:rPr>
          <w:rFonts w:ascii="Calibri" w:eastAsia="Calibri" w:hAnsi="Calibri" w:cs="Calibri"/>
        </w:rPr>
        <w:t xml:space="preserve"> descending trend</w:t>
      </w:r>
      <w:r w:rsidR="00102E5D" w:rsidRPr="00C66C24">
        <w:rPr>
          <w:rFonts w:ascii="Calibri" w:eastAsia="Calibri" w:hAnsi="Calibri" w:cs="Calibri"/>
        </w:rPr>
        <w:t xml:space="preserve">, </w:t>
      </w:r>
      <w:r w:rsidR="00B325E6" w:rsidRPr="00C66C24">
        <w:rPr>
          <w:rFonts w:ascii="Calibri" w:eastAsia="Calibri" w:hAnsi="Calibri" w:cs="Calibri"/>
        </w:rPr>
        <w:t>as shown in</w:t>
      </w:r>
      <w:r w:rsidR="00102E5D" w:rsidRPr="00C66C24">
        <w:rPr>
          <w:rFonts w:ascii="Calibri" w:eastAsia="Calibri" w:hAnsi="Calibri" w:cs="Calibri"/>
        </w:rPr>
        <w:t xml:space="preserve"> </w:t>
      </w:r>
      <w:r w:rsidR="00B47329" w:rsidRPr="00C66C24">
        <w:rPr>
          <w:rFonts w:ascii="Calibri" w:eastAsia="Calibri" w:hAnsi="Calibri" w:cs="Calibri"/>
          <w:szCs w:val="22"/>
        </w:rPr>
        <w:fldChar w:fldCharType="begin"/>
      </w:r>
      <w:r w:rsidR="00B47329" w:rsidRPr="00C66C24">
        <w:rPr>
          <w:rFonts w:ascii="Calibri" w:eastAsia="Calibri" w:hAnsi="Calibri" w:cs="Calibri"/>
          <w:szCs w:val="22"/>
        </w:rPr>
        <w:instrText xml:space="preserve"> REF _Ref156400129 \h  \* MERGEFORMAT </w:instrText>
      </w:r>
      <w:r w:rsidR="00B47329" w:rsidRPr="00C66C24">
        <w:rPr>
          <w:rFonts w:ascii="Calibri" w:eastAsia="Calibri" w:hAnsi="Calibri" w:cs="Calibri"/>
          <w:szCs w:val="22"/>
        </w:rPr>
      </w:r>
      <w:r w:rsidR="00B47329" w:rsidRPr="00C66C24">
        <w:rPr>
          <w:rFonts w:ascii="Calibri" w:eastAsia="Calibri" w:hAnsi="Calibri" w:cs="Calibri"/>
          <w:szCs w:val="22"/>
        </w:rPr>
        <w:fldChar w:fldCharType="separate"/>
      </w:r>
      <w:r w:rsidR="00DC221D" w:rsidRPr="00C66C24">
        <w:rPr>
          <w:szCs w:val="22"/>
        </w:rPr>
        <w:t xml:space="preserve">Figure </w:t>
      </w:r>
      <w:bookmarkStart w:id="123" w:name="_Hlt157610296"/>
      <w:r w:rsidR="00DC221D" w:rsidRPr="00C66C24">
        <w:rPr>
          <w:noProof/>
          <w:szCs w:val="22"/>
        </w:rPr>
        <w:t>2</w:t>
      </w:r>
      <w:bookmarkEnd w:id="123"/>
      <w:r w:rsidR="00DC221D" w:rsidRPr="00C66C24">
        <w:rPr>
          <w:noProof/>
          <w:szCs w:val="22"/>
        </w:rPr>
        <w:t>.23</w:t>
      </w:r>
      <w:r w:rsidR="00B47329" w:rsidRPr="00C66C24">
        <w:rPr>
          <w:rFonts w:ascii="Calibri" w:eastAsia="Calibri" w:hAnsi="Calibri" w:cs="Calibri"/>
          <w:szCs w:val="22"/>
        </w:rPr>
        <w:fldChar w:fldCharType="end"/>
      </w:r>
      <w:r w:rsidR="00102E5D" w:rsidRPr="00C66C24">
        <w:rPr>
          <w:rFonts w:ascii="Calibri" w:eastAsia="Calibri" w:hAnsi="Calibri" w:cs="Calibri"/>
          <w:szCs w:val="22"/>
        </w:rPr>
        <w:t xml:space="preserve">. The same </w:t>
      </w:r>
      <w:r w:rsidR="00B6595C" w:rsidRPr="00C66C24">
        <w:rPr>
          <w:rFonts w:ascii="Calibri" w:eastAsia="Calibri" w:hAnsi="Calibri" w:cs="Calibri"/>
          <w:szCs w:val="22"/>
        </w:rPr>
        <w:t>figure</w:t>
      </w:r>
      <w:r w:rsidR="00997B2D" w:rsidRPr="00C66C24">
        <w:rPr>
          <w:rFonts w:ascii="Calibri" w:eastAsia="Calibri" w:hAnsi="Calibri" w:cs="Calibri"/>
          <w:szCs w:val="22"/>
        </w:rPr>
        <w:t xml:space="preserve"> </w:t>
      </w:r>
      <w:r w:rsidR="00B47329" w:rsidRPr="00C66C24">
        <w:rPr>
          <w:rFonts w:ascii="Calibri" w:eastAsia="Calibri" w:hAnsi="Calibri" w:cs="Calibri"/>
          <w:szCs w:val="22"/>
        </w:rPr>
        <w:t>a</w:t>
      </w:r>
      <w:r w:rsidR="00997B2D" w:rsidRPr="00C66C24">
        <w:rPr>
          <w:rFonts w:ascii="Calibri" w:eastAsia="Calibri" w:hAnsi="Calibri" w:cs="Calibri"/>
          <w:szCs w:val="22"/>
        </w:rPr>
        <w:t>lso shows that f</w:t>
      </w:r>
      <w:r w:rsidR="008C2A58" w:rsidRPr="00C66C24">
        <w:rPr>
          <w:rFonts w:ascii="Calibri" w:eastAsia="Calibri" w:hAnsi="Calibri" w:cs="Calibri"/>
          <w:szCs w:val="22"/>
        </w:rPr>
        <w:t xml:space="preserve">rom 2016 to 2018, there was a gradual growth in the number of alerts provided to national authorities, </w:t>
      </w:r>
      <w:r w:rsidR="002B71E0" w:rsidRPr="00C66C24">
        <w:rPr>
          <w:rFonts w:ascii="Calibri" w:eastAsia="Calibri" w:hAnsi="Calibri" w:cs="Calibri"/>
          <w:szCs w:val="22"/>
        </w:rPr>
        <w:t xml:space="preserve">this is </w:t>
      </w:r>
      <w:r w:rsidR="008C2A58" w:rsidRPr="00C66C24">
        <w:rPr>
          <w:rFonts w:ascii="Calibri" w:eastAsia="Calibri" w:hAnsi="Calibri" w:cs="Calibri"/>
          <w:szCs w:val="22"/>
        </w:rPr>
        <w:t>primarily due to the increased availability of satellite data that could detect smaller</w:t>
      </w:r>
      <w:r w:rsidR="002B71E0" w:rsidRPr="00C66C24">
        <w:rPr>
          <w:rFonts w:ascii="Calibri" w:eastAsia="Calibri" w:hAnsi="Calibri" w:cs="Calibri"/>
          <w:szCs w:val="22"/>
        </w:rPr>
        <w:t xml:space="preserve"> potential pollution incidents</w:t>
      </w:r>
      <w:r w:rsidR="008C2A58" w:rsidRPr="00C66C24">
        <w:rPr>
          <w:rFonts w:ascii="Calibri" w:eastAsia="Calibri" w:hAnsi="Calibri" w:cs="Calibri"/>
          <w:szCs w:val="22"/>
        </w:rPr>
        <w:t xml:space="preserve">. </w:t>
      </w:r>
    </w:p>
    <w:p w14:paraId="78EF897D" w14:textId="59DFB12D" w:rsidR="179494F5" w:rsidRPr="00C66C24" w:rsidRDefault="179494F5" w:rsidP="008C6A9C">
      <w:pPr>
        <w:spacing w:line="257" w:lineRule="auto"/>
        <w:rPr>
          <w:rFonts w:ascii="Calibri" w:eastAsia="Calibri" w:hAnsi="Calibri" w:cs="Calibri"/>
          <w:szCs w:val="22"/>
        </w:rPr>
      </w:pPr>
    </w:p>
    <w:p w14:paraId="288CB494" w14:textId="77777777" w:rsidR="00F47AC5" w:rsidRPr="00C66C24" w:rsidRDefault="60E97ED1" w:rsidP="008C6A9C">
      <w:pPr>
        <w:keepNext/>
        <w:spacing w:line="257" w:lineRule="auto"/>
        <w:jc w:val="center"/>
      </w:pPr>
      <w:r w:rsidRPr="00C66C24">
        <w:rPr>
          <w:rFonts w:ascii="Calibri" w:eastAsia="Calibri" w:hAnsi="Calibri" w:cs="Calibri"/>
        </w:rPr>
        <w:t xml:space="preserve"> </w:t>
      </w:r>
      <w:r w:rsidR="3D327D8C" w:rsidRPr="00C66C24">
        <w:rPr>
          <w:noProof/>
        </w:rPr>
        <w:drawing>
          <wp:inline distT="0" distB="0" distL="0" distR="0" wp14:anchorId="688D8830" wp14:editId="29CDC382">
            <wp:extent cx="4572000" cy="2657475"/>
            <wp:effectExtent l="0" t="0" r="0" b="0"/>
            <wp:docPr id="544479994" name="Picture 544479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79994"/>
                    <pic:cNvPicPr/>
                  </pic:nvPicPr>
                  <pic:blipFill>
                    <a:blip r:embed="rId51">
                      <a:extLst>
                        <a:ext uri="{28A0092B-C50C-407E-A947-70E740481C1C}">
                          <a14:useLocalDpi xmlns:a14="http://schemas.microsoft.com/office/drawing/2010/main" val="0"/>
                        </a:ext>
                      </a:extLst>
                    </a:blip>
                    <a:stretch>
                      <a:fillRect/>
                    </a:stretch>
                  </pic:blipFill>
                  <pic:spPr>
                    <a:xfrm>
                      <a:off x="0" y="0"/>
                      <a:ext cx="4572000" cy="2657475"/>
                    </a:xfrm>
                    <a:prstGeom prst="rect">
                      <a:avLst/>
                    </a:prstGeom>
                  </pic:spPr>
                </pic:pic>
              </a:graphicData>
            </a:graphic>
          </wp:inline>
        </w:drawing>
      </w:r>
    </w:p>
    <w:p w14:paraId="0CE2CB40" w14:textId="644AC0F7" w:rsidR="60E97ED1" w:rsidRPr="00C66C24" w:rsidRDefault="00F47AC5" w:rsidP="008C6A9C">
      <w:pPr>
        <w:pStyle w:val="Caption"/>
        <w:spacing w:after="0" w:line="257" w:lineRule="auto"/>
        <w:jc w:val="center"/>
        <w:rPr>
          <w:rFonts w:ascii="Calibri" w:eastAsia="Calibri" w:hAnsi="Calibri" w:cs="Calibri"/>
          <w:sz w:val="20"/>
          <w:szCs w:val="20"/>
        </w:rPr>
      </w:pPr>
      <w:bookmarkStart w:id="124" w:name="_Ref151111613"/>
      <w:bookmarkStart w:id="125" w:name="_Ref156400129"/>
      <w:bookmarkStart w:id="126" w:name="_Ref152055603"/>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23</w:t>
      </w:r>
      <w:r w:rsidR="00A81F61" w:rsidRPr="00C66C24">
        <w:rPr>
          <w:sz w:val="20"/>
          <w:szCs w:val="20"/>
        </w:rPr>
        <w:fldChar w:fldCharType="end"/>
      </w:r>
      <w:bookmarkEnd w:id="124"/>
      <w:bookmarkEnd w:id="125"/>
      <w:r w:rsidRPr="00C66C24">
        <w:rPr>
          <w:sz w:val="20"/>
          <w:szCs w:val="20"/>
        </w:rPr>
        <w:t xml:space="preserve"> Trend in annual number of </w:t>
      </w:r>
      <w:r w:rsidR="000F6542" w:rsidRPr="00C66C24">
        <w:rPr>
          <w:rFonts w:ascii="Calibri" w:eastAsia="Calibri" w:hAnsi="Calibri" w:cs="Calibri"/>
          <w:szCs w:val="22"/>
        </w:rPr>
        <w:t xml:space="preserve">possible spills detected by CleanSeaNet </w:t>
      </w:r>
      <w:r w:rsidRPr="00C66C24">
        <w:rPr>
          <w:sz w:val="20"/>
          <w:szCs w:val="20"/>
        </w:rPr>
        <w:t xml:space="preserve">and average number of </w:t>
      </w:r>
      <w:r w:rsidR="000F6542" w:rsidRPr="00C66C24">
        <w:rPr>
          <w:rFonts w:ascii="Calibri" w:eastAsia="Calibri" w:hAnsi="Calibri" w:cs="Calibri"/>
          <w:szCs w:val="22"/>
        </w:rPr>
        <w:t xml:space="preserve">possible spills </w:t>
      </w:r>
      <w:r w:rsidRPr="00C66C24">
        <w:rPr>
          <w:sz w:val="20"/>
          <w:szCs w:val="20"/>
        </w:rPr>
        <w:t>per million km</w:t>
      </w:r>
      <w:r w:rsidRPr="00C66C24">
        <w:rPr>
          <w:sz w:val="20"/>
          <w:szCs w:val="20"/>
          <w:vertAlign w:val="superscript"/>
        </w:rPr>
        <w:t>2</w:t>
      </w:r>
      <w:r w:rsidR="00421EA7" w:rsidRPr="00C66C24">
        <w:rPr>
          <w:sz w:val="20"/>
          <w:szCs w:val="20"/>
        </w:rPr>
        <w:t>.</w:t>
      </w:r>
      <w:bookmarkEnd w:id="126"/>
    </w:p>
    <w:p w14:paraId="568C7141" w14:textId="4D07614D" w:rsidR="767E4625" w:rsidRPr="00C66C24" w:rsidRDefault="767E4625" w:rsidP="008C6A9C">
      <w:pPr>
        <w:spacing w:before="0" w:after="120" w:line="257" w:lineRule="auto"/>
        <w:jc w:val="center"/>
        <w:rPr>
          <w:rFonts w:ascii="Calibri" w:eastAsia="Calibri" w:hAnsi="Calibri" w:cs="Calibri"/>
          <w:sz w:val="20"/>
          <w:szCs w:val="20"/>
        </w:rPr>
      </w:pPr>
      <w:r w:rsidRPr="00C66C24">
        <w:rPr>
          <w:rFonts w:ascii="Calibri" w:eastAsia="Calibri" w:hAnsi="Calibri" w:cs="Calibri"/>
          <w:sz w:val="20"/>
          <w:szCs w:val="20"/>
        </w:rPr>
        <w:t>Source</w:t>
      </w:r>
      <w:r w:rsidR="00970052" w:rsidRPr="00C66C24">
        <w:rPr>
          <w:rFonts w:ascii="Calibri" w:eastAsia="Calibri" w:hAnsi="Calibri" w:cs="Calibri"/>
          <w:sz w:val="20"/>
          <w:szCs w:val="20"/>
        </w:rPr>
        <w:t>:</w:t>
      </w:r>
      <w:r w:rsidRPr="00C66C24">
        <w:rPr>
          <w:rFonts w:ascii="Calibri" w:eastAsia="Calibri" w:hAnsi="Calibri" w:cs="Calibri"/>
          <w:sz w:val="20"/>
          <w:szCs w:val="20"/>
        </w:rPr>
        <w:t xml:space="preserve"> EMSA</w:t>
      </w:r>
      <w:r w:rsidR="002544D3" w:rsidRPr="00C66C24">
        <w:rPr>
          <w:rFonts w:ascii="Calibri" w:eastAsia="Calibri" w:hAnsi="Calibri" w:cs="Calibri"/>
          <w:sz w:val="20"/>
          <w:szCs w:val="20"/>
        </w:rPr>
        <w:t>, CSN.</w:t>
      </w:r>
    </w:p>
    <w:p w14:paraId="5A8C75B5" w14:textId="40A0BAFA" w:rsidR="003E48A2" w:rsidRPr="00C66C24" w:rsidRDefault="003E48A2" w:rsidP="008C6A9C">
      <w:pPr>
        <w:spacing w:before="0" w:after="0" w:line="257" w:lineRule="auto"/>
        <w:rPr>
          <w:rFonts w:ascii="Calibri" w:hAnsi="Calibri" w:cs="Calibri"/>
          <w:szCs w:val="22"/>
        </w:rPr>
      </w:pPr>
      <w:r w:rsidRPr="00C66C24">
        <w:rPr>
          <w:rFonts w:ascii="Calibri" w:eastAsia="Calibri" w:hAnsi="Calibri" w:cs="Calibri"/>
          <w:szCs w:val="22"/>
        </w:rPr>
        <w:t xml:space="preserve">When a possible spill is detected by CleanSeaNet, an alert is sent to the Member State and the responsible authorities can perform follow-up activities (i.e. feedback) that may include on-the-spot verification by patrol vessels, aerial surveillance, and other forms of follow-up. </w:t>
      </w:r>
      <w:r w:rsidRPr="00C66C24">
        <w:rPr>
          <w:rFonts w:ascii="Calibri" w:eastAsia="Calibri" w:hAnsi="Calibri" w:cs="Calibri"/>
          <w:szCs w:val="22"/>
        </w:rPr>
        <w:fldChar w:fldCharType="begin"/>
      </w:r>
      <w:r w:rsidRPr="00C66C24">
        <w:rPr>
          <w:rFonts w:ascii="Calibri" w:eastAsia="Calibri" w:hAnsi="Calibri" w:cs="Calibri"/>
          <w:szCs w:val="22"/>
        </w:rPr>
        <w:instrText xml:space="preserve"> REF _Ref156399523 \h  \* MERGEFORMAT </w:instrText>
      </w:r>
      <w:r w:rsidRPr="00C66C24">
        <w:rPr>
          <w:rFonts w:ascii="Calibri" w:eastAsia="Calibri" w:hAnsi="Calibri" w:cs="Calibri"/>
          <w:szCs w:val="22"/>
        </w:rPr>
      </w:r>
      <w:r w:rsidRPr="00C66C24">
        <w:rPr>
          <w:rFonts w:ascii="Calibri" w:eastAsia="Calibri" w:hAnsi="Calibri" w:cs="Calibri"/>
          <w:szCs w:val="22"/>
        </w:rPr>
        <w:fldChar w:fldCharType="separate"/>
      </w:r>
      <w:r w:rsidR="00DC221D" w:rsidRPr="00C66C24">
        <w:rPr>
          <w:szCs w:val="22"/>
        </w:rPr>
        <w:t xml:space="preserve">Figure </w:t>
      </w:r>
      <w:r w:rsidR="00DC221D" w:rsidRPr="00C66C24">
        <w:rPr>
          <w:noProof/>
          <w:szCs w:val="22"/>
        </w:rPr>
        <w:t>2.</w:t>
      </w:r>
      <w:bookmarkStart w:id="127" w:name="_Hlt157610626"/>
      <w:r w:rsidR="00DC221D" w:rsidRPr="00C66C24">
        <w:rPr>
          <w:noProof/>
          <w:szCs w:val="22"/>
        </w:rPr>
        <w:t>2</w:t>
      </w:r>
      <w:bookmarkEnd w:id="127"/>
      <w:r w:rsidR="00DC221D" w:rsidRPr="00C66C24">
        <w:rPr>
          <w:noProof/>
          <w:szCs w:val="22"/>
        </w:rPr>
        <w:t>4</w:t>
      </w:r>
      <w:r w:rsidRPr="00C66C24">
        <w:rPr>
          <w:rFonts w:ascii="Calibri" w:eastAsia="Calibri" w:hAnsi="Calibri" w:cs="Calibri"/>
          <w:szCs w:val="22"/>
        </w:rPr>
        <w:fldChar w:fldCharType="end"/>
      </w:r>
      <w:r w:rsidRPr="00C66C24">
        <w:rPr>
          <w:rFonts w:ascii="Calibri" w:eastAsia="Calibri" w:hAnsi="Calibri" w:cs="Calibri"/>
          <w:szCs w:val="22"/>
        </w:rPr>
        <w:t xml:space="preserve"> shows that in 2022 potential pollution incidents larger than 4 km</w:t>
      </w:r>
      <w:r w:rsidRPr="00C66C24">
        <w:rPr>
          <w:rFonts w:ascii="Calibri" w:eastAsia="Calibri" w:hAnsi="Calibri" w:cs="Calibri"/>
          <w:szCs w:val="22"/>
          <w:vertAlign w:val="superscript"/>
        </w:rPr>
        <w:t xml:space="preserve">2 </w:t>
      </w:r>
      <w:r w:rsidRPr="00C66C24">
        <w:rPr>
          <w:rFonts w:ascii="Calibri" w:eastAsia="Calibri" w:hAnsi="Calibri" w:cs="Calibri"/>
          <w:szCs w:val="22"/>
        </w:rPr>
        <w:t>were verified more often on-the-spot (approximately 53%) whereas smaller potential pollution incidents (those ranging from 0.1 to 2 km</w:t>
      </w:r>
      <w:r w:rsidRPr="00C66C24">
        <w:rPr>
          <w:rFonts w:ascii="Calibri" w:eastAsia="Calibri" w:hAnsi="Calibri" w:cs="Calibri"/>
          <w:szCs w:val="22"/>
          <w:vertAlign w:val="superscript"/>
        </w:rPr>
        <w:t>2</w:t>
      </w:r>
      <w:r w:rsidRPr="00C66C24">
        <w:rPr>
          <w:rFonts w:ascii="Calibri" w:eastAsia="Calibri" w:hAnsi="Calibri" w:cs="Calibri"/>
          <w:szCs w:val="22"/>
        </w:rPr>
        <w:t>) received less attention (around 37%). This indicates that Member States tend to prioritize on-site verification of spills larger than 4 km</w:t>
      </w:r>
      <w:r w:rsidRPr="00C66C24">
        <w:rPr>
          <w:rFonts w:ascii="Calibri" w:eastAsia="Calibri" w:hAnsi="Calibri" w:cs="Calibri"/>
          <w:szCs w:val="22"/>
          <w:vertAlign w:val="superscript"/>
        </w:rPr>
        <w:t>2</w:t>
      </w:r>
      <w:r w:rsidRPr="00C66C24">
        <w:rPr>
          <w:rFonts w:ascii="Calibri" w:eastAsia="Calibri" w:hAnsi="Calibri" w:cs="Calibri"/>
          <w:szCs w:val="22"/>
        </w:rPr>
        <w:t>.</w:t>
      </w:r>
    </w:p>
    <w:p w14:paraId="39943796" w14:textId="607A788C" w:rsidR="00565031" w:rsidRPr="00C66C24" w:rsidRDefault="00565031" w:rsidP="008C6A9C">
      <w:pPr>
        <w:spacing w:before="0" w:after="0" w:line="257" w:lineRule="auto"/>
      </w:pPr>
      <w:r w:rsidRPr="00C66C24">
        <w:rPr>
          <w:rFonts w:ascii="Calibri" w:eastAsia="Calibri" w:hAnsi="Calibri" w:cs="Calibri"/>
        </w:rPr>
        <w:t>In 2022, the total number of possible pollution incidents verified on-site was 1</w:t>
      </w:r>
      <w:r w:rsidR="003B3BB1" w:rsidRPr="00C66C24">
        <w:rPr>
          <w:rFonts w:ascii="Calibri" w:eastAsia="Calibri" w:hAnsi="Calibri" w:cs="Calibri"/>
        </w:rPr>
        <w:t>,</w:t>
      </w:r>
      <w:r w:rsidRPr="00C66C24">
        <w:rPr>
          <w:rFonts w:ascii="Calibri" w:eastAsia="Calibri" w:hAnsi="Calibri" w:cs="Calibri"/>
        </w:rPr>
        <w:t>351. Out of those, 5% were confirmed as "mineral oil", 22% as "other substance", 15% as "unknown feature", and 3% were "natural phenomena".</w:t>
      </w:r>
    </w:p>
    <w:p w14:paraId="598C841C" w14:textId="06254B37" w:rsidR="003E48A2" w:rsidRPr="00C66C24" w:rsidRDefault="003E48A2" w:rsidP="008C6A9C">
      <w:pPr>
        <w:spacing w:line="257" w:lineRule="auto"/>
      </w:pPr>
    </w:p>
    <w:p w14:paraId="7EB4FA76" w14:textId="77777777" w:rsidR="003E48A2" w:rsidRPr="00C66C24" w:rsidRDefault="003E48A2" w:rsidP="008C6A9C">
      <w:pPr>
        <w:keepNext/>
        <w:spacing w:line="257" w:lineRule="auto"/>
        <w:jc w:val="center"/>
      </w:pPr>
      <w:r w:rsidRPr="00C66C24">
        <w:rPr>
          <w:rFonts w:ascii="Calibri" w:eastAsia="Calibri" w:hAnsi="Calibri" w:cs="Calibri"/>
        </w:rPr>
        <w:t xml:space="preserve"> </w:t>
      </w:r>
      <w:r w:rsidRPr="00C66C24">
        <w:rPr>
          <w:noProof/>
        </w:rPr>
        <w:drawing>
          <wp:inline distT="0" distB="0" distL="0" distR="0" wp14:anchorId="5CB03E98" wp14:editId="705E3D4F">
            <wp:extent cx="4572000" cy="3543300"/>
            <wp:effectExtent l="0" t="0" r="0" b="0"/>
            <wp:docPr id="191686747" name="Picture 19168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86747"/>
                    <pic:cNvPicPr/>
                  </pic:nvPicPr>
                  <pic:blipFill>
                    <a:blip r:embed="rId52">
                      <a:extLst>
                        <a:ext uri="{28A0092B-C50C-407E-A947-70E740481C1C}">
                          <a14:useLocalDpi xmlns:a14="http://schemas.microsoft.com/office/drawing/2010/main" val="0"/>
                        </a:ext>
                      </a:extLst>
                    </a:blip>
                    <a:stretch>
                      <a:fillRect/>
                    </a:stretch>
                  </pic:blipFill>
                  <pic:spPr>
                    <a:xfrm>
                      <a:off x="0" y="0"/>
                      <a:ext cx="4572000" cy="3543300"/>
                    </a:xfrm>
                    <a:prstGeom prst="rect">
                      <a:avLst/>
                    </a:prstGeom>
                  </pic:spPr>
                </pic:pic>
              </a:graphicData>
            </a:graphic>
          </wp:inline>
        </w:drawing>
      </w:r>
    </w:p>
    <w:p w14:paraId="7FF98E54" w14:textId="3F36750E" w:rsidR="003E48A2" w:rsidRPr="00C66C24" w:rsidRDefault="003E48A2" w:rsidP="008C6A9C">
      <w:pPr>
        <w:pStyle w:val="Caption"/>
        <w:spacing w:after="0" w:line="257" w:lineRule="auto"/>
        <w:jc w:val="center"/>
        <w:rPr>
          <w:rFonts w:ascii="Calibri" w:eastAsia="Calibri" w:hAnsi="Calibri" w:cs="Calibri"/>
          <w:sz w:val="20"/>
          <w:szCs w:val="20"/>
        </w:rPr>
      </w:pPr>
      <w:bookmarkStart w:id="128" w:name="_Ref151111500"/>
      <w:bookmarkStart w:id="129" w:name="_Ref156399523"/>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24</w:t>
      </w:r>
      <w:r w:rsidR="00A81F61" w:rsidRPr="00C66C24">
        <w:rPr>
          <w:sz w:val="20"/>
          <w:szCs w:val="20"/>
        </w:rPr>
        <w:fldChar w:fldCharType="end"/>
      </w:r>
      <w:bookmarkEnd w:id="128"/>
      <w:bookmarkEnd w:id="129"/>
      <w:r w:rsidRPr="00C66C24">
        <w:rPr>
          <w:sz w:val="20"/>
          <w:szCs w:val="20"/>
        </w:rPr>
        <w:t xml:space="preserve"> CleanSeaNet detections Class A - feedback to alerts and distribution per size of potential pollution incident in 2022 (absolute figures).</w:t>
      </w:r>
    </w:p>
    <w:p w14:paraId="23D62A53" w14:textId="77777777" w:rsidR="003E48A2" w:rsidRPr="00C66C24" w:rsidRDefault="003E48A2" w:rsidP="008C6A9C">
      <w:pPr>
        <w:spacing w:before="0" w:after="120" w:line="257" w:lineRule="auto"/>
        <w:jc w:val="center"/>
        <w:rPr>
          <w:sz w:val="20"/>
          <w:szCs w:val="20"/>
        </w:rPr>
      </w:pPr>
      <w:r w:rsidRPr="00C66C24">
        <w:rPr>
          <w:sz w:val="20"/>
          <w:szCs w:val="20"/>
        </w:rPr>
        <w:t>Source: EMSA, CSN (Data extracted on 29 May 2023).</w:t>
      </w:r>
    </w:p>
    <w:p w14:paraId="61BD472D" w14:textId="31D0846E" w:rsidR="0029772A" w:rsidRPr="00C66C24" w:rsidRDefault="0029772A" w:rsidP="00C15E54">
      <w:pPr>
        <w:spacing w:before="0" w:after="120" w:line="257" w:lineRule="auto"/>
        <w:rPr>
          <w:rFonts w:ascii="Calibri" w:eastAsia="Calibri" w:hAnsi="Calibri" w:cs="Calibri"/>
        </w:rPr>
      </w:pPr>
      <w:r w:rsidRPr="00C66C24">
        <w:rPr>
          <w:rFonts w:ascii="Calibri" w:eastAsia="Calibri" w:hAnsi="Calibri" w:cs="Calibri"/>
        </w:rPr>
        <w:t>S</w:t>
      </w:r>
      <w:r w:rsidR="26FF4009" w:rsidRPr="00C66C24">
        <w:rPr>
          <w:rFonts w:ascii="Calibri" w:eastAsia="Calibri" w:hAnsi="Calibri" w:cs="Calibri"/>
        </w:rPr>
        <w:t xml:space="preserve">tatistical data on oil tanker spills </w:t>
      </w:r>
      <w:r w:rsidR="00CC51F7" w:rsidRPr="00C66C24">
        <w:rPr>
          <w:rFonts w:ascii="Calibri" w:eastAsia="Calibri" w:hAnsi="Calibri" w:cs="Calibri"/>
        </w:rPr>
        <w:t xml:space="preserve">made </w:t>
      </w:r>
      <w:r w:rsidR="26FF4009" w:rsidRPr="00C66C24">
        <w:rPr>
          <w:rFonts w:ascii="Calibri" w:eastAsia="Calibri" w:hAnsi="Calibri" w:cs="Calibri"/>
        </w:rPr>
        <w:t>available by</w:t>
      </w:r>
      <w:r w:rsidR="00E74996" w:rsidRPr="00C66C24">
        <w:rPr>
          <w:rFonts w:ascii="Calibri" w:eastAsia="Calibri" w:hAnsi="Calibri" w:cs="Calibri"/>
        </w:rPr>
        <w:t xml:space="preserve"> the International Tanker Owners Pollution Federation</w:t>
      </w:r>
      <w:r w:rsidR="26FF4009" w:rsidRPr="00C66C24">
        <w:rPr>
          <w:rFonts w:ascii="Calibri" w:eastAsia="Calibri" w:hAnsi="Calibri" w:cs="Calibri"/>
        </w:rPr>
        <w:t xml:space="preserve"> </w:t>
      </w:r>
      <w:r w:rsidR="00E74996" w:rsidRPr="00C66C24">
        <w:rPr>
          <w:rFonts w:ascii="Calibri" w:eastAsia="Calibri" w:hAnsi="Calibri" w:cs="Calibri"/>
        </w:rPr>
        <w:t>(</w:t>
      </w:r>
      <w:r w:rsidR="26FF4009" w:rsidRPr="00C66C24">
        <w:rPr>
          <w:rFonts w:ascii="Calibri" w:eastAsia="Calibri" w:hAnsi="Calibri" w:cs="Calibri"/>
        </w:rPr>
        <w:t>ITOPF</w:t>
      </w:r>
      <w:r w:rsidR="00E74996" w:rsidRPr="00C66C24">
        <w:rPr>
          <w:rFonts w:ascii="Calibri" w:eastAsia="Calibri" w:hAnsi="Calibri" w:cs="Calibri"/>
        </w:rPr>
        <w:t>)</w:t>
      </w:r>
      <w:r w:rsidR="00CC51F7" w:rsidRPr="00C66C24">
        <w:rPr>
          <w:rFonts w:ascii="Calibri" w:eastAsia="Calibri" w:hAnsi="Calibri" w:cs="Calibri"/>
        </w:rPr>
        <w:t xml:space="preserve"> shows that </w:t>
      </w:r>
      <w:r w:rsidR="6CBB3D08" w:rsidRPr="00C66C24">
        <w:t>i</w:t>
      </w:r>
      <w:r w:rsidR="00A73FF0" w:rsidRPr="00C66C24">
        <w:rPr>
          <w:rFonts w:ascii="Calibri" w:eastAsia="Calibri" w:hAnsi="Calibri" w:cs="Calibri"/>
        </w:rPr>
        <w:t>n 202</w:t>
      </w:r>
      <w:r w:rsidR="000B6029" w:rsidRPr="00C66C24">
        <w:rPr>
          <w:rFonts w:ascii="Calibri" w:eastAsia="Calibri" w:hAnsi="Calibri" w:cs="Calibri"/>
        </w:rPr>
        <w:t>3</w:t>
      </w:r>
      <w:r w:rsidR="00A73FF0" w:rsidRPr="00C66C24">
        <w:rPr>
          <w:rFonts w:ascii="Calibri" w:eastAsia="Calibri" w:hAnsi="Calibri" w:cs="Calibri"/>
        </w:rPr>
        <w:t xml:space="preserve"> the percentage of spills </w:t>
      </w:r>
      <w:r w:rsidR="003318B9" w:rsidRPr="00C66C24">
        <w:rPr>
          <w:rFonts w:ascii="Calibri" w:eastAsia="Calibri" w:hAnsi="Calibri" w:cs="Calibri"/>
        </w:rPr>
        <w:t xml:space="preserve">from oil tankers </w:t>
      </w:r>
      <w:r w:rsidR="00A73FF0" w:rsidRPr="00C66C24">
        <w:rPr>
          <w:rFonts w:ascii="Calibri" w:eastAsia="Calibri" w:hAnsi="Calibri" w:cs="Calibri"/>
        </w:rPr>
        <w:t>in the EU was 1</w:t>
      </w:r>
      <w:r w:rsidR="00DF71B8" w:rsidRPr="00C66C24">
        <w:rPr>
          <w:rFonts w:ascii="Calibri" w:eastAsia="Calibri" w:hAnsi="Calibri" w:cs="Calibri"/>
        </w:rPr>
        <w:t>2</w:t>
      </w:r>
      <w:r w:rsidR="00A73FF0" w:rsidRPr="00C66C24">
        <w:rPr>
          <w:rFonts w:ascii="Calibri" w:eastAsia="Calibri" w:hAnsi="Calibri" w:cs="Calibri"/>
        </w:rPr>
        <w:t>%</w:t>
      </w:r>
      <w:r w:rsidR="00245E10" w:rsidRPr="00C66C24">
        <w:rPr>
          <w:rFonts w:ascii="Calibri" w:eastAsia="Calibri" w:hAnsi="Calibri" w:cs="Calibri"/>
        </w:rPr>
        <w:t xml:space="preserve"> </w:t>
      </w:r>
      <w:r w:rsidR="00EA2B4F" w:rsidRPr="00C66C24">
        <w:rPr>
          <w:rFonts w:ascii="Calibri" w:eastAsia="Calibri" w:hAnsi="Calibri" w:cs="Calibri"/>
        </w:rPr>
        <w:t>(</w:t>
      </w:r>
      <w:r w:rsidR="00245E10" w:rsidRPr="00C66C24">
        <w:rPr>
          <w:rFonts w:ascii="Calibri" w:eastAsia="Calibri" w:hAnsi="Calibri" w:cs="Calibri"/>
        </w:rPr>
        <w:t>out of the total that took place worldwide</w:t>
      </w:r>
      <w:r w:rsidR="00EA2B4F" w:rsidRPr="00C66C24">
        <w:rPr>
          <w:rFonts w:ascii="Calibri" w:eastAsia="Calibri" w:hAnsi="Calibri" w:cs="Calibri"/>
        </w:rPr>
        <w:t>)</w:t>
      </w:r>
      <w:r w:rsidR="00A73FF0" w:rsidRPr="00C66C24">
        <w:rPr>
          <w:rFonts w:ascii="Calibri" w:eastAsia="Calibri" w:hAnsi="Calibri" w:cs="Calibri"/>
        </w:rPr>
        <w:t>, compared to 13% in 2019</w:t>
      </w:r>
      <w:r w:rsidR="00744A48" w:rsidRPr="00C66C24">
        <w:rPr>
          <w:rFonts w:ascii="Calibri" w:eastAsia="Calibri" w:hAnsi="Calibri" w:cs="Calibri"/>
        </w:rPr>
        <w:t>.</w:t>
      </w:r>
      <w:r w:rsidR="00A73FF0" w:rsidRPr="00C66C24">
        <w:rPr>
          <w:rFonts w:ascii="Calibri" w:eastAsia="Calibri" w:hAnsi="Calibri" w:cs="Calibri"/>
        </w:rPr>
        <w:t xml:space="preserve"> </w:t>
      </w:r>
      <w:r w:rsidR="00744A48" w:rsidRPr="00C66C24">
        <w:rPr>
          <w:rFonts w:ascii="Calibri" w:eastAsia="Calibri" w:hAnsi="Calibri" w:cs="Calibri"/>
        </w:rPr>
        <w:t>M</w:t>
      </w:r>
      <w:r w:rsidR="00A73FF0" w:rsidRPr="00C66C24">
        <w:rPr>
          <w:rFonts w:ascii="Calibri" w:eastAsia="Calibri" w:hAnsi="Calibri" w:cs="Calibri"/>
        </w:rPr>
        <w:t>ore specifically</w:t>
      </w:r>
      <w:r w:rsidR="00744A48" w:rsidRPr="00C66C24">
        <w:rPr>
          <w:rFonts w:ascii="Calibri" w:eastAsia="Calibri" w:hAnsi="Calibri" w:cs="Calibri"/>
        </w:rPr>
        <w:t>,</w:t>
      </w:r>
      <w:r w:rsidR="00A73FF0" w:rsidRPr="00C66C24">
        <w:rPr>
          <w:rFonts w:ascii="Calibri" w:eastAsia="Calibri" w:hAnsi="Calibri" w:cs="Calibri"/>
        </w:rPr>
        <w:t xml:space="preserve"> this decline is more noticeable for the large spills which have decreased to 1</w:t>
      </w:r>
      <w:r w:rsidR="00606EBF" w:rsidRPr="00C66C24">
        <w:rPr>
          <w:rFonts w:ascii="Calibri" w:eastAsia="Calibri" w:hAnsi="Calibri" w:cs="Calibri"/>
        </w:rPr>
        <w:t>3</w:t>
      </w:r>
      <w:r w:rsidR="00A73FF0" w:rsidRPr="00C66C24">
        <w:rPr>
          <w:rFonts w:ascii="Calibri" w:eastAsia="Calibri" w:hAnsi="Calibri" w:cs="Calibri"/>
        </w:rPr>
        <w:t>% in 202</w:t>
      </w:r>
      <w:r w:rsidR="005E1394" w:rsidRPr="00C66C24">
        <w:rPr>
          <w:rFonts w:ascii="Calibri" w:eastAsia="Calibri" w:hAnsi="Calibri" w:cs="Calibri"/>
        </w:rPr>
        <w:t>3</w:t>
      </w:r>
      <w:r w:rsidR="00A73FF0" w:rsidRPr="00C66C24">
        <w:rPr>
          <w:rFonts w:ascii="Calibri" w:eastAsia="Calibri" w:hAnsi="Calibri" w:cs="Calibri"/>
        </w:rPr>
        <w:t>, compared to 17% in 2019</w:t>
      </w:r>
      <w:r w:rsidR="00451F96" w:rsidRPr="00C66C24">
        <w:rPr>
          <w:rFonts w:ascii="Calibri" w:eastAsia="Calibri" w:hAnsi="Calibri" w:cs="Calibri"/>
        </w:rPr>
        <w:t xml:space="preserve"> </w:t>
      </w:r>
      <w:r w:rsidR="00451F96"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{"citationID":"a2i219b08fj","properties":{"formattedCitation":"(ITOPF, 2024)","plainCitation":"(ITOPF, 2024)","noteIndex":0},"citationItems":[{"id":59453,"uris":["http://zotero.org/groups/122386/items/DKYJ237X"],"itemData":{"id":59453,"type":"webpage","title":"Oil Tanker Spill Statistics 2023","URL":"https://www.itopf.org/knowledge-resources/data-statistics/statistics/","author":[{"literal":"ITOPF"}],"issued":{"date-parts":[["2024"]]}}}],"schema":"https://github.com/citation-style-language/schema/raw/master/csl-citation.json"} </w:instrText>
      </w:r>
      <w:r w:rsidR="00451F96" w:rsidRPr="00C66C24">
        <w:rPr>
          <w:rFonts w:ascii="Calibri" w:eastAsia="Calibri" w:hAnsi="Calibri" w:cs="Calibri"/>
        </w:rPr>
        <w:fldChar w:fldCharType="separate"/>
      </w:r>
      <w:r w:rsidR="001855E3" w:rsidRPr="00C66C24">
        <w:rPr>
          <w:rFonts w:ascii="Calibri" w:hAnsi="Calibri" w:cs="Calibri"/>
        </w:rPr>
        <w:t>(ITOPF, 2024)</w:t>
      </w:r>
      <w:r w:rsidR="00451F96" w:rsidRPr="00C66C24">
        <w:rPr>
          <w:rFonts w:ascii="Calibri" w:eastAsia="Calibri" w:hAnsi="Calibri" w:cs="Calibri"/>
        </w:rPr>
        <w:fldChar w:fldCharType="end"/>
      </w:r>
      <w:r w:rsidR="00A73FF0" w:rsidRPr="00C66C24">
        <w:rPr>
          <w:rFonts w:ascii="Calibri" w:eastAsia="Calibri" w:hAnsi="Calibri" w:cs="Calibri"/>
        </w:rPr>
        <w:t>.</w:t>
      </w:r>
    </w:p>
    <w:p w14:paraId="45DEF9C5" w14:textId="72B2965D" w:rsidR="60E97ED1" w:rsidRPr="00C66C24" w:rsidRDefault="0065541E" w:rsidP="008C6A9C">
      <w:pPr>
        <w:spacing w:line="257" w:lineRule="auto"/>
        <w:jc w:val="center"/>
        <w:rPr>
          <w:sz w:val="20"/>
          <w:szCs w:val="20"/>
        </w:rPr>
      </w:pPr>
      <w:r w:rsidRPr="00C66C24">
        <w:rPr>
          <w:noProof/>
        </w:rPr>
        <w:drawing>
          <wp:inline distT="0" distB="0" distL="0" distR="0" wp14:anchorId="6D21A998" wp14:editId="70C4AC65">
            <wp:extent cx="3315970" cy="135191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315970" cy="1351915"/>
                    </a:xfrm>
                    <a:prstGeom prst="rect">
                      <a:avLst/>
                    </a:prstGeom>
                    <a:noFill/>
                    <a:ln>
                      <a:noFill/>
                    </a:ln>
                  </pic:spPr>
                </pic:pic>
              </a:graphicData>
            </a:graphic>
          </wp:inline>
        </w:drawing>
      </w:r>
    </w:p>
    <w:p w14:paraId="1E84933A" w14:textId="769895D9" w:rsidR="009A6F4C" w:rsidRPr="00C66C24" w:rsidRDefault="009A6F4C" w:rsidP="008C6A9C">
      <w:pPr>
        <w:pStyle w:val="Caption"/>
        <w:keepNext/>
        <w:spacing w:after="0" w:line="257" w:lineRule="auto"/>
        <w:jc w:val="center"/>
        <w:rPr>
          <w:sz w:val="20"/>
          <w:szCs w:val="20"/>
        </w:rPr>
      </w:pPr>
      <w:r w:rsidRPr="00C66C24">
        <w:rPr>
          <w:sz w:val="20"/>
          <w:szCs w:val="20"/>
        </w:rPr>
        <w:t xml:space="preserve">Table </w:t>
      </w:r>
      <w:r w:rsidR="000F2E4C" w:rsidRPr="00C66C24">
        <w:rPr>
          <w:sz w:val="20"/>
          <w:szCs w:val="20"/>
        </w:rPr>
        <w:fldChar w:fldCharType="begin"/>
      </w:r>
      <w:r w:rsidR="000F2E4C" w:rsidRPr="00C66C24">
        <w:rPr>
          <w:sz w:val="20"/>
          <w:szCs w:val="20"/>
        </w:rPr>
        <w:instrText xml:space="preserve"> STYLEREF 1 \s </w:instrText>
      </w:r>
      <w:r w:rsidR="000F2E4C" w:rsidRPr="00C66C24">
        <w:rPr>
          <w:sz w:val="20"/>
          <w:szCs w:val="20"/>
        </w:rPr>
        <w:fldChar w:fldCharType="separate"/>
      </w:r>
      <w:r w:rsidR="00260F01" w:rsidRPr="00C66C24">
        <w:rPr>
          <w:noProof/>
          <w:sz w:val="20"/>
          <w:szCs w:val="20"/>
        </w:rPr>
        <w:t>2</w:t>
      </w:r>
      <w:r w:rsidR="000F2E4C" w:rsidRPr="00C66C24">
        <w:rPr>
          <w:sz w:val="20"/>
          <w:szCs w:val="20"/>
        </w:rPr>
        <w:fldChar w:fldCharType="end"/>
      </w:r>
      <w:r w:rsidR="000F2E4C" w:rsidRPr="00C66C24">
        <w:rPr>
          <w:sz w:val="20"/>
          <w:szCs w:val="20"/>
        </w:rPr>
        <w:t>.</w:t>
      </w:r>
      <w:r w:rsidR="000F2E4C" w:rsidRPr="00C66C24">
        <w:rPr>
          <w:sz w:val="20"/>
          <w:szCs w:val="20"/>
        </w:rPr>
        <w:fldChar w:fldCharType="begin"/>
      </w:r>
      <w:r w:rsidR="000F2E4C" w:rsidRPr="00C66C24">
        <w:rPr>
          <w:sz w:val="20"/>
          <w:szCs w:val="20"/>
        </w:rPr>
        <w:instrText xml:space="preserve"> SEQ Table \* ARABIC \s 1 </w:instrText>
      </w:r>
      <w:r w:rsidR="000F2E4C" w:rsidRPr="00C66C24">
        <w:rPr>
          <w:sz w:val="20"/>
          <w:szCs w:val="20"/>
        </w:rPr>
        <w:fldChar w:fldCharType="separate"/>
      </w:r>
      <w:r w:rsidR="006D5F82" w:rsidRPr="00C66C24">
        <w:rPr>
          <w:noProof/>
          <w:sz w:val="20"/>
          <w:szCs w:val="20"/>
        </w:rPr>
        <w:t>2</w:t>
      </w:r>
      <w:r w:rsidR="000F2E4C" w:rsidRPr="00C66C24">
        <w:rPr>
          <w:sz w:val="20"/>
          <w:szCs w:val="20"/>
        </w:rPr>
        <w:fldChar w:fldCharType="end"/>
      </w:r>
      <w:r w:rsidRPr="00C66C24">
        <w:rPr>
          <w:sz w:val="20"/>
          <w:szCs w:val="20"/>
        </w:rPr>
        <w:t xml:space="preserve"> Number and percentage of oil spills from tankers inside and outside the EU by spill size, 2010-202</w:t>
      </w:r>
      <w:r w:rsidR="00EF7D60" w:rsidRPr="00C66C24">
        <w:rPr>
          <w:sz w:val="20"/>
          <w:szCs w:val="20"/>
        </w:rPr>
        <w:t>3</w:t>
      </w:r>
      <w:r w:rsidRPr="00C66C24">
        <w:rPr>
          <w:sz w:val="20"/>
          <w:szCs w:val="20"/>
        </w:rPr>
        <w:t>.</w:t>
      </w:r>
    </w:p>
    <w:p w14:paraId="12EE3445" w14:textId="42F13209" w:rsidR="00A73FF0" w:rsidRPr="00C66C24" w:rsidRDefault="00A73FF0" w:rsidP="008C6A9C">
      <w:pPr>
        <w:spacing w:before="0" w:after="120" w:line="257" w:lineRule="auto"/>
        <w:jc w:val="center"/>
        <w:rPr>
          <w:sz w:val="20"/>
          <w:szCs w:val="20"/>
        </w:rPr>
      </w:pPr>
      <w:r w:rsidRPr="00C66C24">
        <w:rPr>
          <w:sz w:val="20"/>
          <w:szCs w:val="20"/>
        </w:rPr>
        <w:t>Source: ITOPF (202</w:t>
      </w:r>
      <w:r w:rsidR="007414EF" w:rsidRPr="00C66C24">
        <w:rPr>
          <w:sz w:val="20"/>
          <w:szCs w:val="20"/>
        </w:rPr>
        <w:t>4</w:t>
      </w:r>
      <w:r w:rsidRPr="00C66C24">
        <w:rPr>
          <w:sz w:val="20"/>
          <w:szCs w:val="20"/>
        </w:rPr>
        <w:t>)</w:t>
      </w:r>
      <w:r w:rsidR="002544D3" w:rsidRPr="00C66C24">
        <w:rPr>
          <w:sz w:val="20"/>
          <w:szCs w:val="20"/>
        </w:rPr>
        <w:t>.</w:t>
      </w:r>
    </w:p>
    <w:p w14:paraId="32AAB4BF" w14:textId="60B6B771" w:rsidR="00BF4E38" w:rsidRPr="00C66C24" w:rsidRDefault="00BF4E38" w:rsidP="008C6A9C">
      <w:pPr>
        <w:spacing w:before="0" w:after="120" w:line="257" w:lineRule="auto"/>
        <w:rPr>
          <w:rFonts w:ascii="Calibri" w:eastAsia="Calibri" w:hAnsi="Calibri" w:cs="Calibri"/>
        </w:rPr>
      </w:pPr>
      <w:r w:rsidRPr="00C66C24">
        <w:rPr>
          <w:rFonts w:ascii="Calibri" w:eastAsia="Calibri" w:hAnsi="Calibri" w:cs="Calibri"/>
        </w:rPr>
        <w:t>Despite the steady decrease in potential pollution incidents detected by CleanSeaNet in Europe and the increased surveillance and enforcement efforts, illegal discharges of oil and other polluting substances persist in European waters. From the limited data available, the legal follow-up and penalties remain relatively low, despite the dissuasive effect of the CleanSeaNet service and other surveillance systems in place</w:t>
      </w:r>
      <w:r w:rsidR="00B92B61" w:rsidRPr="00C66C24">
        <w:rPr>
          <w:rFonts w:ascii="Calibri" w:eastAsia="Calibri" w:hAnsi="Calibri" w:cs="Calibri"/>
        </w:rPr>
        <w:t xml:space="preserve"> </w:t>
      </w:r>
      <w:r w:rsidR="00B92B61"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{"citationID":"a9fj8a5qav","properties":{"formattedCitation":"(EC, 2023d)","plainCitation":"(EC, 2023d)","noteIndex":0},"citationItems":[{"id":52180,"uris":["http://zotero.org/groups/122386/items/EKH7EBAV"],"itemData":{"id":52180,"type":"document","language":"EN","title":"Proposal for a directive of the European Parliament and of the Council - amending Directive 2005/35/EC on ship-source pollution and on the introduction of penalties, including criminal penalties, for pollution offences","URL":"https://transport.ec.europa.eu/system/files/2023-06/COM_2023_273_Ship-source_pollution.pdf","author":[{"family":"EC","given":""}],"accessed":{"date-parts":[["2023",10,24]]},"issued":{"date-parts":[["2023"]]}}}],"schema":"https://github.com/citation-style-language/schema/raw/master/csl-citation.json"} </w:instrText>
      </w:r>
      <w:r w:rsidR="00B92B61" w:rsidRPr="00C66C24">
        <w:rPr>
          <w:rFonts w:ascii="Calibri" w:eastAsia="Calibri" w:hAnsi="Calibri" w:cs="Calibri"/>
        </w:rPr>
        <w:fldChar w:fldCharType="separate"/>
      </w:r>
      <w:r w:rsidR="001855E3" w:rsidRPr="00C66C24">
        <w:rPr>
          <w:rFonts w:ascii="Calibri" w:hAnsi="Calibri" w:cs="Calibri"/>
        </w:rPr>
        <w:t>(EC, 2023</w:t>
      </w:r>
      <w:r w:rsidR="00B729A3">
        <w:rPr>
          <w:rFonts w:ascii="Calibri" w:hAnsi="Calibri" w:cs="Calibri"/>
        </w:rPr>
        <w:t>e</w:t>
      </w:r>
      <w:r w:rsidR="001855E3" w:rsidRPr="00C66C24">
        <w:rPr>
          <w:rFonts w:ascii="Calibri" w:hAnsi="Calibri" w:cs="Calibri"/>
        </w:rPr>
        <w:t>)</w:t>
      </w:r>
      <w:r w:rsidR="00B92B61" w:rsidRPr="00C66C24">
        <w:rPr>
          <w:rFonts w:ascii="Calibri" w:eastAsia="Calibri" w:hAnsi="Calibri" w:cs="Calibri"/>
        </w:rPr>
        <w:fldChar w:fldCharType="end"/>
      </w:r>
      <w:r w:rsidRPr="00C66C24">
        <w:rPr>
          <w:rFonts w:ascii="Calibri" w:eastAsia="Calibri" w:hAnsi="Calibri" w:cs="Calibri"/>
        </w:rPr>
        <w:t xml:space="preserve">. </w:t>
      </w:r>
    </w:p>
    <w:p w14:paraId="627DFB4E" w14:textId="77777777" w:rsidR="00BF4E38" w:rsidRPr="00C66C24" w:rsidRDefault="00BF4E38" w:rsidP="008C6A9C">
      <w:pPr>
        <w:spacing w:before="0" w:after="0" w:line="257" w:lineRule="auto"/>
        <w:rPr>
          <w:sz w:val="20"/>
          <w:szCs w:val="20"/>
        </w:rPr>
      </w:pPr>
    </w:p>
    <w:p w14:paraId="5C88D144" w14:textId="78C6339E" w:rsidR="00C03F7C" w:rsidRPr="00C66C24" w:rsidRDefault="00C03F7C" w:rsidP="008C6A9C">
      <w:pPr>
        <w:pStyle w:val="Heading3"/>
        <w:spacing w:line="257" w:lineRule="auto"/>
      </w:pPr>
      <w:bookmarkStart w:id="130" w:name="_Toc156316330"/>
      <w:bookmarkStart w:id="131" w:name="_Toc156316483"/>
      <w:bookmarkStart w:id="132" w:name="_Ref157524103"/>
      <w:bookmarkStart w:id="133" w:name="_Toc157762070"/>
      <w:r w:rsidRPr="00C66C24">
        <w:t xml:space="preserve">Discharge waters </w:t>
      </w:r>
      <w:bookmarkEnd w:id="130"/>
      <w:bookmarkEnd w:id="131"/>
      <w:r w:rsidRPr="00C66C24">
        <w:t>and contaminants</w:t>
      </w:r>
      <w:bookmarkEnd w:id="132"/>
      <w:bookmarkEnd w:id="133"/>
    </w:p>
    <w:p w14:paraId="7B332D6F" w14:textId="47DAC4C7" w:rsidR="00D743C5" w:rsidRPr="00C66C24" w:rsidRDefault="00A839C5" w:rsidP="00C12FCC">
      <w:pPr>
        <w:spacing w:before="0" w:after="120" w:line="257" w:lineRule="auto"/>
      </w:pPr>
      <w:bookmarkStart w:id="134" w:name="_Hlk157180161"/>
      <w:r w:rsidRPr="2B86A1A4">
        <w:rPr>
          <w:rStyle w:val="normaltextrun"/>
          <w:rFonts w:ascii="Calibri" w:eastAsia="Times New Roman" w:hAnsi="Calibri" w:cs="Calibri"/>
          <w:lang w:eastAsia="en-IE"/>
        </w:rPr>
        <w:t>The analysis of</w:t>
      </w:r>
      <w:r w:rsidR="00872209" w:rsidRPr="2B86A1A4">
        <w:rPr>
          <w:rStyle w:val="normaltextrun"/>
          <w:rFonts w:ascii="Calibri" w:eastAsia="Times New Roman" w:hAnsi="Calibri" w:cs="Calibri"/>
          <w:lang w:eastAsia="en-IE"/>
        </w:rPr>
        <w:t xml:space="preserve"> </w:t>
      </w:r>
      <w:r w:rsidR="00FD5ECD" w:rsidRPr="2B86A1A4">
        <w:rPr>
          <w:rStyle w:val="normaltextrun"/>
          <w:rFonts w:ascii="Calibri" w:eastAsia="Times New Roman" w:hAnsi="Calibri" w:cs="Calibri"/>
          <w:lang w:eastAsia="en-IE"/>
        </w:rPr>
        <w:t xml:space="preserve">the </w:t>
      </w:r>
      <w:r w:rsidR="00872209" w:rsidRPr="2B86A1A4">
        <w:rPr>
          <w:rStyle w:val="normaltextrun"/>
          <w:rFonts w:ascii="Calibri" w:eastAsia="Times New Roman" w:hAnsi="Calibri" w:cs="Calibri"/>
          <w:lang w:eastAsia="en-IE"/>
        </w:rPr>
        <w:t>discharge</w:t>
      </w:r>
      <w:r w:rsidR="003C6555" w:rsidRPr="2B86A1A4">
        <w:rPr>
          <w:rStyle w:val="normaltextrun"/>
          <w:rFonts w:ascii="Calibri" w:eastAsia="Times New Roman" w:hAnsi="Calibri" w:cs="Calibri"/>
          <w:lang w:eastAsia="en-IE"/>
        </w:rPr>
        <w:t xml:space="preserve"> water</w:t>
      </w:r>
      <w:r w:rsidR="00872209" w:rsidRPr="2B86A1A4">
        <w:rPr>
          <w:rStyle w:val="normaltextrun"/>
          <w:rFonts w:ascii="Calibri" w:eastAsia="Times New Roman" w:hAnsi="Calibri" w:cs="Calibri"/>
          <w:lang w:eastAsia="en-IE"/>
        </w:rPr>
        <w:t xml:space="preserve">s </w:t>
      </w:r>
      <w:r w:rsidR="004C1708" w:rsidRPr="2B86A1A4">
        <w:rPr>
          <w:rStyle w:val="normaltextrun"/>
          <w:rFonts w:ascii="Calibri" w:eastAsia="Times New Roman" w:hAnsi="Calibri" w:cs="Calibri"/>
          <w:lang w:eastAsia="en-IE"/>
        </w:rPr>
        <w:t xml:space="preserve">data from the STEAM model </w:t>
      </w:r>
      <w:r w:rsidR="00872209" w:rsidRPr="2B86A1A4">
        <w:rPr>
          <w:rStyle w:val="normaltextrun"/>
          <w:rFonts w:ascii="Calibri" w:eastAsia="Times New Roman" w:hAnsi="Calibri" w:cs="Calibri"/>
          <w:lang w:eastAsia="en-IE"/>
        </w:rPr>
        <w:t xml:space="preserve">reveals </w:t>
      </w:r>
      <w:r w:rsidR="002A0087" w:rsidRPr="2B86A1A4">
        <w:rPr>
          <w:rStyle w:val="normaltextrun"/>
          <w:rFonts w:ascii="Calibri" w:eastAsia="Times New Roman" w:hAnsi="Calibri" w:cs="Calibri"/>
          <w:lang w:eastAsia="en-IE"/>
        </w:rPr>
        <w:t xml:space="preserve">that from 2014 to 2022 </w:t>
      </w:r>
      <w:r w:rsidR="5F83FEE8" w:rsidRPr="2B86A1A4">
        <w:rPr>
          <w:rStyle w:val="normaltextrun"/>
          <w:rFonts w:ascii="Calibri" w:eastAsia="Times New Roman" w:hAnsi="Calibri" w:cs="Calibri"/>
          <w:lang w:eastAsia="en-IE"/>
        </w:rPr>
        <w:t>their overall</w:t>
      </w:r>
      <w:r w:rsidR="002A0087" w:rsidRPr="2B86A1A4">
        <w:rPr>
          <w:rStyle w:val="normaltextrun"/>
          <w:rFonts w:ascii="Calibri" w:eastAsia="Times New Roman" w:hAnsi="Calibri" w:cs="Calibri"/>
          <w:lang w:eastAsia="en-IE"/>
        </w:rPr>
        <w:t xml:space="preserve"> volume </w:t>
      </w:r>
      <w:r w:rsidR="00806DE9">
        <w:rPr>
          <w:rStyle w:val="normaltextrun"/>
          <w:rFonts w:ascii="Calibri" w:eastAsia="Times New Roman" w:hAnsi="Calibri" w:cs="Calibri"/>
          <w:lang w:eastAsia="en-IE"/>
        </w:rPr>
        <w:t>has</w:t>
      </w:r>
      <w:r w:rsidR="002A0087" w:rsidRPr="2B86A1A4">
        <w:rPr>
          <w:rStyle w:val="normaltextrun"/>
          <w:rFonts w:ascii="Calibri" w:eastAsia="Times New Roman" w:hAnsi="Calibri" w:cs="Calibri"/>
          <w:lang w:eastAsia="en-IE"/>
        </w:rPr>
        <w:t xml:space="preserve"> constantly increas</w:t>
      </w:r>
      <w:r w:rsidR="00806DE9">
        <w:rPr>
          <w:rStyle w:val="normaltextrun"/>
          <w:rFonts w:ascii="Calibri" w:eastAsia="Times New Roman" w:hAnsi="Calibri" w:cs="Calibri"/>
          <w:lang w:eastAsia="en-IE"/>
        </w:rPr>
        <w:t>ed,</w:t>
      </w:r>
      <w:r w:rsidR="5F83FEE8" w:rsidRPr="2B86A1A4">
        <w:rPr>
          <w:rStyle w:val="normaltextrun"/>
          <w:rFonts w:ascii="Calibri" w:eastAsia="Times New Roman" w:hAnsi="Calibri" w:cs="Calibri"/>
          <w:lang w:eastAsia="en-IE"/>
        </w:rPr>
        <w:t xml:space="preserve"> while the composition of discharge waters remain</w:t>
      </w:r>
      <w:r w:rsidR="00806DE9">
        <w:rPr>
          <w:rStyle w:val="normaltextrun"/>
          <w:rFonts w:ascii="Calibri" w:eastAsia="Times New Roman" w:hAnsi="Calibri" w:cs="Calibri"/>
          <w:lang w:eastAsia="en-IE"/>
        </w:rPr>
        <w:t>ed</w:t>
      </w:r>
      <w:r w:rsidR="5F83FEE8" w:rsidRPr="2B86A1A4">
        <w:rPr>
          <w:rStyle w:val="normaltextrun"/>
          <w:rFonts w:ascii="Calibri" w:eastAsia="Times New Roman" w:hAnsi="Calibri" w:cs="Calibri"/>
          <w:lang w:eastAsia="en-IE"/>
        </w:rPr>
        <w:t xml:space="preserve"> the same</w:t>
      </w:r>
      <w:r w:rsidR="00AA06EF" w:rsidRPr="75A79834">
        <w:rPr>
          <w:rStyle w:val="normaltextrun"/>
          <w:rFonts w:ascii="Calibri" w:eastAsia="Times New Roman" w:hAnsi="Calibri" w:cs="Calibri"/>
          <w:lang w:eastAsia="en-IE"/>
        </w:rPr>
        <w:t xml:space="preserve"> </w:t>
      </w:r>
      <w:r w:rsidR="00C56ECD" w:rsidRPr="75A79834">
        <w:rPr>
          <w:rStyle w:val="normaltextrun"/>
          <w:rFonts w:ascii="Calibri" w:eastAsia="Times New Roman" w:hAnsi="Calibri" w:cs="Calibri"/>
          <w:lang w:eastAsia="en-IE"/>
        </w:rPr>
        <w:t>(</w:t>
      </w:r>
      <w:r w:rsidR="00C56ECD" w:rsidRPr="00C66C24">
        <w:rPr>
          <w:szCs w:val="22"/>
        </w:rPr>
        <w:fldChar w:fldCharType="begin"/>
      </w:r>
      <w:r w:rsidR="00C56ECD" w:rsidRPr="00C66C24">
        <w:rPr>
          <w:szCs w:val="22"/>
        </w:rPr>
        <w:instrText xml:space="preserve"> REF _Ref151643046 \h </w:instrText>
      </w:r>
      <w:r w:rsidR="00737B01" w:rsidRPr="00C66C24">
        <w:rPr>
          <w:szCs w:val="22"/>
        </w:rPr>
        <w:instrText xml:space="preserve"> \* MERGEFORMAT </w:instrText>
      </w:r>
      <w:r w:rsidR="00C56ECD" w:rsidRPr="00C66C24">
        <w:rPr>
          <w:szCs w:val="22"/>
        </w:rPr>
      </w:r>
      <w:r w:rsidR="00C56ECD" w:rsidRPr="00C66C24">
        <w:rPr>
          <w:szCs w:val="22"/>
        </w:rPr>
        <w:fldChar w:fldCharType="separate"/>
      </w:r>
      <w:r w:rsidR="005C641D" w:rsidRPr="75A79834">
        <w:t>Figure 2.25</w:t>
      </w:r>
      <w:r w:rsidR="00C56ECD" w:rsidRPr="00C66C24">
        <w:rPr>
          <w:szCs w:val="22"/>
        </w:rPr>
        <w:fldChar w:fldCharType="end"/>
      </w:r>
      <w:r w:rsidR="00C56ECD" w:rsidRPr="00C66C24">
        <w:rPr>
          <w:szCs w:val="22"/>
        </w:rPr>
        <w:t>)</w:t>
      </w:r>
      <w:r w:rsidR="00697EF1" w:rsidRPr="75A79834">
        <w:rPr>
          <w:rStyle w:val="normaltextrun"/>
          <w:rFonts w:ascii="Calibri" w:eastAsia="Times New Roman" w:hAnsi="Calibri" w:cs="Calibri"/>
          <w:lang w:eastAsia="en-IE"/>
        </w:rPr>
        <w:t>.</w:t>
      </w:r>
    </w:p>
    <w:p w14:paraId="7562FC46" w14:textId="6C1EB683" w:rsidR="00C03F7C" w:rsidRPr="00C66C24" w:rsidRDefault="00C03F7C" w:rsidP="008C6A9C">
      <w:pPr>
        <w:spacing w:before="0" w:after="0" w:line="257" w:lineRule="auto"/>
        <w:rPr>
          <w:rStyle w:val="normaltextrun"/>
          <w:rFonts w:ascii="Calibri" w:eastAsia="Times New Roman" w:hAnsi="Calibri" w:cs="Calibri"/>
          <w:iCs w:val="0"/>
          <w:szCs w:val="22"/>
          <w:lang w:eastAsia="en-IE"/>
        </w:rPr>
      </w:pPr>
      <w:r w:rsidRPr="00C66C24">
        <w:rPr>
          <w:noProof/>
        </w:rPr>
        <w:drawing>
          <wp:inline distT="0" distB="0" distL="0" distR="0" wp14:anchorId="65A59CE6" wp14:editId="1D811C6B">
            <wp:extent cx="2670048" cy="3363595"/>
            <wp:effectExtent l="0" t="0" r="16510" b="8255"/>
            <wp:docPr id="62" name="Chart 62">
              <a:extLst xmlns:a="http://schemas.openxmlformats.org/drawingml/2006/main">
                <a:ext uri="{FF2B5EF4-FFF2-40B4-BE49-F238E27FC236}">
                  <a16:creationId xmlns:a16="http://schemas.microsoft.com/office/drawing/2014/main" id="{2407B06C-9356-473B-9C97-70773C51B2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r w:rsidRPr="00C66C24">
        <w:rPr>
          <w:noProof/>
        </w:rPr>
        <w:drawing>
          <wp:inline distT="0" distB="0" distL="0" distR="0" wp14:anchorId="7D2BE7D2" wp14:editId="186950E9">
            <wp:extent cx="2677007" cy="3378835"/>
            <wp:effectExtent l="0" t="0" r="9525" b="12065"/>
            <wp:docPr id="1" name="Chart 1">
              <a:extLst xmlns:a="http://schemas.openxmlformats.org/drawingml/2006/main">
                <a:ext uri="{FF2B5EF4-FFF2-40B4-BE49-F238E27FC236}">
                  <a16:creationId xmlns:a16="http://schemas.microsoft.com/office/drawing/2014/main" id="{D7F47D77-CC84-47A8-F9AA-F957AE2191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5F3B45B7" w14:textId="005E7CBD" w:rsidR="00D61E6B" w:rsidRPr="00C66C24" w:rsidRDefault="00EE16BD" w:rsidP="00D61E6B">
      <w:pPr>
        <w:pStyle w:val="Caption"/>
        <w:keepNext/>
        <w:spacing w:after="0" w:line="257" w:lineRule="auto"/>
        <w:jc w:val="center"/>
      </w:pPr>
      <w:bookmarkStart w:id="135" w:name="_Ref151643046"/>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25</w:t>
      </w:r>
      <w:r w:rsidR="00A81F61" w:rsidRPr="00C66C24">
        <w:rPr>
          <w:sz w:val="20"/>
          <w:szCs w:val="20"/>
        </w:rPr>
        <w:fldChar w:fldCharType="end"/>
      </w:r>
      <w:bookmarkEnd w:id="135"/>
      <w:r w:rsidR="00C03F7C" w:rsidRPr="00C66C24">
        <w:rPr>
          <w:sz w:val="20"/>
          <w:szCs w:val="20"/>
        </w:rPr>
        <w:t xml:space="preserve"> Total discharge waters 2014 to 2022 (left with ECGS open loop discharges and right without).</w:t>
      </w:r>
    </w:p>
    <w:p w14:paraId="2927091A" w14:textId="65C7B946" w:rsidR="00EE116F" w:rsidRPr="00C66C24" w:rsidRDefault="00EE116F" w:rsidP="008C6A9C">
      <w:pPr>
        <w:spacing w:before="0" w:after="120" w:line="257" w:lineRule="auto"/>
        <w:jc w:val="center"/>
        <w:rPr>
          <w:rStyle w:val="normaltextrun"/>
          <w:sz w:val="20"/>
          <w:szCs w:val="20"/>
        </w:rPr>
      </w:pPr>
      <w:r w:rsidRPr="00C66C24">
        <w:rPr>
          <w:sz w:val="20"/>
          <w:szCs w:val="20"/>
        </w:rPr>
        <w:t>Source: FMI, STEAM</w:t>
      </w:r>
      <w:r w:rsidR="00E82BB2" w:rsidRPr="00C66C24">
        <w:rPr>
          <w:sz w:val="20"/>
          <w:szCs w:val="20"/>
        </w:rPr>
        <w:t>.</w:t>
      </w:r>
    </w:p>
    <w:p w14:paraId="5994FC91" w14:textId="02B434C0" w:rsidR="00EE116F" w:rsidRPr="00C66C24" w:rsidRDefault="00F156CC" w:rsidP="008C6A9C">
      <w:pPr>
        <w:spacing w:before="0" w:after="0" w:line="257" w:lineRule="auto"/>
        <w:rPr>
          <w:rStyle w:val="normaltextrun"/>
          <w:rFonts w:ascii="Calibri" w:eastAsia="Times New Roman" w:hAnsi="Calibri" w:cs="Calibri"/>
          <w:szCs w:val="22"/>
          <w:lang w:eastAsia="en-IE"/>
        </w:rPr>
      </w:pPr>
      <w:r>
        <w:rPr>
          <w:rStyle w:val="normaltextrun"/>
          <w:rFonts w:ascii="Calibri" w:eastAsia="Times New Roman" w:hAnsi="Calibri" w:cs="Calibri"/>
          <w:iCs w:val="0"/>
          <w:szCs w:val="22"/>
          <w:lang w:eastAsia="en-IE"/>
        </w:rPr>
        <w:t>In the same time period f</w:t>
      </w:r>
      <w:r w:rsidR="00EE116F" w:rsidRPr="00C66C24">
        <w:rPr>
          <w:rStyle w:val="normaltextrun"/>
          <w:rFonts w:ascii="Calibri" w:eastAsia="Times New Roman" w:hAnsi="Calibri" w:cs="Calibri"/>
          <w:iCs w:val="0"/>
          <w:szCs w:val="22"/>
          <w:lang w:eastAsia="en-IE"/>
        </w:rPr>
        <w:t xml:space="preserve">or both passenger ships and fishing vessels, </w:t>
      </w:r>
      <w:r w:rsidR="00022CF5" w:rsidRPr="00C66C24">
        <w:rPr>
          <w:rStyle w:val="normaltextrun"/>
          <w:rFonts w:ascii="Calibri" w:eastAsia="Times New Roman" w:hAnsi="Calibri" w:cs="Calibri"/>
          <w:szCs w:val="22"/>
          <w:lang w:eastAsia="en-IE"/>
        </w:rPr>
        <w:t>the major type of discharge water</w:t>
      </w:r>
      <w:r w:rsidR="00022CF5" w:rsidRPr="00C66C24">
        <w:rPr>
          <w:rStyle w:val="normaltextrun"/>
          <w:rFonts w:ascii="Calibri" w:eastAsia="Times New Roman" w:hAnsi="Calibri" w:cs="Calibri"/>
          <w:iCs w:val="0"/>
          <w:szCs w:val="22"/>
          <w:lang w:eastAsia="en-IE"/>
        </w:rPr>
        <w:t xml:space="preserve"> </w:t>
      </w:r>
      <w:r w:rsidR="001B338C">
        <w:rPr>
          <w:rStyle w:val="normaltextrun"/>
          <w:rFonts w:ascii="Calibri" w:eastAsia="Times New Roman" w:hAnsi="Calibri" w:cs="Calibri"/>
          <w:iCs w:val="0"/>
          <w:szCs w:val="22"/>
          <w:lang w:eastAsia="en-IE"/>
        </w:rPr>
        <w:t>is</w:t>
      </w:r>
      <w:r w:rsidR="000435F3">
        <w:rPr>
          <w:rStyle w:val="normaltextrun"/>
          <w:rFonts w:ascii="Calibri" w:eastAsia="Times New Roman" w:hAnsi="Calibri" w:cs="Calibri"/>
          <w:iCs w:val="0"/>
          <w:szCs w:val="22"/>
          <w:lang w:eastAsia="en-IE"/>
        </w:rPr>
        <w:t xml:space="preserve"> grey water</w:t>
      </w:r>
      <w:r w:rsidR="001B338C">
        <w:rPr>
          <w:rStyle w:val="normaltextrun"/>
          <w:rFonts w:ascii="Calibri" w:eastAsia="Times New Roman" w:hAnsi="Calibri" w:cs="Calibri"/>
          <w:iCs w:val="0"/>
          <w:szCs w:val="22"/>
          <w:lang w:eastAsia="en-IE"/>
        </w:rPr>
        <w:t xml:space="preserve">, and not </w:t>
      </w:r>
      <w:r w:rsidR="00EE116F" w:rsidRPr="00C66C24">
        <w:rPr>
          <w:rStyle w:val="normaltextrun"/>
          <w:rFonts w:ascii="Calibri" w:eastAsia="Times New Roman" w:hAnsi="Calibri" w:cs="Calibri"/>
          <w:iCs w:val="0"/>
          <w:szCs w:val="22"/>
          <w:lang w:eastAsia="en-IE"/>
        </w:rPr>
        <w:t>E</w:t>
      </w:r>
      <w:r w:rsidR="00FE3F9D">
        <w:rPr>
          <w:rStyle w:val="normaltextrun"/>
          <w:rFonts w:ascii="Calibri" w:eastAsia="Times New Roman" w:hAnsi="Calibri" w:cs="Calibri"/>
          <w:iCs w:val="0"/>
          <w:szCs w:val="22"/>
          <w:lang w:eastAsia="en-IE"/>
        </w:rPr>
        <w:t xml:space="preserve">xhaust </w:t>
      </w:r>
      <w:r w:rsidR="00EE116F" w:rsidRPr="00C66C24">
        <w:rPr>
          <w:rStyle w:val="normaltextrun"/>
          <w:rFonts w:ascii="Calibri" w:eastAsia="Times New Roman" w:hAnsi="Calibri" w:cs="Calibri"/>
          <w:iCs w:val="0"/>
          <w:szCs w:val="22"/>
          <w:lang w:eastAsia="en-IE"/>
        </w:rPr>
        <w:t>G</w:t>
      </w:r>
      <w:r w:rsidR="00FE3F9D">
        <w:rPr>
          <w:rStyle w:val="normaltextrun"/>
          <w:rFonts w:ascii="Calibri" w:eastAsia="Times New Roman" w:hAnsi="Calibri" w:cs="Calibri"/>
          <w:iCs w:val="0"/>
          <w:szCs w:val="22"/>
          <w:lang w:eastAsia="en-IE"/>
        </w:rPr>
        <w:t xml:space="preserve">as </w:t>
      </w:r>
      <w:r w:rsidR="00EE116F" w:rsidRPr="00C66C24">
        <w:rPr>
          <w:rStyle w:val="normaltextrun"/>
          <w:rFonts w:ascii="Calibri" w:eastAsia="Times New Roman" w:hAnsi="Calibri" w:cs="Calibri"/>
          <w:iCs w:val="0"/>
          <w:szCs w:val="22"/>
          <w:lang w:eastAsia="en-IE"/>
        </w:rPr>
        <w:t>C</w:t>
      </w:r>
      <w:r w:rsidR="00FE3F9D">
        <w:rPr>
          <w:rStyle w:val="normaltextrun"/>
          <w:rFonts w:ascii="Calibri" w:eastAsia="Times New Roman" w:hAnsi="Calibri" w:cs="Calibri"/>
          <w:iCs w:val="0"/>
          <w:szCs w:val="22"/>
          <w:lang w:eastAsia="en-IE"/>
        </w:rPr>
        <w:t xml:space="preserve">leaning </w:t>
      </w:r>
      <w:r w:rsidR="00EE116F" w:rsidRPr="00C66C24">
        <w:rPr>
          <w:rStyle w:val="normaltextrun"/>
          <w:rFonts w:ascii="Calibri" w:eastAsia="Times New Roman" w:hAnsi="Calibri" w:cs="Calibri"/>
          <w:iCs w:val="0"/>
          <w:szCs w:val="22"/>
          <w:lang w:eastAsia="en-IE"/>
        </w:rPr>
        <w:t>S</w:t>
      </w:r>
      <w:r w:rsidR="00FE3F9D">
        <w:rPr>
          <w:rStyle w:val="normaltextrun"/>
          <w:rFonts w:ascii="Calibri" w:eastAsia="Times New Roman" w:hAnsi="Calibri" w:cs="Calibri"/>
          <w:iCs w:val="0"/>
          <w:szCs w:val="22"/>
          <w:lang w:eastAsia="en-IE"/>
        </w:rPr>
        <w:t>ystem (EGCS)</w:t>
      </w:r>
      <w:r w:rsidR="00EE116F" w:rsidRPr="00C66C24">
        <w:rPr>
          <w:rStyle w:val="normaltextrun"/>
          <w:rFonts w:ascii="Calibri" w:eastAsia="Times New Roman" w:hAnsi="Calibri" w:cs="Calibri"/>
          <w:iCs w:val="0"/>
          <w:szCs w:val="22"/>
          <w:lang w:eastAsia="en-IE"/>
        </w:rPr>
        <w:t xml:space="preserve"> discharges</w:t>
      </w:r>
      <w:r w:rsidR="005E782C">
        <w:rPr>
          <w:rStyle w:val="normaltextrun"/>
          <w:rFonts w:ascii="Calibri" w:eastAsia="Times New Roman" w:hAnsi="Calibri" w:cs="Calibri"/>
          <w:iCs w:val="0"/>
          <w:szCs w:val="22"/>
          <w:lang w:eastAsia="en-IE"/>
        </w:rPr>
        <w:t>.</w:t>
      </w:r>
      <w:r w:rsidR="00EE116F" w:rsidRPr="00C66C24">
        <w:rPr>
          <w:rStyle w:val="normaltextrun"/>
          <w:rFonts w:ascii="Calibri" w:eastAsia="Times New Roman" w:hAnsi="Calibri" w:cs="Calibri"/>
          <w:szCs w:val="22"/>
          <w:lang w:eastAsia="en-IE"/>
        </w:rPr>
        <w:t xml:space="preserve"> Passenger ships (excluding cruisers)</w:t>
      </w:r>
      <w:r w:rsidR="00EE116F" w:rsidRPr="00C66C24">
        <w:rPr>
          <w:rStyle w:val="normaltextrun"/>
          <w:rFonts w:ascii="Calibri" w:eastAsia="Times New Roman" w:hAnsi="Calibri" w:cs="Calibri"/>
          <w:iCs w:val="0"/>
          <w:szCs w:val="22"/>
          <w:lang w:eastAsia="en-IE"/>
        </w:rPr>
        <w:t xml:space="preserve"> contribute on average only </w:t>
      </w:r>
      <w:r w:rsidR="00096645">
        <w:rPr>
          <w:rStyle w:val="normaltextrun"/>
          <w:rFonts w:ascii="Calibri" w:eastAsia="Times New Roman" w:hAnsi="Calibri" w:cs="Calibri"/>
          <w:iCs w:val="0"/>
          <w:szCs w:val="22"/>
          <w:lang w:eastAsia="en-IE"/>
        </w:rPr>
        <w:t xml:space="preserve">to </w:t>
      </w:r>
      <w:r w:rsidR="00EE116F" w:rsidRPr="00C66C24">
        <w:rPr>
          <w:rStyle w:val="normaltextrun"/>
          <w:rFonts w:ascii="Calibri" w:eastAsia="Times New Roman" w:hAnsi="Calibri" w:cs="Calibri"/>
          <w:iCs w:val="0"/>
          <w:szCs w:val="22"/>
          <w:lang w:eastAsia="en-IE"/>
        </w:rPr>
        <w:t>1% of the total discharges</w:t>
      </w:r>
      <w:r w:rsidR="00EE116F" w:rsidRPr="00C66C24">
        <w:rPr>
          <w:rStyle w:val="normaltextrun"/>
          <w:rFonts w:ascii="Calibri" w:eastAsia="Times New Roman" w:hAnsi="Calibri" w:cs="Calibri"/>
          <w:szCs w:val="22"/>
          <w:lang w:eastAsia="en-IE"/>
        </w:rPr>
        <w:t xml:space="preserve"> (</w:t>
      </w:r>
      <w:r w:rsidR="00EE116F" w:rsidRPr="00C66C24">
        <w:rPr>
          <w:rStyle w:val="normaltextrun"/>
          <w:rFonts w:ascii="Calibri" w:eastAsia="Times New Roman" w:hAnsi="Calibri" w:cs="Calibri"/>
          <w:iCs w:val="0"/>
          <w:szCs w:val="22"/>
          <w:lang w:eastAsia="en-IE"/>
        </w:rPr>
        <w:t xml:space="preserve">with </w:t>
      </w:r>
      <w:r w:rsidR="00EE116F" w:rsidRPr="00C66C24">
        <w:rPr>
          <w:rStyle w:val="normaltextrun"/>
          <w:rFonts w:ascii="Calibri" w:eastAsia="Times New Roman" w:hAnsi="Calibri" w:cs="Calibri"/>
          <w:szCs w:val="22"/>
          <w:lang w:eastAsia="en-IE"/>
        </w:rPr>
        <w:t xml:space="preserve">the majority </w:t>
      </w:r>
      <w:r w:rsidR="00EE116F" w:rsidRPr="00C66C24">
        <w:rPr>
          <w:rStyle w:val="normaltextrun"/>
          <w:rFonts w:ascii="Calibri" w:eastAsia="Times New Roman" w:hAnsi="Calibri" w:cs="Calibri"/>
          <w:iCs w:val="0"/>
          <w:szCs w:val="22"/>
          <w:lang w:eastAsia="en-IE"/>
        </w:rPr>
        <w:t>stemming</w:t>
      </w:r>
      <w:r w:rsidR="00EE116F" w:rsidRPr="00C66C24">
        <w:rPr>
          <w:rStyle w:val="normaltextrun"/>
          <w:rFonts w:ascii="Calibri" w:eastAsia="Times New Roman" w:hAnsi="Calibri" w:cs="Calibri"/>
          <w:szCs w:val="22"/>
          <w:lang w:eastAsia="en-IE"/>
        </w:rPr>
        <w:t xml:space="preserve"> from grey waters: &gt; 76%), while fishing vessel EGCS discharges </w:t>
      </w:r>
      <w:r w:rsidR="00F90DC3">
        <w:rPr>
          <w:rStyle w:val="normaltextrun"/>
          <w:rFonts w:ascii="Calibri" w:eastAsia="Times New Roman" w:hAnsi="Calibri" w:cs="Calibri"/>
          <w:szCs w:val="22"/>
          <w:lang w:eastAsia="en-IE"/>
        </w:rPr>
        <w:t xml:space="preserve">contribute on </w:t>
      </w:r>
      <w:r w:rsidR="00EE116F" w:rsidRPr="00C66C24">
        <w:rPr>
          <w:rStyle w:val="normaltextrun"/>
          <w:rFonts w:ascii="Calibri" w:eastAsia="Times New Roman" w:hAnsi="Calibri" w:cs="Calibri"/>
          <w:szCs w:val="22"/>
          <w:lang w:eastAsia="en-IE"/>
        </w:rPr>
        <w:t xml:space="preserve">average </w:t>
      </w:r>
      <w:r w:rsidR="00F90DC3">
        <w:rPr>
          <w:rStyle w:val="normaltextrun"/>
          <w:rFonts w:ascii="Calibri" w:eastAsia="Times New Roman" w:hAnsi="Calibri" w:cs="Calibri"/>
          <w:szCs w:val="22"/>
          <w:lang w:eastAsia="en-IE"/>
        </w:rPr>
        <w:t>around</w:t>
      </w:r>
      <w:r w:rsidR="00EE116F" w:rsidRPr="00C66C24">
        <w:rPr>
          <w:rStyle w:val="normaltextrun"/>
          <w:rFonts w:ascii="Calibri" w:eastAsia="Times New Roman" w:hAnsi="Calibri" w:cs="Calibri"/>
          <w:szCs w:val="22"/>
          <w:lang w:eastAsia="en-IE"/>
        </w:rPr>
        <w:t xml:space="preserve"> 20</w:t>
      </w:r>
      <w:r w:rsidR="00EE116F" w:rsidRPr="00C66C24">
        <w:rPr>
          <w:rStyle w:val="normaltextrun"/>
          <w:rFonts w:ascii="Calibri" w:eastAsia="Times New Roman" w:hAnsi="Calibri" w:cs="Calibri"/>
          <w:iCs w:val="0"/>
          <w:szCs w:val="22"/>
          <w:lang w:eastAsia="en-IE"/>
        </w:rPr>
        <w:t>% (while</w:t>
      </w:r>
      <w:r w:rsidR="00EE116F" w:rsidRPr="00C66C24">
        <w:rPr>
          <w:rStyle w:val="normaltextrun"/>
          <w:rFonts w:ascii="Calibri" w:eastAsia="Times New Roman" w:hAnsi="Calibri" w:cs="Calibri"/>
          <w:szCs w:val="22"/>
          <w:lang w:eastAsia="en-IE"/>
        </w:rPr>
        <w:t xml:space="preserve"> grey waters average 40%). </w:t>
      </w:r>
    </w:p>
    <w:p w14:paraId="43AA2383" w14:textId="77777777" w:rsidR="00EE116F" w:rsidRPr="00C66C24" w:rsidRDefault="00EE116F" w:rsidP="008C6A9C">
      <w:pPr>
        <w:spacing w:before="0" w:after="0" w:line="257" w:lineRule="auto"/>
        <w:rPr>
          <w:rStyle w:val="normaltextrun"/>
          <w:rFonts w:ascii="Calibri" w:eastAsia="Times New Roman" w:hAnsi="Calibri" w:cs="Calibri"/>
          <w:szCs w:val="22"/>
          <w:lang w:eastAsia="en-IE"/>
        </w:rPr>
      </w:pPr>
    </w:p>
    <w:p w14:paraId="71213473" w14:textId="77777777" w:rsidR="0054669C" w:rsidRPr="00C66C24" w:rsidRDefault="00C03F7C" w:rsidP="008C6A9C">
      <w:pPr>
        <w:keepNext/>
        <w:spacing w:after="160" w:line="257" w:lineRule="auto"/>
        <w:jc w:val="center"/>
      </w:pPr>
      <w:r w:rsidRPr="00C66C24">
        <w:rPr>
          <w:noProof/>
        </w:rPr>
        <w:drawing>
          <wp:inline distT="0" distB="0" distL="0" distR="0" wp14:anchorId="1B51CA98" wp14:editId="2BD5FBCB">
            <wp:extent cx="5245100" cy="2533650"/>
            <wp:effectExtent l="0" t="0" r="12700" b="0"/>
            <wp:docPr id="1164877122" name="Chart 1164877122">
              <a:extLst xmlns:a="http://schemas.openxmlformats.org/drawingml/2006/main">
                <a:ext uri="{FF2B5EF4-FFF2-40B4-BE49-F238E27FC236}">
                  <a16:creationId xmlns:a16="http://schemas.microsoft.com/office/drawing/2014/main" id="{0663B9EE-B230-C1E9-66EE-7A404F51DA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21E61425" w14:textId="66BF88A2" w:rsidR="00C03F7C" w:rsidRPr="00C66C24" w:rsidRDefault="00576CB8" w:rsidP="008C6A9C">
      <w:pPr>
        <w:pStyle w:val="Caption"/>
        <w:spacing w:after="0" w:line="257" w:lineRule="auto"/>
        <w:jc w:val="center"/>
        <w:rPr>
          <w:sz w:val="20"/>
          <w:szCs w:val="20"/>
        </w:rPr>
      </w:pPr>
      <w:bookmarkStart w:id="136" w:name="_Ref151643637"/>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26</w:t>
      </w:r>
      <w:r w:rsidR="00A81F61" w:rsidRPr="00C66C24">
        <w:rPr>
          <w:sz w:val="20"/>
          <w:szCs w:val="20"/>
        </w:rPr>
        <w:fldChar w:fldCharType="end"/>
      </w:r>
      <w:bookmarkEnd w:id="136"/>
      <w:r w:rsidR="00C03F7C" w:rsidRPr="00C66C24">
        <w:rPr>
          <w:sz w:val="20"/>
          <w:szCs w:val="20"/>
        </w:rPr>
        <w:t xml:space="preserve"> Water discharges composition in European waters in 2022 (left), and a close-up for the composition of discharges excluding open loop scrubbers  (right).</w:t>
      </w:r>
    </w:p>
    <w:p w14:paraId="0CF27D19" w14:textId="59A0259F" w:rsidR="005908E5" w:rsidRPr="00C66C24" w:rsidRDefault="0054669C" w:rsidP="008C6A9C">
      <w:pPr>
        <w:pStyle w:val="Caption"/>
        <w:spacing w:after="120" w:line="257" w:lineRule="auto"/>
        <w:jc w:val="center"/>
        <w:rPr>
          <w:rStyle w:val="normaltextrun"/>
          <w:b w:val="0"/>
          <w:bCs/>
          <w:color w:val="000000" w:themeColor="text1"/>
          <w:sz w:val="20"/>
          <w:szCs w:val="20"/>
        </w:rPr>
      </w:pPr>
      <w:r w:rsidRPr="00C66C24">
        <w:rPr>
          <w:b w:val="0"/>
          <w:bCs/>
          <w:color w:val="000000" w:themeColor="text1"/>
          <w:sz w:val="20"/>
          <w:szCs w:val="20"/>
        </w:rPr>
        <w:t>Source: FMI, STEAM (2022).</w:t>
      </w:r>
    </w:p>
    <w:p w14:paraId="4DB5DD5B" w14:textId="10279356" w:rsidR="00EE116F" w:rsidRPr="00C66C24" w:rsidRDefault="00951263" w:rsidP="00FD316A">
      <w:pPr>
        <w:spacing w:before="0" w:after="0" w:line="257" w:lineRule="auto"/>
        <w:rPr>
          <w:rStyle w:val="normaltextrun"/>
          <w:rFonts w:ascii="Calibri" w:eastAsia="Times New Roman" w:hAnsi="Calibri" w:cs="Calibri"/>
          <w:iCs w:val="0"/>
          <w:szCs w:val="22"/>
          <w:lang w:eastAsia="en-IE"/>
        </w:rPr>
      </w:pPr>
      <w:r w:rsidRPr="00C66C24">
        <w:rPr>
          <w:rStyle w:val="normaltextrun"/>
          <w:rFonts w:ascii="Calibri" w:eastAsia="Times New Roman" w:hAnsi="Calibri" w:cs="Calibri"/>
          <w:iCs w:val="0"/>
          <w:szCs w:val="22"/>
          <w:lang w:eastAsia="en-IE"/>
        </w:rPr>
        <w:t>When looking at data from 2022, and if open loop</w:t>
      </w:r>
      <w:r w:rsidRPr="00C66C24">
        <w:rPr>
          <w:rStyle w:val="normaltextrun"/>
          <w:rFonts w:ascii="Calibri" w:eastAsia="Times New Roman" w:hAnsi="Calibri" w:cs="Calibri"/>
          <w:szCs w:val="22"/>
          <w:lang w:eastAsia="en-IE"/>
        </w:rPr>
        <w:t xml:space="preserve"> </w:t>
      </w:r>
      <w:r w:rsidR="002A4D24">
        <w:rPr>
          <w:rStyle w:val="normaltextrun"/>
          <w:rFonts w:ascii="Calibri" w:eastAsia="Times New Roman" w:hAnsi="Calibri" w:cs="Calibri"/>
          <w:szCs w:val="22"/>
          <w:lang w:eastAsia="en-IE"/>
        </w:rPr>
        <w:t xml:space="preserve">EGCS </w:t>
      </w:r>
      <w:r w:rsidRPr="00C66C24">
        <w:rPr>
          <w:rStyle w:val="normaltextrun"/>
          <w:rFonts w:ascii="Calibri" w:eastAsia="Times New Roman" w:hAnsi="Calibri" w:cs="Calibri"/>
          <w:szCs w:val="22"/>
          <w:lang w:eastAsia="en-IE"/>
        </w:rPr>
        <w:t>scrubbers are excluded</w:t>
      </w:r>
      <w:r w:rsidRPr="00C66C24">
        <w:rPr>
          <w:rStyle w:val="normaltextrun"/>
          <w:rFonts w:ascii="Calibri" w:eastAsia="Times New Roman" w:hAnsi="Calibri" w:cs="Calibri"/>
          <w:iCs w:val="0"/>
          <w:szCs w:val="22"/>
          <w:lang w:eastAsia="en-IE"/>
        </w:rPr>
        <w:t xml:space="preserve"> from this analysis, more than 75% of discharge</w:t>
      </w:r>
      <w:r w:rsidRPr="00C66C24">
        <w:rPr>
          <w:rStyle w:val="normaltextrun"/>
          <w:rFonts w:ascii="Calibri" w:eastAsia="Times New Roman" w:hAnsi="Calibri" w:cs="Calibri"/>
          <w:szCs w:val="22"/>
          <w:lang w:eastAsia="en-IE"/>
        </w:rPr>
        <w:t xml:space="preserve"> waters from all ship types originate from grey waters (see </w:t>
      </w:r>
      <w:r w:rsidR="00F27B75" w:rsidRPr="00C66C24">
        <w:rPr>
          <w:rStyle w:val="normaltextrun"/>
          <w:rFonts w:ascii="Calibri" w:eastAsia="Times New Roman" w:hAnsi="Calibri" w:cs="Calibri"/>
          <w:szCs w:val="22"/>
          <w:lang w:eastAsia="en-IE"/>
        </w:rPr>
        <w:fldChar w:fldCharType="begin"/>
      </w:r>
      <w:r w:rsidR="00F27B75" w:rsidRPr="00C66C24">
        <w:rPr>
          <w:rStyle w:val="normaltextrun"/>
          <w:rFonts w:ascii="Calibri" w:eastAsia="Times New Roman" w:hAnsi="Calibri" w:cs="Calibri"/>
          <w:szCs w:val="22"/>
          <w:lang w:eastAsia="en-IE"/>
        </w:rPr>
        <w:instrText xml:space="preserve"> REF _Ref151643637 \h </w:instrText>
      </w:r>
      <w:r w:rsidR="00962F19" w:rsidRPr="00C66C24">
        <w:rPr>
          <w:rStyle w:val="normaltextrun"/>
          <w:rFonts w:ascii="Calibri" w:eastAsia="Times New Roman" w:hAnsi="Calibri" w:cs="Calibri"/>
          <w:szCs w:val="22"/>
          <w:lang w:eastAsia="en-IE"/>
        </w:rPr>
        <w:instrText xml:space="preserve"> \* MERGEFORMAT </w:instrText>
      </w:r>
      <w:r w:rsidR="00F27B75" w:rsidRPr="00C66C24">
        <w:rPr>
          <w:rStyle w:val="normaltextrun"/>
          <w:rFonts w:ascii="Calibri" w:eastAsia="Times New Roman" w:hAnsi="Calibri" w:cs="Calibri"/>
          <w:szCs w:val="22"/>
          <w:lang w:eastAsia="en-IE"/>
        </w:rPr>
      </w:r>
      <w:r w:rsidR="00F27B75" w:rsidRPr="00C66C24">
        <w:rPr>
          <w:rStyle w:val="normaltextrun"/>
          <w:rFonts w:ascii="Calibri" w:eastAsia="Times New Roman" w:hAnsi="Calibri" w:cs="Calibri"/>
          <w:szCs w:val="22"/>
          <w:lang w:eastAsia="en-IE"/>
        </w:rPr>
        <w:fldChar w:fldCharType="separate"/>
      </w:r>
      <w:r w:rsidR="00962F19" w:rsidRPr="00C66C24">
        <w:rPr>
          <w:szCs w:val="22"/>
        </w:rPr>
        <w:t xml:space="preserve">Figure </w:t>
      </w:r>
      <w:r w:rsidR="00962F19" w:rsidRPr="00C66C24">
        <w:rPr>
          <w:noProof/>
          <w:szCs w:val="22"/>
        </w:rPr>
        <w:t>2</w:t>
      </w:r>
      <w:r w:rsidR="00962F19" w:rsidRPr="00C66C24">
        <w:rPr>
          <w:szCs w:val="22"/>
        </w:rPr>
        <w:t>.</w:t>
      </w:r>
      <w:r w:rsidR="00962F19" w:rsidRPr="00C66C24">
        <w:rPr>
          <w:noProof/>
          <w:szCs w:val="22"/>
        </w:rPr>
        <w:t>26</w:t>
      </w:r>
      <w:r w:rsidR="00F27B75" w:rsidRPr="00C66C24">
        <w:rPr>
          <w:rStyle w:val="normaltextrun"/>
          <w:rFonts w:ascii="Calibri" w:eastAsia="Times New Roman" w:hAnsi="Calibri" w:cs="Calibri"/>
          <w:szCs w:val="22"/>
          <w:lang w:eastAsia="en-IE"/>
        </w:rPr>
        <w:fldChar w:fldCharType="end"/>
      </w:r>
      <w:r w:rsidR="00EE116F" w:rsidRPr="00C66C24">
        <w:rPr>
          <w:rStyle w:val="normaltextrun"/>
          <w:rFonts w:ascii="Calibri" w:eastAsia="Times New Roman" w:hAnsi="Calibri" w:cs="Calibri"/>
          <w:szCs w:val="22"/>
          <w:lang w:eastAsia="en-IE"/>
        </w:rPr>
        <w:t xml:space="preserve">). </w:t>
      </w:r>
      <w:r w:rsidR="00EE116F" w:rsidRPr="00C66C24">
        <w:rPr>
          <w:rStyle w:val="normaltextrun"/>
          <w:rFonts w:ascii="Calibri" w:eastAsia="Times New Roman" w:hAnsi="Calibri" w:cs="Calibri"/>
          <w:iCs w:val="0"/>
          <w:szCs w:val="22"/>
          <w:lang w:eastAsia="en-IE"/>
        </w:rPr>
        <w:t xml:space="preserve">The STEAM model analysis underscores that cruise ships exhibit the highest volume of grey water among the various ship types. In 2022, cruise ships discharged a total of 20 kilolitres of grey water (equivalent to an average of 38.2 </w:t>
      </w:r>
      <w:r w:rsidR="00EE116F" w:rsidRPr="00C66C24">
        <w:rPr>
          <w:rStyle w:val="normaltextrun"/>
          <w:rFonts w:ascii="Calibri" w:eastAsia="Times New Roman" w:hAnsi="Calibri" w:cs="Calibri"/>
          <w:szCs w:val="22"/>
          <w:lang w:eastAsia="en-IE"/>
        </w:rPr>
        <w:t>million litres</w:t>
      </w:r>
      <w:r w:rsidR="00EE116F" w:rsidRPr="00C66C24">
        <w:rPr>
          <w:rStyle w:val="normaltextrun"/>
          <w:rFonts w:ascii="Calibri" w:eastAsia="Times New Roman" w:hAnsi="Calibri" w:cs="Calibri"/>
          <w:iCs w:val="0"/>
          <w:szCs w:val="22"/>
          <w:lang w:eastAsia="en-IE"/>
        </w:rPr>
        <w:t xml:space="preserve"> per ship/year), marking a doubling since 2014. </w:t>
      </w:r>
      <w:r w:rsidR="001B04A3">
        <w:rPr>
          <w:rStyle w:val="normaltextrun"/>
          <w:rFonts w:ascii="Calibri" w:eastAsia="Times New Roman" w:hAnsi="Calibri" w:cs="Calibri"/>
          <w:iCs w:val="0"/>
          <w:szCs w:val="22"/>
          <w:lang w:eastAsia="en-IE"/>
        </w:rPr>
        <w:t>When analysing</w:t>
      </w:r>
      <w:r w:rsidR="00EE116F" w:rsidRPr="00C66C24">
        <w:rPr>
          <w:rStyle w:val="normaltextrun"/>
          <w:rFonts w:ascii="Calibri" w:eastAsia="Times New Roman" w:hAnsi="Calibri" w:cs="Calibri"/>
          <w:iCs w:val="0"/>
          <w:szCs w:val="22"/>
          <w:lang w:eastAsia="en-IE"/>
        </w:rPr>
        <w:t xml:space="preserve"> the freight sector, tankers discharged a total volume of 1.92 kilolitres in 2022 (equivalent to an average of </w:t>
      </w:r>
      <w:r w:rsidR="00EE116F" w:rsidRPr="00C66C24">
        <w:rPr>
          <w:rStyle w:val="normaltextrun"/>
          <w:rFonts w:ascii="Calibri" w:eastAsia="Times New Roman" w:hAnsi="Calibri" w:cs="Calibri"/>
          <w:szCs w:val="22"/>
          <w:lang w:eastAsia="en-IE"/>
        </w:rPr>
        <w:t>0.20 million litres</w:t>
      </w:r>
      <w:r w:rsidR="00EE116F" w:rsidRPr="00C66C24">
        <w:rPr>
          <w:rStyle w:val="normaltextrun"/>
          <w:rFonts w:ascii="Calibri" w:eastAsia="Times New Roman" w:hAnsi="Calibri" w:cs="Calibri"/>
          <w:iCs w:val="0"/>
          <w:szCs w:val="22"/>
          <w:lang w:eastAsia="en-IE"/>
        </w:rPr>
        <w:t xml:space="preserve"> per ship/year), reflecting a 29% increase since 2014.</w:t>
      </w:r>
    </w:p>
    <w:p w14:paraId="6846C242" w14:textId="7561415A" w:rsidR="00EE116F" w:rsidRPr="00C66C24" w:rsidRDefault="00EE116F" w:rsidP="00C12FCC">
      <w:pPr>
        <w:spacing w:before="0" w:after="0" w:line="257" w:lineRule="auto"/>
        <w:rPr>
          <w:rFonts w:ascii="Calibri" w:eastAsia="Times New Roman" w:hAnsi="Calibri" w:cs="Calibri"/>
          <w:szCs w:val="22"/>
          <w:lang w:eastAsia="en-IE"/>
        </w:rPr>
      </w:pPr>
      <w:r w:rsidRPr="00C66C24">
        <w:rPr>
          <w:rStyle w:val="normaltextrun"/>
          <w:rFonts w:ascii="Calibri" w:eastAsia="Times New Roman" w:hAnsi="Calibri" w:cs="Calibri"/>
          <w:szCs w:val="22"/>
          <w:lang w:eastAsia="en-IE"/>
        </w:rPr>
        <w:t xml:space="preserve">The use of EGCS </w:t>
      </w:r>
      <w:r w:rsidR="007B1C6E" w:rsidRPr="00C66C24">
        <w:rPr>
          <w:rStyle w:val="normaltextrun"/>
          <w:rFonts w:ascii="Calibri" w:eastAsia="Times New Roman" w:hAnsi="Calibri" w:cs="Calibri"/>
          <w:szCs w:val="22"/>
          <w:lang w:eastAsia="en-IE"/>
        </w:rPr>
        <w:t xml:space="preserve">as an abatement technology </w:t>
      </w:r>
      <w:r w:rsidRPr="00C66C24">
        <w:rPr>
          <w:rStyle w:val="normaltextrun"/>
          <w:rFonts w:ascii="Calibri" w:eastAsia="Times New Roman" w:hAnsi="Calibri" w:cs="Calibri"/>
          <w:szCs w:val="22"/>
          <w:lang w:eastAsia="en-IE"/>
        </w:rPr>
        <w:t>rose in the past years as a technological advance in maritime</w:t>
      </w:r>
      <w:r w:rsidR="007B1C6E">
        <w:rPr>
          <w:rStyle w:val="normaltextrun"/>
          <w:rFonts w:ascii="Calibri" w:eastAsia="Times New Roman" w:hAnsi="Calibri" w:cs="Calibri"/>
          <w:szCs w:val="22"/>
          <w:lang w:eastAsia="en-IE"/>
        </w:rPr>
        <w:t xml:space="preserve"> sector</w:t>
      </w:r>
      <w:r w:rsidR="00A36733">
        <w:rPr>
          <w:rStyle w:val="normaltextrun"/>
          <w:rFonts w:ascii="Calibri" w:eastAsia="Times New Roman" w:hAnsi="Calibri" w:cs="Calibri"/>
          <w:szCs w:val="22"/>
          <w:lang w:eastAsia="en-IE"/>
        </w:rPr>
        <w:t>, especially</w:t>
      </w:r>
      <w:r w:rsidRPr="00C66C24">
        <w:rPr>
          <w:rStyle w:val="normaltextrun"/>
          <w:rFonts w:ascii="Calibri" w:eastAsia="Times New Roman" w:hAnsi="Calibri" w:cs="Calibri"/>
          <w:szCs w:val="22"/>
          <w:lang w:eastAsia="en-IE"/>
        </w:rPr>
        <w:t xml:space="preserve"> after the implementation of limits to the amount of sulphur in marine fuels. As shown above, the discharges of open loop scrubbers’ in European waters represent 98% of the total maritime water discharges, </w:t>
      </w:r>
      <w:r w:rsidR="00653950">
        <w:rPr>
          <w:rStyle w:val="normaltextrun"/>
          <w:rFonts w:ascii="Calibri" w:eastAsia="Times New Roman" w:hAnsi="Calibri" w:cs="Calibri"/>
          <w:szCs w:val="22"/>
          <w:lang w:eastAsia="en-IE"/>
        </w:rPr>
        <w:t>and therefore</w:t>
      </w:r>
      <w:r w:rsidRPr="00C66C24">
        <w:rPr>
          <w:rStyle w:val="normaltextrun"/>
          <w:rFonts w:ascii="Calibri" w:eastAsia="Times New Roman" w:hAnsi="Calibri" w:cs="Calibri"/>
          <w:szCs w:val="22"/>
          <w:lang w:eastAsia="en-IE"/>
        </w:rPr>
        <w:t xml:space="preserve"> a more </w:t>
      </w:r>
      <w:r w:rsidR="005F09C3" w:rsidRPr="00C66C24">
        <w:rPr>
          <w:rStyle w:val="normaltextrun"/>
          <w:rFonts w:ascii="Calibri" w:eastAsia="Times New Roman" w:hAnsi="Calibri" w:cs="Calibri"/>
          <w:szCs w:val="22"/>
          <w:lang w:eastAsia="en-IE"/>
        </w:rPr>
        <w:t>in-depth</w:t>
      </w:r>
      <w:r w:rsidRPr="00C66C24">
        <w:rPr>
          <w:rStyle w:val="normaltextrun"/>
          <w:rFonts w:ascii="Calibri" w:eastAsia="Times New Roman" w:hAnsi="Calibri" w:cs="Calibri"/>
          <w:szCs w:val="22"/>
          <w:lang w:eastAsia="en-IE"/>
        </w:rPr>
        <w:t xml:space="preserve"> analysis is </w:t>
      </w:r>
      <w:r w:rsidR="00D94148">
        <w:rPr>
          <w:rStyle w:val="normaltextrun"/>
          <w:rFonts w:ascii="Calibri" w:eastAsia="Times New Roman" w:hAnsi="Calibri" w:cs="Calibri"/>
          <w:szCs w:val="22"/>
          <w:lang w:eastAsia="en-IE"/>
        </w:rPr>
        <w:t xml:space="preserve">hereby </w:t>
      </w:r>
      <w:r w:rsidRPr="00C66C24">
        <w:rPr>
          <w:rStyle w:val="normaltextrun"/>
          <w:rFonts w:ascii="Calibri" w:eastAsia="Times New Roman" w:hAnsi="Calibri" w:cs="Calibri"/>
          <w:szCs w:val="22"/>
          <w:lang w:eastAsia="en-IE"/>
        </w:rPr>
        <w:t>provided.</w:t>
      </w:r>
      <w:r w:rsidRPr="00C66C24">
        <w:rPr>
          <w:rFonts w:ascii="Calibri" w:eastAsia="Times New Roman" w:hAnsi="Calibri" w:cs="Calibri"/>
          <w:szCs w:val="22"/>
          <w:lang w:eastAsia="en-IE"/>
        </w:rPr>
        <w:t xml:space="preserve"> </w:t>
      </w:r>
      <w:r w:rsidR="009244B8" w:rsidRPr="00C66C24">
        <w:rPr>
          <w:rFonts w:ascii="Calibri" w:eastAsia="Calibri" w:hAnsi="Calibri" w:cs="Calibri"/>
          <w:color w:val="000000" w:themeColor="text1"/>
          <w:szCs w:val="22"/>
        </w:rPr>
        <w:t>T</w:t>
      </w:r>
      <w:r w:rsidR="745E0611" w:rsidRPr="00C66C24">
        <w:rPr>
          <w:rFonts w:ascii="Calibri" w:eastAsia="Calibri" w:hAnsi="Calibri" w:cs="Calibri"/>
          <w:color w:val="000000" w:themeColor="text1"/>
          <w:szCs w:val="22"/>
        </w:rPr>
        <w:t xml:space="preserve">he IMO 2020 </w:t>
      </w:r>
      <w:r w:rsidR="00D60DEB" w:rsidRPr="00C66C24">
        <w:rPr>
          <w:rFonts w:ascii="Calibri" w:eastAsia="Calibri" w:hAnsi="Calibri" w:cs="Calibri"/>
          <w:color w:val="000000" w:themeColor="text1"/>
          <w:szCs w:val="22"/>
        </w:rPr>
        <w:t xml:space="preserve">Global </w:t>
      </w:r>
      <w:r w:rsidR="745E0611" w:rsidRPr="00C66C24">
        <w:rPr>
          <w:rFonts w:ascii="Calibri" w:eastAsia="Calibri" w:hAnsi="Calibri" w:cs="Calibri"/>
          <w:color w:val="000000" w:themeColor="text1"/>
          <w:szCs w:val="22"/>
        </w:rPr>
        <w:t xml:space="preserve">Sulphur </w:t>
      </w:r>
      <w:r w:rsidR="00D60DEB" w:rsidRPr="00C66C24">
        <w:rPr>
          <w:rFonts w:ascii="Calibri" w:eastAsia="Calibri" w:hAnsi="Calibri" w:cs="Calibri"/>
          <w:color w:val="000000" w:themeColor="text1"/>
          <w:szCs w:val="22"/>
        </w:rPr>
        <w:t>Cap</w:t>
      </w:r>
      <w:r w:rsidR="00646A79" w:rsidRPr="00C66C24">
        <w:rPr>
          <w:rFonts w:ascii="Calibri" w:eastAsia="Calibri" w:hAnsi="Calibri" w:cs="Calibri"/>
          <w:color w:val="000000" w:themeColor="text1"/>
          <w:szCs w:val="22"/>
        </w:rPr>
        <w:t xml:space="preserve"> and </w:t>
      </w:r>
      <w:r w:rsidR="00E06965">
        <w:rPr>
          <w:rFonts w:ascii="Calibri" w:eastAsia="Calibri" w:hAnsi="Calibri" w:cs="Calibri"/>
          <w:color w:val="000000" w:themeColor="text1"/>
          <w:szCs w:val="22"/>
        </w:rPr>
        <w:t>the i</w:t>
      </w:r>
      <w:r w:rsidR="00554DC5">
        <w:rPr>
          <w:rFonts w:ascii="Calibri" w:eastAsia="Calibri" w:hAnsi="Calibri" w:cs="Calibri"/>
          <w:color w:val="000000" w:themeColor="text1"/>
          <w:szCs w:val="22"/>
        </w:rPr>
        <w:t xml:space="preserve">ntroduction of </w:t>
      </w:r>
      <w:r w:rsidR="00646A79" w:rsidRPr="00C66C24">
        <w:rPr>
          <w:rFonts w:ascii="Calibri" w:eastAsia="Calibri" w:hAnsi="Calibri" w:cs="Calibri"/>
          <w:color w:val="000000" w:themeColor="text1"/>
          <w:szCs w:val="22"/>
        </w:rPr>
        <w:t>S</w:t>
      </w:r>
      <w:r w:rsidR="00554DC5">
        <w:rPr>
          <w:rFonts w:ascii="Calibri" w:eastAsia="Calibri" w:hAnsi="Calibri" w:cs="Calibri"/>
          <w:color w:val="000000" w:themeColor="text1"/>
          <w:szCs w:val="22"/>
        </w:rPr>
        <w:t xml:space="preserve">ulphur </w:t>
      </w:r>
      <w:r w:rsidR="00646A79" w:rsidRPr="00C66C24">
        <w:rPr>
          <w:rFonts w:ascii="Calibri" w:eastAsia="Calibri" w:hAnsi="Calibri" w:cs="Calibri"/>
          <w:color w:val="000000" w:themeColor="text1"/>
          <w:szCs w:val="22"/>
        </w:rPr>
        <w:t>ECA</w:t>
      </w:r>
      <w:r w:rsidR="00554DC5">
        <w:rPr>
          <w:rFonts w:ascii="Calibri" w:eastAsia="Calibri" w:hAnsi="Calibri" w:cs="Calibri"/>
          <w:color w:val="000000" w:themeColor="text1"/>
          <w:szCs w:val="22"/>
        </w:rPr>
        <w:t>s</w:t>
      </w:r>
      <w:r w:rsidRPr="00C66C24">
        <w:rPr>
          <w:rFonts w:ascii="Calibri" w:eastAsia="Calibri" w:hAnsi="Calibri" w:cs="Calibri"/>
          <w:color w:val="000000" w:themeColor="text1"/>
          <w:szCs w:val="22"/>
        </w:rPr>
        <w:t>,</w:t>
      </w:r>
      <w:r w:rsidR="00646A79" w:rsidRPr="00C66C24">
        <w:rPr>
          <w:rFonts w:ascii="Calibri" w:eastAsia="Calibri" w:hAnsi="Calibri" w:cs="Calibri"/>
          <w:color w:val="000000" w:themeColor="text1"/>
          <w:szCs w:val="22"/>
        </w:rPr>
        <w:t xml:space="preserve"> a</w:t>
      </w:r>
      <w:r w:rsidR="00E86D21">
        <w:rPr>
          <w:rFonts w:ascii="Calibri" w:eastAsia="Calibri" w:hAnsi="Calibri" w:cs="Calibri"/>
          <w:color w:val="000000" w:themeColor="text1"/>
          <w:szCs w:val="22"/>
        </w:rPr>
        <w:t>s well as</w:t>
      </w:r>
      <w:r w:rsidR="745E0611" w:rsidRPr="00C66C24">
        <w:rPr>
          <w:rFonts w:ascii="Calibri" w:eastAsia="Calibri" w:hAnsi="Calibri" w:cs="Calibri"/>
          <w:color w:val="000000" w:themeColor="text1"/>
          <w:szCs w:val="22"/>
        </w:rPr>
        <w:t xml:space="preserve"> the </w:t>
      </w:r>
      <w:r w:rsidR="00B9292F">
        <w:rPr>
          <w:rFonts w:ascii="Calibri" w:eastAsia="Calibri" w:hAnsi="Calibri" w:cs="Calibri"/>
          <w:color w:val="000000" w:themeColor="text1"/>
          <w:szCs w:val="22"/>
        </w:rPr>
        <w:t xml:space="preserve">implementation of the </w:t>
      </w:r>
      <w:r w:rsidR="008675A9" w:rsidRPr="00C66C24">
        <w:rPr>
          <w:rFonts w:ascii="Calibri" w:eastAsia="Calibri" w:hAnsi="Calibri" w:cs="Calibri"/>
          <w:color w:val="000000" w:themeColor="text1"/>
          <w:szCs w:val="22"/>
        </w:rPr>
        <w:t xml:space="preserve">Sulphur </w:t>
      </w:r>
      <w:r w:rsidR="745E0611" w:rsidRPr="00C66C24">
        <w:rPr>
          <w:rFonts w:ascii="Calibri" w:eastAsia="Calibri" w:hAnsi="Calibri" w:cs="Calibri"/>
          <w:color w:val="000000" w:themeColor="text1"/>
          <w:szCs w:val="22"/>
        </w:rPr>
        <w:t xml:space="preserve">Directive have been successful in reducing SOx emissions to </w:t>
      </w:r>
      <w:r w:rsidR="00646A79" w:rsidRPr="00C66C24">
        <w:rPr>
          <w:rFonts w:ascii="Calibri" w:eastAsia="Calibri" w:hAnsi="Calibri" w:cs="Calibri"/>
          <w:color w:val="000000" w:themeColor="text1"/>
          <w:szCs w:val="22"/>
        </w:rPr>
        <w:t xml:space="preserve">the </w:t>
      </w:r>
      <w:r w:rsidR="745E0611" w:rsidRPr="00C66C24">
        <w:rPr>
          <w:rFonts w:ascii="Calibri" w:eastAsia="Calibri" w:hAnsi="Calibri" w:cs="Calibri"/>
          <w:color w:val="000000" w:themeColor="text1"/>
          <w:szCs w:val="22"/>
        </w:rPr>
        <w:t xml:space="preserve">atmosphere. However, as described by a </w:t>
      </w:r>
      <w:r w:rsidR="00F243A5" w:rsidRPr="00C66C24">
        <w:rPr>
          <w:rFonts w:ascii="Calibri" w:eastAsia="Calibri" w:hAnsi="Calibri" w:cs="Calibri"/>
          <w:color w:val="000000" w:themeColor="text1"/>
          <w:szCs w:val="22"/>
        </w:rPr>
        <w:t>comprehensive set</w:t>
      </w:r>
      <w:r w:rsidR="745E0611" w:rsidRPr="00C66C24">
        <w:rPr>
          <w:rFonts w:ascii="Calibri" w:eastAsia="Calibri" w:hAnsi="Calibri" w:cs="Calibri"/>
          <w:color w:val="000000" w:themeColor="text1"/>
          <w:szCs w:val="22"/>
        </w:rPr>
        <w:t xml:space="preserve"> of studies</w:t>
      </w:r>
      <w:r w:rsidR="008675A9" w:rsidRPr="00C66C24">
        <w:rPr>
          <w:rFonts w:ascii="Calibri" w:eastAsia="Calibri" w:hAnsi="Calibri" w:cs="Calibri"/>
          <w:color w:val="000000" w:themeColor="text1"/>
          <w:szCs w:val="22"/>
        </w:rPr>
        <w:t>,</w:t>
      </w:r>
      <w:r w:rsidR="745E0611" w:rsidRPr="00C66C24">
        <w:rPr>
          <w:rFonts w:ascii="Calibri" w:eastAsia="Calibri" w:hAnsi="Calibri" w:cs="Calibri"/>
          <w:color w:val="000000" w:themeColor="text1"/>
          <w:szCs w:val="22"/>
        </w:rPr>
        <w:t xml:space="preserve"> </w:t>
      </w:r>
      <w:r w:rsidR="008675A9" w:rsidRPr="00C66C24">
        <w:rPr>
          <w:rFonts w:ascii="Calibri" w:eastAsia="Calibri" w:hAnsi="Calibri" w:cs="Calibri"/>
          <w:color w:val="000000" w:themeColor="text1"/>
          <w:szCs w:val="22"/>
        </w:rPr>
        <w:t xml:space="preserve">the risk of transposing </w:t>
      </w:r>
      <w:r w:rsidR="745E0611" w:rsidRPr="00C66C24">
        <w:rPr>
          <w:rFonts w:ascii="Calibri" w:eastAsia="Calibri" w:hAnsi="Calibri" w:cs="Calibri"/>
          <w:color w:val="000000" w:themeColor="text1"/>
          <w:szCs w:val="22"/>
        </w:rPr>
        <w:t xml:space="preserve">pollution from air to water, </w:t>
      </w:r>
      <w:r w:rsidR="008675A9" w:rsidRPr="00C66C24">
        <w:rPr>
          <w:rFonts w:ascii="Calibri" w:eastAsia="Calibri" w:hAnsi="Calibri" w:cs="Calibri"/>
          <w:color w:val="000000" w:themeColor="text1"/>
          <w:szCs w:val="22"/>
        </w:rPr>
        <w:t xml:space="preserve">for example through the possible discharge of </w:t>
      </w:r>
      <w:r w:rsidR="745E0611" w:rsidRPr="00C66C24">
        <w:rPr>
          <w:rFonts w:ascii="Calibri" w:eastAsia="Calibri" w:hAnsi="Calibri" w:cs="Calibri"/>
          <w:color w:val="000000" w:themeColor="text1"/>
          <w:szCs w:val="22"/>
        </w:rPr>
        <w:t xml:space="preserve">EGCS </w:t>
      </w:r>
      <w:r w:rsidR="008675A9" w:rsidRPr="00C66C24">
        <w:rPr>
          <w:rFonts w:ascii="Calibri" w:eastAsia="Calibri" w:hAnsi="Calibri" w:cs="Calibri"/>
          <w:color w:val="000000" w:themeColor="text1"/>
          <w:szCs w:val="22"/>
        </w:rPr>
        <w:t>in water may</w:t>
      </w:r>
      <w:r w:rsidR="745E0611" w:rsidRPr="00C66C24">
        <w:rPr>
          <w:rFonts w:ascii="Calibri" w:eastAsia="Calibri" w:hAnsi="Calibri" w:cs="Calibri"/>
          <w:color w:val="000000" w:themeColor="text1"/>
          <w:szCs w:val="22"/>
        </w:rPr>
        <w:t xml:space="preserve"> directly impact marine life, causing immediate mortality of zooplankton due to the variety of pollutants discharged</w:t>
      </w:r>
      <w:r w:rsidR="008675A9" w:rsidRPr="00C66C24">
        <w:rPr>
          <w:rFonts w:ascii="Calibri" w:eastAsia="Calibri" w:hAnsi="Calibri" w:cs="Calibri"/>
          <w:color w:val="000000" w:themeColor="text1"/>
          <w:szCs w:val="22"/>
        </w:rPr>
        <w:t xml:space="preserve"> </w:t>
      </w:r>
      <w:r w:rsidR="00914437" w:rsidRPr="00C66C24">
        <w:rPr>
          <w:rFonts w:ascii="Calibri" w:eastAsia="Calibri" w:hAnsi="Calibri" w:cs="Calibri"/>
          <w:color w:val="000000" w:themeColor="text1"/>
          <w:szCs w:val="22"/>
        </w:rPr>
        <w:fldChar w:fldCharType="begin"/>
      </w:r>
      <w:r w:rsidR="001855E3" w:rsidRPr="00C66C24">
        <w:rPr>
          <w:rFonts w:ascii="Calibri" w:eastAsia="Calibri" w:hAnsi="Calibri" w:cs="Calibri"/>
          <w:color w:val="000000" w:themeColor="text1"/>
          <w:szCs w:val="22"/>
        </w:rPr>
        <w:instrText xml:space="preserve"> ADDIN ZOTERO_ITEM CSL_CITATION {"citationID":"aL103Iai","properties":{"formattedCitation":"(Hassell\\uc0\\u246{}v et al., 2020; OSPAR Commission, 2022)","plainCitation":"(Hassellöv et al., 2020; OSPAR Commission, 2022)","dontUpdate":true,"noteIndex":0},"citationItems":[{"id":21761,"uris":["http://zotero.org/groups/122386/items/38FLXCDL"],"itemData":{"id":21761,"type":"book","note":"DOI: 10.17895/ices.pub.7487","title":"Ices viewpoint background document: impact from exhaust gas cleaning systems (scrubbers) on the marine environment (Ad Hoc)","author":[{"family":"Hassellöv","given":"Ida-Maja"},{"family":"Koski","given":"Marja"},{"family":"Broeg","given":"Katja"},{"family":"Marin-Enriquez","given":"Octavio"},{"family":"Tronczyński","given":"Jacek"},{"family":"Dulière","given":"Valérie"},{"family":"Clarke Murray","given":"Cathryn"},{"family":"Bailey","given":"Sarah"},{"family":"Redfern","given":"Jessica"},{"family":"Jong","given":"Karen","non-dropping-particle":"de"},{"family":"Ponzevera","given":"Emmanuel"},{"family":"Belzunce","given":"Maria"},{"family":"Mason","given":"Claire"},{"family":"Iacarella","given":"Josephine"},{"family":"Lyons","given":"Brett"},{"family":"Fernandes","given":"Jose"},{"family":"Parmentier","given":"Koen"}],"issued":{"date-parts":[["2020",9,24]]}}},{"id":21747,"uris":["http://zotero.org/groups/122386/items/8RAKZPMS"],"itemData":{"id":21747,"type":"report","license":"This report was prepared for OSPAR Environmental Impacts of Human Activities (EIHA) group by the  Finnish Meteorological Institute in cooperation with the Chalmers University of Technology. The  content represents the authors’ opinion and should not be interpreted to represent OSPAR EIHA  view","publisher":"OSPAR Commission","title":"OSPAR Quality status report 2023: Modelling of discharges to the marine environment from open circuit flue gas scrubbers on ships in the OSPAR Maritime Area","URL":"https://oap-cloudfront.ospar.org/media/filer_public/fe/78/fe78b829-5ba5-47e3-805c-09315c16c29c/p00890_modelling_flue_gas_exhaust_scrubber_report_.pdf","author":[{"family":"OSPAR Commission","given":""}],"issued":{"date-parts":[["2022"]]}}}],"schema":"https://github.com/citation-style-language/schema/raw/master/csl-citation.json"} </w:instrText>
      </w:r>
      <w:r w:rsidR="00914437" w:rsidRPr="00C66C24">
        <w:rPr>
          <w:rFonts w:ascii="Calibri" w:eastAsia="Calibri" w:hAnsi="Calibri" w:cs="Calibri"/>
          <w:color w:val="000000" w:themeColor="text1"/>
          <w:szCs w:val="22"/>
        </w:rPr>
        <w:fldChar w:fldCharType="separate"/>
      </w:r>
      <w:r w:rsidR="00914437" w:rsidRPr="00C66C24">
        <w:rPr>
          <w:rFonts w:ascii="Calibri" w:hAnsi="Calibri" w:cs="Calibri"/>
          <w:szCs w:val="22"/>
        </w:rPr>
        <w:t>(Hassellöv et al., 2020; OSPAR, 2022)</w:t>
      </w:r>
      <w:r w:rsidR="00914437" w:rsidRPr="00C66C24">
        <w:rPr>
          <w:rFonts w:ascii="Calibri" w:eastAsia="Calibri" w:hAnsi="Calibri" w:cs="Calibri"/>
          <w:color w:val="000000" w:themeColor="text1"/>
          <w:szCs w:val="22"/>
        </w:rPr>
        <w:fldChar w:fldCharType="end"/>
      </w:r>
      <w:r w:rsidR="00705BC7" w:rsidRPr="00C66C24">
        <w:rPr>
          <w:rFonts w:ascii="Calibri" w:eastAsia="Calibri" w:hAnsi="Calibri" w:cs="Calibri"/>
          <w:color w:val="000000" w:themeColor="text1"/>
          <w:szCs w:val="22"/>
        </w:rPr>
        <w:t xml:space="preserve">. Other impacts to the marine environment include biogeochemical impacts such as bioaccumulation, acidification and eutrophication. </w:t>
      </w:r>
    </w:p>
    <w:p w14:paraId="2FBD8226" w14:textId="3403C222" w:rsidR="00EE116F" w:rsidRPr="00C66C24" w:rsidRDefault="00EE116F" w:rsidP="00C12FCC">
      <w:pPr>
        <w:spacing w:before="0" w:after="0" w:line="257" w:lineRule="auto"/>
        <w:rPr>
          <w:rFonts w:ascii="Calibri" w:eastAsia="Calibri" w:hAnsi="Calibri" w:cs="Calibri"/>
          <w:color w:val="000000" w:themeColor="text1"/>
          <w:szCs w:val="22"/>
        </w:rPr>
      </w:pPr>
      <w:r w:rsidRPr="00C66C24">
        <w:rPr>
          <w:rFonts w:ascii="Calibri" w:eastAsia="Calibri" w:hAnsi="Calibri" w:cs="Calibri"/>
          <w:color w:val="000000" w:themeColor="text1"/>
          <w:szCs w:val="22"/>
        </w:rPr>
        <w:t>Regarding the market share of EGCS technologies, EMSA’s database reports a total of 5,613 ships currently equipped with scrubbers (data extracted on 17/01/2024). This number is higher compared to the total EGCS installations considered in the STEAM model, where a total of 4,593 ships are reported to have scrubbers installed in 2022. Data extracted from EMSA’s database notabl</w:t>
      </w:r>
      <w:r w:rsidR="00BE1C3A">
        <w:rPr>
          <w:rFonts w:ascii="Calibri" w:eastAsia="Calibri" w:hAnsi="Calibri" w:cs="Calibri"/>
          <w:color w:val="000000" w:themeColor="text1"/>
          <w:szCs w:val="22"/>
        </w:rPr>
        <w:t>y</w:t>
      </w:r>
      <w:r w:rsidRPr="00C66C24">
        <w:rPr>
          <w:rFonts w:ascii="Calibri" w:eastAsia="Calibri" w:hAnsi="Calibri" w:cs="Calibri"/>
          <w:color w:val="000000" w:themeColor="text1"/>
          <w:szCs w:val="22"/>
        </w:rPr>
        <w:t xml:space="preserve"> shows that 75% of the scrubbers are open loop systems, 14% hybrid systems, and 1% closed loop systems. </w:t>
      </w:r>
      <w:r w:rsidR="00C03F7C" w:rsidRPr="00C66C24">
        <w:rPr>
          <w:rFonts w:ascii="Calibri" w:eastAsia="Calibri" w:hAnsi="Calibri" w:cs="Calibri"/>
          <w:color w:val="000000" w:themeColor="text1"/>
          <w:szCs w:val="22"/>
        </w:rPr>
        <w:t xml:space="preserve">These numbers are similar with the information reported by the </w:t>
      </w:r>
      <w:proofErr w:type="spellStart"/>
      <w:r w:rsidR="00C03F7C" w:rsidRPr="00C66C24">
        <w:rPr>
          <w:rFonts w:ascii="Calibri" w:eastAsia="Calibri" w:hAnsi="Calibri" w:cs="Calibri"/>
          <w:color w:val="000000" w:themeColor="text1"/>
          <w:szCs w:val="22"/>
        </w:rPr>
        <w:t>ImpEx</w:t>
      </w:r>
      <w:proofErr w:type="spellEnd"/>
      <w:r w:rsidR="00C03F7C" w:rsidRPr="00C66C24">
        <w:rPr>
          <w:rFonts w:ascii="Calibri" w:eastAsia="Calibri" w:hAnsi="Calibri" w:cs="Calibri"/>
          <w:color w:val="000000" w:themeColor="text1"/>
          <w:szCs w:val="22"/>
        </w:rPr>
        <w:t xml:space="preserve"> study in 2022, through the IMO GISIS database, which reported a total of 3,729 ships, 86% </w:t>
      </w:r>
      <w:r w:rsidR="00D85300" w:rsidRPr="00C66C24">
        <w:rPr>
          <w:rFonts w:ascii="Calibri" w:eastAsia="Calibri" w:hAnsi="Calibri" w:cs="Calibri"/>
          <w:color w:val="000000" w:themeColor="text1"/>
          <w:szCs w:val="22"/>
        </w:rPr>
        <w:t xml:space="preserve">of the registered ships with scrubbers were </w:t>
      </w:r>
      <w:r w:rsidR="00E938D3" w:rsidRPr="00C66C24">
        <w:rPr>
          <w:rFonts w:ascii="Calibri" w:eastAsia="Calibri" w:hAnsi="Calibri" w:cs="Calibri"/>
          <w:color w:val="000000" w:themeColor="text1"/>
          <w:szCs w:val="22"/>
        </w:rPr>
        <w:t>open loop</w:t>
      </w:r>
      <w:r w:rsidR="00D85300" w:rsidRPr="00C66C24">
        <w:rPr>
          <w:rFonts w:ascii="Calibri" w:eastAsia="Calibri" w:hAnsi="Calibri" w:cs="Calibri"/>
          <w:color w:val="000000" w:themeColor="text1"/>
          <w:szCs w:val="22"/>
        </w:rPr>
        <w:t xml:space="preserve">, 13% </w:t>
      </w:r>
      <w:r w:rsidR="00095221" w:rsidRPr="00C66C24">
        <w:rPr>
          <w:rFonts w:ascii="Calibri" w:eastAsia="Calibri" w:hAnsi="Calibri" w:cs="Calibri"/>
          <w:color w:val="000000" w:themeColor="text1"/>
          <w:szCs w:val="22"/>
        </w:rPr>
        <w:t>h</w:t>
      </w:r>
      <w:r w:rsidR="00D85300" w:rsidRPr="00C66C24">
        <w:rPr>
          <w:rFonts w:ascii="Calibri" w:eastAsia="Calibri" w:hAnsi="Calibri" w:cs="Calibri"/>
          <w:color w:val="000000" w:themeColor="text1"/>
          <w:szCs w:val="22"/>
        </w:rPr>
        <w:t>ybrid</w:t>
      </w:r>
      <w:r w:rsidR="00B515FD" w:rsidRPr="00C66C24">
        <w:rPr>
          <w:rFonts w:ascii="Calibri" w:eastAsia="Calibri" w:hAnsi="Calibri" w:cs="Calibri"/>
          <w:color w:val="000000" w:themeColor="text1"/>
          <w:szCs w:val="22"/>
        </w:rPr>
        <w:t>,</w:t>
      </w:r>
      <w:r w:rsidR="00D85300" w:rsidRPr="00C66C24">
        <w:rPr>
          <w:rFonts w:ascii="Calibri" w:eastAsia="Calibri" w:hAnsi="Calibri" w:cs="Calibri"/>
          <w:color w:val="000000" w:themeColor="text1"/>
          <w:szCs w:val="22"/>
        </w:rPr>
        <w:t xml:space="preserve"> and 1% </w:t>
      </w:r>
      <w:r w:rsidR="00E938D3" w:rsidRPr="00C66C24">
        <w:rPr>
          <w:rFonts w:ascii="Calibri" w:eastAsia="Calibri" w:hAnsi="Calibri" w:cs="Calibri"/>
          <w:color w:val="000000" w:themeColor="text1"/>
          <w:szCs w:val="22"/>
        </w:rPr>
        <w:t>closed loop</w:t>
      </w:r>
      <w:r w:rsidR="001B33E9" w:rsidRPr="00C66C24">
        <w:rPr>
          <w:rFonts w:ascii="Calibri" w:eastAsia="Calibri" w:hAnsi="Calibri" w:cs="Calibri"/>
          <w:color w:val="000000" w:themeColor="text1"/>
          <w:szCs w:val="22"/>
        </w:rPr>
        <w:t xml:space="preserve"> </w:t>
      </w:r>
      <w:r w:rsidR="001B33E9" w:rsidRPr="00C66C24">
        <w:rPr>
          <w:rFonts w:ascii="Calibri" w:eastAsia="Calibri" w:hAnsi="Calibri" w:cs="Calibri"/>
          <w:color w:val="000000" w:themeColor="text1"/>
          <w:szCs w:val="22"/>
        </w:rPr>
        <w:fldChar w:fldCharType="begin"/>
      </w:r>
      <w:r w:rsidR="001855E3" w:rsidRPr="00C66C24">
        <w:rPr>
          <w:rFonts w:ascii="Calibri" w:eastAsia="Calibri" w:hAnsi="Calibri" w:cs="Calibri"/>
          <w:color w:val="000000" w:themeColor="text1"/>
          <w:szCs w:val="22"/>
        </w:rPr>
        <w:instrText xml:space="preserve"> ADDIN ZOTERO_ITEM CSL_CITATION {"citationID":"abqdia84hp","properties":{"formattedCitation":"(Marin-Enriquez et al., 2023)","plainCitation":"(Marin-Enriquez et al., 2023)","noteIndex":0},"citationItems":[{"id":51811,"uris":["http://zotero.org/groups/122386/items/9GZFW662"],"itemData":{"id":51811,"type":"article-journal","abstract":"Environmental Impacts of Discharge Water from Exhaust Gas Cleaning Systems on Ships –Final report of the project ImpEx Following the implementation of international regulations to reduce sulphur oxide emissions in maritime shipping, scrubbers are used on about 25 % of the world merchant fleet (measured by deadweight tonnage).","container-title":"German Environmental Agency","ISSN":"862-4804","language":"en","source":"Zotero","title":"Environmental Impacts of Discharge Water from Exhaust Gas Cleaning Systems on Ships","URL":"http://www.umweltbundesamt.de/publikationen","author":[{"family":"Marin-Enriquez","given":"Octavio"},{"family":"Krutwa","given":"Annika"},{"family":"Behrends","given":"Brigitte"},{"family":"Fenske","given":"Martina"},{"family":"Spira","given":"Denise"},{"family":"Reifferscheid","given":"Georg"},{"family":"Lukas","given":"Marcus"},{"family":"Achten","given":"Christine"},{"family":"Holz","given":"Ines"}],"issued":{"date-parts":[["2023"]]}}}],"schema":"https://github.com/citation-style-language/schema/raw/master/csl-citation.json"} </w:instrText>
      </w:r>
      <w:r w:rsidR="001B33E9" w:rsidRPr="00C66C24">
        <w:rPr>
          <w:rFonts w:ascii="Calibri" w:eastAsia="Calibri" w:hAnsi="Calibri" w:cs="Calibri"/>
          <w:color w:val="000000" w:themeColor="text1"/>
          <w:szCs w:val="22"/>
        </w:rPr>
        <w:fldChar w:fldCharType="separate"/>
      </w:r>
      <w:r w:rsidR="001855E3" w:rsidRPr="00C66C24">
        <w:rPr>
          <w:rFonts w:ascii="Calibri" w:hAnsi="Calibri" w:cs="Calibri"/>
        </w:rPr>
        <w:t>(Marin-Enriquez et al., 2023)</w:t>
      </w:r>
      <w:r w:rsidR="001B33E9" w:rsidRPr="00C66C24">
        <w:rPr>
          <w:rFonts w:ascii="Calibri" w:eastAsia="Calibri" w:hAnsi="Calibri" w:cs="Calibri"/>
          <w:color w:val="000000" w:themeColor="text1"/>
          <w:szCs w:val="22"/>
        </w:rPr>
        <w:fldChar w:fldCharType="end"/>
      </w:r>
      <w:r w:rsidR="00C03F7C" w:rsidRPr="00C66C24">
        <w:rPr>
          <w:rFonts w:ascii="Calibri" w:eastAsia="Calibri" w:hAnsi="Calibri" w:cs="Calibri"/>
          <w:color w:val="000000" w:themeColor="text1"/>
          <w:szCs w:val="22"/>
        </w:rPr>
        <w:t>.</w:t>
      </w:r>
      <w:r w:rsidR="004D09A5" w:rsidRPr="00C66C24">
        <w:rPr>
          <w:rFonts w:ascii="Calibri" w:eastAsia="Calibri" w:hAnsi="Calibri" w:cs="Calibri"/>
          <w:color w:val="000000" w:themeColor="text1"/>
          <w:szCs w:val="22"/>
        </w:rPr>
        <w:t xml:space="preserve"> </w:t>
      </w:r>
      <w:r w:rsidRPr="00C66C24">
        <w:rPr>
          <w:rFonts w:ascii="Calibri" w:eastAsia="Calibri" w:hAnsi="Calibri" w:cs="Calibri"/>
          <w:color w:val="000000" w:themeColor="text1"/>
          <w:szCs w:val="22"/>
        </w:rPr>
        <w:t>According to EMSA’s database, the installation of scrubbers is predominant in bulk carriers (around 35%), oil/chemical tankers (28%) and containerships (22%), which is aligned with the IMO GISIS data.</w:t>
      </w:r>
    </w:p>
    <w:p w14:paraId="09A3E04A" w14:textId="607DBEAE" w:rsidR="00EE116F" w:rsidRPr="00C66C24" w:rsidRDefault="00EE116F" w:rsidP="00A1416B">
      <w:pPr>
        <w:spacing w:before="0" w:after="120" w:line="257" w:lineRule="auto"/>
        <w:rPr>
          <w:rFonts w:ascii="Calibri" w:eastAsia="Calibri" w:hAnsi="Calibri" w:cs="Calibri"/>
          <w:color w:val="000000" w:themeColor="text1"/>
        </w:rPr>
      </w:pPr>
      <w:r w:rsidRPr="00C66C24">
        <w:rPr>
          <w:rFonts w:ascii="Calibri" w:eastAsia="Calibri" w:hAnsi="Calibri" w:cs="Calibri"/>
          <w:color w:val="000000" w:themeColor="text1"/>
          <w:szCs w:val="22"/>
        </w:rPr>
        <w:t xml:space="preserve">When analysing the STEAM data on discharge waters from EGCS in the EU waters, a clear increase in open loop discharges </w:t>
      </w:r>
      <w:r w:rsidR="004C7BDE" w:rsidRPr="00C66C24">
        <w:rPr>
          <w:rFonts w:ascii="Calibri" w:eastAsia="Calibri" w:hAnsi="Calibri" w:cs="Calibri"/>
          <w:color w:val="000000" w:themeColor="text1"/>
          <w:szCs w:val="22"/>
        </w:rPr>
        <w:t>can be noted</w:t>
      </w:r>
      <w:r w:rsidR="00C03F7C" w:rsidRPr="00C66C24">
        <w:rPr>
          <w:rFonts w:ascii="Calibri" w:eastAsia="Calibri" w:hAnsi="Calibri" w:cs="Calibri"/>
          <w:color w:val="000000" w:themeColor="text1"/>
          <w:szCs w:val="22"/>
        </w:rPr>
        <w:t xml:space="preserve"> </w:t>
      </w:r>
      <w:r w:rsidRPr="00C66C24">
        <w:rPr>
          <w:rFonts w:ascii="Calibri" w:eastAsia="Calibri" w:hAnsi="Calibri" w:cs="Calibri"/>
          <w:color w:val="000000" w:themeColor="text1"/>
          <w:szCs w:val="22"/>
        </w:rPr>
        <w:t xml:space="preserve">from 2020 </w:t>
      </w:r>
      <w:r w:rsidR="003E1C57" w:rsidRPr="00C66C24">
        <w:rPr>
          <w:rFonts w:ascii="Calibri" w:eastAsia="Calibri" w:hAnsi="Calibri" w:cs="Calibri"/>
          <w:color w:val="000000" w:themeColor="text1"/>
          <w:szCs w:val="22"/>
        </w:rPr>
        <w:t>(</w:t>
      </w:r>
      <w:r w:rsidR="003E1C57" w:rsidRPr="00C66C24">
        <w:rPr>
          <w:rFonts w:ascii="Calibri" w:eastAsia="Calibri" w:hAnsi="Calibri" w:cs="Calibri"/>
          <w:color w:val="000000" w:themeColor="text1"/>
          <w:szCs w:val="22"/>
        </w:rPr>
        <w:fldChar w:fldCharType="begin"/>
      </w:r>
      <w:r w:rsidR="003E1C57" w:rsidRPr="00C66C24">
        <w:rPr>
          <w:rFonts w:ascii="Calibri" w:eastAsia="Calibri" w:hAnsi="Calibri" w:cs="Calibri"/>
          <w:color w:val="000000" w:themeColor="text1"/>
          <w:szCs w:val="22"/>
        </w:rPr>
        <w:instrText xml:space="preserve"> REF _Ref157420487 \h  \* MERGEFORMAT </w:instrText>
      </w:r>
      <w:r w:rsidR="003E1C57" w:rsidRPr="00C66C24">
        <w:rPr>
          <w:rFonts w:ascii="Calibri" w:eastAsia="Calibri" w:hAnsi="Calibri" w:cs="Calibri"/>
          <w:color w:val="000000" w:themeColor="text1"/>
          <w:szCs w:val="22"/>
        </w:rPr>
      </w:r>
      <w:r w:rsidR="003E1C57" w:rsidRPr="00C66C24">
        <w:rPr>
          <w:rFonts w:ascii="Calibri" w:eastAsia="Calibri" w:hAnsi="Calibri" w:cs="Calibri"/>
          <w:color w:val="000000" w:themeColor="text1"/>
          <w:szCs w:val="22"/>
        </w:rPr>
        <w:fldChar w:fldCharType="separate"/>
      </w:r>
      <w:r w:rsidR="00FD316A" w:rsidRPr="00C66C24">
        <w:rPr>
          <w:rFonts w:ascii="Calibri" w:eastAsia="Calibri" w:hAnsi="Calibri" w:cs="Calibri"/>
          <w:color w:val="000000" w:themeColor="text1"/>
          <w:szCs w:val="22"/>
        </w:rPr>
        <w:t>Figure 2.</w:t>
      </w:r>
      <w:r w:rsidR="004D09A5" w:rsidRPr="00C66C24">
        <w:rPr>
          <w:rFonts w:ascii="Calibri" w:eastAsia="Calibri" w:hAnsi="Calibri" w:cs="Calibri"/>
          <w:color w:val="000000" w:themeColor="text1"/>
          <w:szCs w:val="22"/>
        </w:rPr>
        <w:t>27</w:t>
      </w:r>
      <w:r w:rsidR="003E1C57" w:rsidRPr="00C66C24">
        <w:rPr>
          <w:rFonts w:ascii="Calibri" w:eastAsia="Calibri" w:hAnsi="Calibri" w:cs="Calibri"/>
          <w:color w:val="000000" w:themeColor="text1"/>
          <w:szCs w:val="22"/>
        </w:rPr>
        <w:fldChar w:fldCharType="end"/>
      </w:r>
      <w:r w:rsidR="003E1C57" w:rsidRPr="00C66C24">
        <w:rPr>
          <w:rFonts w:ascii="Calibri" w:eastAsia="Calibri" w:hAnsi="Calibri" w:cs="Calibri"/>
          <w:color w:val="000000" w:themeColor="text1"/>
          <w:szCs w:val="22"/>
        </w:rPr>
        <w:t>)</w:t>
      </w:r>
      <w:r w:rsidR="00705BC7" w:rsidRPr="00C66C24">
        <w:rPr>
          <w:rFonts w:ascii="Calibri" w:eastAsia="Calibri" w:hAnsi="Calibri" w:cs="Calibri"/>
          <w:color w:val="000000" w:themeColor="text1"/>
          <w:szCs w:val="22"/>
        </w:rPr>
        <w:t xml:space="preserve"> and for closed loop scrubbers a clear increase is only noticed after 2021.</w:t>
      </w:r>
      <w:r w:rsidRPr="00C66C24">
        <w:rPr>
          <w:rFonts w:ascii="Calibri" w:eastAsia="Calibri" w:hAnsi="Calibri" w:cs="Calibri"/>
          <w:color w:val="000000" w:themeColor="text1"/>
          <w:szCs w:val="22"/>
        </w:rPr>
        <w:t xml:space="preserve"> The increase of the discharges from open</w:t>
      </w:r>
      <w:r w:rsidR="004D09A5" w:rsidRPr="00C66C24">
        <w:rPr>
          <w:rFonts w:ascii="Calibri" w:eastAsia="Calibri" w:hAnsi="Calibri" w:cs="Calibri"/>
          <w:color w:val="000000" w:themeColor="text1"/>
          <w:szCs w:val="22"/>
        </w:rPr>
        <w:t>-</w:t>
      </w:r>
      <w:r w:rsidRPr="00C66C24">
        <w:rPr>
          <w:rFonts w:ascii="Calibri" w:eastAsia="Calibri" w:hAnsi="Calibri" w:cs="Calibri"/>
          <w:color w:val="000000" w:themeColor="text1"/>
          <w:szCs w:val="22"/>
        </w:rPr>
        <w:t>loop scrubbers is observed in all ship types</w:t>
      </w:r>
      <w:r w:rsidR="00FE24C3" w:rsidRPr="00C66C24">
        <w:rPr>
          <w:rFonts w:ascii="Calibri" w:eastAsia="Calibri" w:hAnsi="Calibri" w:cs="Calibri"/>
          <w:color w:val="000000" w:themeColor="text1"/>
          <w:szCs w:val="22"/>
        </w:rPr>
        <w:t xml:space="preserve"> and</w:t>
      </w:r>
      <w:r w:rsidRPr="00C66C24">
        <w:rPr>
          <w:rFonts w:ascii="Calibri" w:eastAsia="Calibri" w:hAnsi="Calibri" w:cs="Calibri"/>
          <w:color w:val="000000" w:themeColor="text1"/>
          <w:szCs w:val="22"/>
        </w:rPr>
        <w:t xml:space="preserve"> can be attributed to the IMO Global Sulphur Cap that entered into force in 2020</w:t>
      </w:r>
      <w:r w:rsidR="00DA5684">
        <w:rPr>
          <w:rFonts w:ascii="Calibri" w:eastAsia="Calibri" w:hAnsi="Calibri" w:cs="Calibri"/>
          <w:color w:val="000000" w:themeColor="text1"/>
          <w:szCs w:val="22"/>
        </w:rPr>
        <w:t>,</w:t>
      </w:r>
      <w:r w:rsidRPr="00C66C24">
        <w:rPr>
          <w:rFonts w:ascii="Calibri" w:eastAsia="Calibri" w:hAnsi="Calibri" w:cs="Calibri"/>
          <w:color w:val="000000" w:themeColor="text1"/>
          <w:szCs w:val="22"/>
        </w:rPr>
        <w:t xml:space="preserve"> </w:t>
      </w:r>
      <w:r w:rsidR="00463400" w:rsidRPr="00C66C24">
        <w:rPr>
          <w:rFonts w:ascii="Calibri" w:eastAsia="Calibri" w:hAnsi="Calibri" w:cs="Calibri"/>
          <w:color w:val="000000" w:themeColor="text1"/>
          <w:szCs w:val="22"/>
        </w:rPr>
        <w:t>which</w:t>
      </w:r>
      <w:r w:rsidRPr="00C66C24">
        <w:rPr>
          <w:rFonts w:ascii="Calibri" w:eastAsia="Calibri" w:hAnsi="Calibri" w:cs="Calibri"/>
          <w:color w:val="000000" w:themeColor="text1"/>
          <w:szCs w:val="22"/>
        </w:rPr>
        <w:t xml:space="preserve"> resulted in the need for shipowners to equip their ships with emission abatement</w:t>
      </w:r>
      <w:r w:rsidRPr="00C66C24">
        <w:rPr>
          <w:rFonts w:ascii="Calibri" w:eastAsia="Calibri" w:hAnsi="Calibri" w:cs="Calibri"/>
          <w:color w:val="000000" w:themeColor="text1"/>
        </w:rPr>
        <w:t xml:space="preserve"> technologies such as EGCS</w:t>
      </w:r>
      <w:r w:rsidRPr="00C66C24">
        <w:rPr>
          <w:rFonts w:ascii="Calibri" w:eastAsia="Calibri" w:hAnsi="Calibri" w:cs="Calibri"/>
          <w:color w:val="000000" w:themeColor="text1"/>
          <w:szCs w:val="22"/>
        </w:rPr>
        <w:t xml:space="preserve">. </w:t>
      </w:r>
      <w:r w:rsidRPr="00C66C24">
        <w:rPr>
          <w:rFonts w:ascii="Calibri" w:eastAsia="Calibri" w:hAnsi="Calibri" w:cs="Calibri"/>
          <w:color w:val="000000" w:themeColor="text1"/>
        </w:rPr>
        <w:t xml:space="preserve">Data from passenger ships (excluding cruiser ships) is not shown in the graphic per ship types </w:t>
      </w:r>
      <w:r w:rsidR="00BB109E">
        <w:rPr>
          <w:rFonts w:ascii="Calibri" w:eastAsia="Calibri" w:hAnsi="Calibri" w:cs="Calibri"/>
          <w:color w:val="000000" w:themeColor="text1"/>
        </w:rPr>
        <w:t>due to</w:t>
      </w:r>
      <w:r w:rsidRPr="00C66C24">
        <w:rPr>
          <w:rFonts w:ascii="Calibri" w:eastAsia="Calibri" w:hAnsi="Calibri" w:cs="Calibri"/>
          <w:color w:val="000000" w:themeColor="text1"/>
        </w:rPr>
        <w:t xml:space="preserve"> inconsistencies in the data for some years.</w:t>
      </w:r>
    </w:p>
    <w:p w14:paraId="6EE03D50" w14:textId="77777777" w:rsidR="00EE116F" w:rsidRPr="00C66C24" w:rsidRDefault="00C03F7C" w:rsidP="008C6A9C">
      <w:pPr>
        <w:keepNext/>
        <w:spacing w:after="160" w:line="257" w:lineRule="auto"/>
        <w:jc w:val="center"/>
      </w:pPr>
      <w:r w:rsidRPr="00C66C24">
        <w:rPr>
          <w:noProof/>
        </w:rPr>
        <w:drawing>
          <wp:inline distT="0" distB="0" distL="0" distR="0" wp14:anchorId="4B2954AA" wp14:editId="0BA1E743">
            <wp:extent cx="5400040" cy="2097405"/>
            <wp:effectExtent l="0" t="0" r="0" b="0"/>
            <wp:docPr id="1164877138" name="Picture 116487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00040" cy="2097405"/>
                    </a:xfrm>
                    <a:prstGeom prst="rect">
                      <a:avLst/>
                    </a:prstGeom>
                  </pic:spPr>
                </pic:pic>
              </a:graphicData>
            </a:graphic>
          </wp:inline>
        </w:drawing>
      </w:r>
    </w:p>
    <w:p w14:paraId="2B9D1C60" w14:textId="4C53F01F" w:rsidR="00C03F7C" w:rsidRPr="00C66C24" w:rsidRDefault="00EE116F" w:rsidP="008C6A9C">
      <w:pPr>
        <w:pStyle w:val="Caption"/>
        <w:spacing w:after="0" w:line="257" w:lineRule="auto"/>
        <w:jc w:val="center"/>
        <w:rPr>
          <w:rFonts w:ascii="Calibri" w:eastAsia="Calibri" w:hAnsi="Calibri" w:cs="Calibri"/>
          <w:color w:val="000000" w:themeColor="text1"/>
          <w:sz w:val="20"/>
          <w:szCs w:val="20"/>
        </w:rPr>
      </w:pPr>
      <w:bookmarkStart w:id="137" w:name="_Ref157420487"/>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27</w:t>
      </w:r>
      <w:r w:rsidR="00A81F61" w:rsidRPr="00C66C24">
        <w:rPr>
          <w:sz w:val="20"/>
          <w:szCs w:val="20"/>
        </w:rPr>
        <w:fldChar w:fldCharType="end"/>
      </w:r>
      <w:bookmarkEnd w:id="137"/>
      <w:r w:rsidR="00C03F7C" w:rsidRPr="00C66C24">
        <w:rPr>
          <w:sz w:val="20"/>
          <w:szCs w:val="20"/>
        </w:rPr>
        <w:t xml:space="preserve"> Wash water discharges from Open Loop scrubbers per ship type in EU waters.</w:t>
      </w:r>
    </w:p>
    <w:p w14:paraId="1DE81292" w14:textId="0CF0283E" w:rsidR="00EE116F" w:rsidRPr="00C66C24" w:rsidRDefault="00EE116F" w:rsidP="008C6A9C">
      <w:pPr>
        <w:spacing w:before="0" w:after="120" w:line="257" w:lineRule="auto"/>
        <w:jc w:val="center"/>
        <w:rPr>
          <w:sz w:val="20"/>
          <w:szCs w:val="20"/>
        </w:rPr>
      </w:pPr>
      <w:r w:rsidRPr="00C66C24">
        <w:rPr>
          <w:sz w:val="20"/>
          <w:szCs w:val="20"/>
        </w:rPr>
        <w:t>Source: FMI, STEAM.</w:t>
      </w:r>
    </w:p>
    <w:p w14:paraId="6B1D2A0D" w14:textId="1D894830" w:rsidR="00EE116F" w:rsidRPr="00C66C24" w:rsidRDefault="00EE116F" w:rsidP="008C6A9C">
      <w:pPr>
        <w:spacing w:before="0" w:after="0" w:line="257" w:lineRule="auto"/>
      </w:pPr>
      <w:r w:rsidRPr="00C66C24">
        <w:rPr>
          <w:rFonts w:ascii="Calibri" w:eastAsia="Calibri" w:hAnsi="Calibri" w:cs="Calibri"/>
          <w:color w:val="000000" w:themeColor="text1"/>
        </w:rPr>
        <w:t>When analysing the data at regional level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REF _Ref151111670 \h  \* MERGEFORMAT </w:instrText>
      </w:r>
      <w:r w:rsidRPr="00C66C24">
        <w:rPr>
          <w:rFonts w:ascii="Calibri" w:eastAsia="Calibri" w:hAnsi="Calibri" w:cs="Calibri"/>
          <w:color w:val="000000" w:themeColor="text1"/>
        </w:rPr>
      </w:r>
      <w:r w:rsidRPr="00C66C24">
        <w:rPr>
          <w:rFonts w:ascii="Calibri" w:eastAsia="Calibri" w:hAnsi="Calibri" w:cs="Calibri"/>
          <w:color w:val="000000" w:themeColor="text1"/>
        </w:rPr>
        <w:fldChar w:fldCharType="separate"/>
      </w:r>
      <w:r w:rsidR="00A12F79" w:rsidRPr="00C66C24">
        <w:rPr>
          <w:rFonts w:ascii="Calibri" w:eastAsia="Calibri" w:hAnsi="Calibri" w:cs="Calibri"/>
          <w:color w:val="000000" w:themeColor="text1"/>
        </w:rPr>
        <w:t>Figure 2.28</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two different patterns</w:t>
      </w:r>
      <w:r w:rsidR="00BB109E">
        <w:rPr>
          <w:rFonts w:ascii="Calibri" w:eastAsia="Calibri" w:hAnsi="Calibri" w:cs="Calibri"/>
          <w:color w:val="000000" w:themeColor="text1"/>
        </w:rPr>
        <w:t xml:space="preserve"> can be observed</w:t>
      </w:r>
      <w:r w:rsidRPr="00C66C24">
        <w:rPr>
          <w:rFonts w:ascii="Calibri" w:eastAsia="Calibri" w:hAnsi="Calibri" w:cs="Calibri"/>
          <w:color w:val="000000" w:themeColor="text1"/>
        </w:rPr>
        <w:t>: 1) A stable trend for the existing SECA areas (i.e. North Sea and Baltic Sea), where ships were already either using low-sulphur fuel or equipped with EGCSs; 2) An increasing trend for those areas who had to comply to the measures of the IMO Global Sulphur Cap and the EU Sulphur Directive (i.e. Atlantic Ocean, Black Sea and the Mediterranean)</w:t>
      </w:r>
      <w:r w:rsidR="00733602">
        <w:rPr>
          <w:rFonts w:ascii="Calibri" w:eastAsia="Calibri" w:hAnsi="Calibri" w:cs="Calibri"/>
          <w:color w:val="000000" w:themeColor="text1"/>
        </w:rPr>
        <w:t>,</w:t>
      </w:r>
      <w:r w:rsidRPr="00C66C24">
        <w:rPr>
          <w:rFonts w:ascii="Calibri" w:eastAsia="Calibri" w:hAnsi="Calibri" w:cs="Calibri"/>
          <w:color w:val="000000" w:themeColor="text1"/>
        </w:rPr>
        <w:t xml:space="preserve"> where vessels had to systematically adapt to comply with the requirements of sulphur emissions by installing scrubbers (or utilising low-sulphur fuel).</w:t>
      </w:r>
    </w:p>
    <w:p w14:paraId="58E32BB5" w14:textId="77777777" w:rsidR="00EE116F" w:rsidRPr="00C66C24" w:rsidRDefault="00EE116F" w:rsidP="008C6A9C">
      <w:pPr>
        <w:spacing w:before="0" w:after="0" w:line="257" w:lineRule="auto"/>
      </w:pPr>
    </w:p>
    <w:p w14:paraId="1E10A9AE" w14:textId="77777777" w:rsidR="00EE116F" w:rsidRPr="00C66C24" w:rsidRDefault="00C03F7C" w:rsidP="008C6A9C">
      <w:pPr>
        <w:keepNext/>
        <w:spacing w:after="160" w:line="257" w:lineRule="auto"/>
        <w:jc w:val="center"/>
      </w:pPr>
      <w:r w:rsidRPr="00C66C24">
        <w:rPr>
          <w:noProof/>
        </w:rPr>
        <w:drawing>
          <wp:inline distT="0" distB="0" distL="0" distR="0" wp14:anchorId="5D319F39" wp14:editId="0A00C79B">
            <wp:extent cx="4209803" cy="2921330"/>
            <wp:effectExtent l="0" t="0" r="635" b="12700"/>
            <wp:docPr id="1164877123" name="Chart 1164877123">
              <a:extLst xmlns:a="http://schemas.openxmlformats.org/drawingml/2006/main">
                <a:ext uri="{FF2B5EF4-FFF2-40B4-BE49-F238E27FC236}">
                  <a16:creationId xmlns:a16="http://schemas.microsoft.com/office/drawing/2014/main" id="{630EEC9B-6F51-8444-4CF6-9F33EA378B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004A3369" w14:textId="60749CF4" w:rsidR="00EE116F" w:rsidRPr="00C66C24" w:rsidRDefault="00EE116F" w:rsidP="008C6A9C">
      <w:pPr>
        <w:pStyle w:val="Caption"/>
        <w:spacing w:after="0" w:line="257" w:lineRule="auto"/>
        <w:jc w:val="center"/>
        <w:rPr>
          <w:sz w:val="20"/>
          <w:szCs w:val="20"/>
        </w:rPr>
      </w:pPr>
      <w:bookmarkStart w:id="138" w:name="_Ref151111670"/>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28</w:t>
      </w:r>
      <w:r w:rsidR="00A81F61" w:rsidRPr="00C66C24">
        <w:rPr>
          <w:sz w:val="20"/>
          <w:szCs w:val="20"/>
        </w:rPr>
        <w:fldChar w:fldCharType="end"/>
      </w:r>
      <w:bookmarkEnd w:id="138"/>
      <w:r w:rsidRPr="00C66C24">
        <w:rPr>
          <w:sz w:val="20"/>
          <w:szCs w:val="20"/>
        </w:rPr>
        <w:t xml:space="preserve"> Wash water discharges from Open Loop scrubbers per region in EU waters.</w:t>
      </w:r>
    </w:p>
    <w:p w14:paraId="24D66E64" w14:textId="37DEC279" w:rsidR="004E32F0" w:rsidRPr="00C66C24" w:rsidRDefault="14736A8B" w:rsidP="00786278">
      <w:pPr>
        <w:spacing w:before="0" w:after="120" w:line="257" w:lineRule="auto"/>
        <w:jc w:val="center"/>
        <w:rPr>
          <w:sz w:val="20"/>
          <w:szCs w:val="20"/>
        </w:rPr>
      </w:pPr>
      <w:r w:rsidRPr="00C66C24">
        <w:rPr>
          <w:sz w:val="20"/>
          <w:szCs w:val="20"/>
        </w:rPr>
        <w:t>Source: STEAM, FMI</w:t>
      </w:r>
      <w:r w:rsidR="002544D3" w:rsidRPr="00C66C24">
        <w:rPr>
          <w:sz w:val="20"/>
          <w:szCs w:val="20"/>
        </w:rPr>
        <w:t>.</w:t>
      </w:r>
    </w:p>
    <w:p w14:paraId="2F545790" w14:textId="77777777" w:rsidR="00EE116F" w:rsidRPr="00C66C24" w:rsidRDefault="00EE116F" w:rsidP="008C6A9C">
      <w:pPr>
        <w:spacing w:line="257" w:lineRule="auto"/>
        <w:rPr>
          <w:rFonts w:ascii="Calibri" w:eastAsia="Calibri" w:hAnsi="Calibri" w:cs="Calibri"/>
          <w:b/>
          <w:bCs/>
          <w:color w:val="000000" w:themeColor="text1"/>
        </w:rPr>
      </w:pPr>
      <w:r w:rsidRPr="00C66C24">
        <w:rPr>
          <w:rFonts w:ascii="Calibri" w:eastAsia="Calibri" w:hAnsi="Calibri" w:cs="Calibri"/>
          <w:b/>
          <w:bCs/>
          <w:color w:val="000000" w:themeColor="text1"/>
        </w:rPr>
        <w:t xml:space="preserve">Exhaust Gas Cleaning Systems’ residues </w:t>
      </w:r>
    </w:p>
    <w:p w14:paraId="51AFFD50" w14:textId="5F6D91FF" w:rsidR="00EE116F" w:rsidRPr="00C66C24" w:rsidRDefault="00C22C80" w:rsidP="00386318">
      <w:pPr>
        <w:spacing w:before="0" w:after="0" w:line="257" w:lineRule="auto"/>
      </w:pPr>
      <w:r>
        <w:rPr>
          <w:rFonts w:ascii="Calibri" w:eastAsia="Calibri" w:hAnsi="Calibri" w:cs="Calibri"/>
          <w:color w:val="000000" w:themeColor="text1"/>
        </w:rPr>
        <w:t>W</w:t>
      </w:r>
      <w:r w:rsidRPr="00C66C24">
        <w:rPr>
          <w:rFonts w:ascii="Calibri" w:eastAsia="Calibri" w:hAnsi="Calibri" w:cs="Calibri"/>
          <w:color w:val="000000" w:themeColor="text1"/>
        </w:rPr>
        <w:t xml:space="preserve">ash waters </w:t>
      </w:r>
      <w:r>
        <w:rPr>
          <w:rFonts w:ascii="Calibri" w:eastAsia="Calibri" w:hAnsi="Calibri" w:cs="Calibri"/>
          <w:color w:val="000000" w:themeColor="text1"/>
        </w:rPr>
        <w:t>d</w:t>
      </w:r>
      <w:r w:rsidR="00EE116F" w:rsidRPr="00C66C24">
        <w:rPr>
          <w:rFonts w:ascii="Calibri" w:eastAsia="Calibri" w:hAnsi="Calibri" w:cs="Calibri"/>
          <w:color w:val="000000" w:themeColor="text1"/>
        </w:rPr>
        <w:t xml:space="preserve">ischarges are allowed to be </w:t>
      </w:r>
      <w:r>
        <w:rPr>
          <w:rFonts w:ascii="Calibri" w:eastAsia="Calibri" w:hAnsi="Calibri" w:cs="Calibri"/>
          <w:color w:val="000000" w:themeColor="text1"/>
        </w:rPr>
        <w:t>released</w:t>
      </w:r>
      <w:r w:rsidR="00EE116F" w:rsidRPr="00C66C24">
        <w:rPr>
          <w:rFonts w:ascii="Calibri" w:eastAsia="Calibri" w:hAnsi="Calibri" w:cs="Calibri"/>
          <w:color w:val="000000" w:themeColor="text1"/>
        </w:rPr>
        <w:t xml:space="preserve"> outside areas with a </w:t>
      </w:r>
      <w:r w:rsidR="00482CBA">
        <w:rPr>
          <w:rFonts w:ascii="Calibri" w:eastAsia="Calibri" w:hAnsi="Calibri" w:cs="Calibri"/>
          <w:color w:val="000000" w:themeColor="text1"/>
        </w:rPr>
        <w:t>specific</w:t>
      </w:r>
      <w:r w:rsidR="00EE116F" w:rsidRPr="00C66C24">
        <w:rPr>
          <w:rFonts w:ascii="Calibri" w:eastAsia="Calibri" w:hAnsi="Calibri" w:cs="Calibri"/>
          <w:color w:val="000000" w:themeColor="text1"/>
        </w:rPr>
        <w:t xml:space="preserve"> ban. On the other hand, </w:t>
      </w:r>
      <w:r w:rsidR="00482CBA">
        <w:rPr>
          <w:rFonts w:ascii="Calibri" w:eastAsia="Calibri" w:hAnsi="Calibri" w:cs="Calibri"/>
          <w:color w:val="000000" w:themeColor="text1"/>
        </w:rPr>
        <w:t xml:space="preserve">both </w:t>
      </w:r>
      <w:r w:rsidR="00E604A8">
        <w:rPr>
          <w:rFonts w:ascii="Calibri" w:eastAsia="Calibri" w:hAnsi="Calibri" w:cs="Calibri"/>
          <w:color w:val="000000" w:themeColor="text1"/>
        </w:rPr>
        <w:t>wash waters in areas where bans are in force and</w:t>
      </w:r>
      <w:r w:rsidR="00EE116F" w:rsidRPr="00C66C24">
        <w:rPr>
          <w:rFonts w:ascii="Calibri" w:eastAsia="Calibri" w:hAnsi="Calibri" w:cs="Calibri"/>
          <w:color w:val="000000" w:themeColor="text1"/>
        </w:rPr>
        <w:t xml:space="preserve"> discharge residues from the scrubbing process should be kept onboard to be delivered in port reception facilities</w:t>
      </w:r>
      <w:r w:rsidR="00FB265A" w:rsidRPr="00C66C24">
        <w:rPr>
          <w:rStyle w:val="FootnoteReference"/>
          <w:rFonts w:ascii="Calibri" w:eastAsia="Calibri" w:hAnsi="Calibri" w:cs="Calibri"/>
          <w:color w:val="000000" w:themeColor="text1"/>
        </w:rPr>
        <w:footnoteReference w:id="11"/>
      </w:r>
      <w:r w:rsidR="00C03F7C" w:rsidRPr="00C66C24">
        <w:rPr>
          <w:rFonts w:ascii="Calibri" w:eastAsia="Calibri" w:hAnsi="Calibri" w:cs="Calibri"/>
          <w:color w:val="000000" w:themeColor="text1"/>
        </w:rPr>
        <w:t>.</w:t>
      </w:r>
      <w:r w:rsidR="00EE116F" w:rsidRPr="00C66C24">
        <w:rPr>
          <w:rFonts w:ascii="Calibri" w:eastAsia="Calibri" w:hAnsi="Calibri" w:cs="Calibri"/>
          <w:color w:val="000000" w:themeColor="text1"/>
        </w:rPr>
        <w:t xml:space="preserve"> Within this context, the majority of the water resulting </w:t>
      </w:r>
      <w:r w:rsidR="00E604A8">
        <w:rPr>
          <w:rFonts w:ascii="Calibri" w:eastAsia="Calibri" w:hAnsi="Calibri" w:cs="Calibri"/>
          <w:color w:val="000000" w:themeColor="text1"/>
        </w:rPr>
        <w:t>from</w:t>
      </w:r>
      <w:r w:rsidR="00EE116F" w:rsidRPr="00C66C24">
        <w:rPr>
          <w:rFonts w:ascii="Calibri" w:eastAsia="Calibri" w:hAnsi="Calibri" w:cs="Calibri"/>
          <w:color w:val="000000" w:themeColor="text1"/>
        </w:rPr>
        <w:t xml:space="preserve"> close-loop scrubbers (except the bleed-off) is kept in a sludge tank and later disposed in port reception facilities</w:t>
      </w:r>
      <w:r w:rsidR="00565B41" w:rsidRPr="00C66C24">
        <w:rPr>
          <w:rFonts w:ascii="Calibri" w:eastAsia="Calibri" w:hAnsi="Calibri" w:cs="Calibri"/>
          <w:color w:val="000000" w:themeColor="text1"/>
        </w:rPr>
        <w:t xml:space="preserve"> </w:t>
      </w:r>
      <w:r w:rsidR="003C6577" w:rsidRPr="00C66C24">
        <w:rPr>
          <w:rFonts w:ascii="Calibri" w:eastAsia="Calibri" w:hAnsi="Calibri" w:cs="Calibri"/>
          <w:color w:val="000000" w:themeColor="text1"/>
        </w:rPr>
        <w:fldChar w:fldCharType="begin"/>
      </w:r>
      <w:r w:rsidR="003C6577" w:rsidRPr="00C66C24">
        <w:rPr>
          <w:rFonts w:ascii="Calibri" w:eastAsia="Calibri" w:hAnsi="Calibri" w:cs="Calibri"/>
          <w:color w:val="000000" w:themeColor="text1"/>
        </w:rPr>
        <w:instrText xml:space="preserve"> ADDIN ZOTERO_ITEM CSL_CITATION {"citationID":"a2f9hro7jio","properties":{"formattedCitation":"\\uldash{(IMO, 2022)}","plainCitation":"(IMO, 2022)","noteIndex":0},"citationItems":[{"id":21752,"uris":["http://zotero.org/groups/122386/items/WMC8QH5Z"],"itemData":{"id":21752,"type":"document","publisher":"International Maritime Organization","title":"MEPC.1/Circ.900. 2022 Guidelines Regarding the Delivery of EGCS residues to Port Reception Facilities","author":[{"family":"IMO","given":""}],"issued":{"date-parts":[["2022"]]}}}],"schema":"https://github.com/citation-style-language/schema/raw/master/csl-citation.json"} </w:instrText>
      </w:r>
      <w:r w:rsidR="003C6577" w:rsidRPr="00C66C24">
        <w:rPr>
          <w:rFonts w:ascii="Calibri" w:eastAsia="Calibri" w:hAnsi="Calibri" w:cs="Calibri"/>
          <w:color w:val="000000" w:themeColor="text1"/>
        </w:rPr>
        <w:fldChar w:fldCharType="separate"/>
      </w:r>
      <w:r w:rsidR="003C6577" w:rsidRPr="00C66C24">
        <w:rPr>
          <w:rFonts w:ascii="Calibri" w:hAnsi="Calibri" w:cs="Calibri"/>
        </w:rPr>
        <w:t xml:space="preserve">(IMO, </w:t>
      </w:r>
      <w:r w:rsidR="00D50028">
        <w:rPr>
          <w:rFonts w:ascii="Calibri" w:hAnsi="Calibri" w:cs="Calibri"/>
        </w:rPr>
        <w:t>2022b</w:t>
      </w:r>
      <w:r w:rsidR="003C6577" w:rsidRPr="00C66C24">
        <w:rPr>
          <w:rFonts w:ascii="Calibri" w:hAnsi="Calibri" w:cs="Calibri"/>
        </w:rPr>
        <w:t>)</w:t>
      </w:r>
      <w:r w:rsidR="003C6577" w:rsidRPr="00C66C24">
        <w:rPr>
          <w:rFonts w:ascii="Calibri" w:eastAsia="Calibri" w:hAnsi="Calibri" w:cs="Calibri"/>
          <w:color w:val="000000" w:themeColor="text1"/>
        </w:rPr>
        <w:fldChar w:fldCharType="end"/>
      </w:r>
      <w:r w:rsidR="00EE116F" w:rsidRPr="00C66C24">
        <w:rPr>
          <w:rFonts w:ascii="Calibri" w:eastAsia="Calibri" w:hAnsi="Calibri" w:cs="Calibri"/>
          <w:color w:val="000000" w:themeColor="text1"/>
        </w:rPr>
        <w:t>.</w:t>
      </w:r>
      <w:r w:rsidR="00EE116F" w:rsidRPr="00C66C24">
        <w:fldChar w:fldCharType="begin"/>
      </w:r>
      <w:r w:rsidR="00EE116F" w:rsidRPr="00C66C24">
        <w:instrText xml:space="preserve"> ADDIN ZOTERO_ITEM CSL_CITATION {"citationID":"QmLi7Mb7","properties":{"formattedCitation":"(Lunde Hermansson et al., 2021)","plainCitation":"(Lunde Hermansson et al., 2021)","dontUpdate":true,"noteIndex":0},"citationItems":[{"id":21759,"uris":["http://zotero.org/groups/122386/items/SEM4DG2B"],"itemData":{"id":21759,"type":"article-journal","abstract":"In January 2020, new global regulations were implemented to limit the maximum sulphur content in marine fuels. As an alternative to switch to compliant fuels, the regulations allow for installations of exhaust gas cleaning systems, e.g. scrubbers, that enables a continued use of less expensive heavy fuel oils (HFOs). Characterization of scrubber discharge water shows that the acidified water also becomes enriched with contaminants, and large quantities of metals and polyaromatic hydrocarbons (PAHs) are thus being discharged directly to the marine environment. When emissions of contaminants to the atmosphere and the marine environment are evaluated simultaneously, the results show that HFO, with scrubbers installed, generates higher emission factors of both metals and PAHs compared to MGO. This highlights the importance of including both the marine and the atmospheric perspective when comparing environmental loads and impact of contaminants from shipping.","container-title":"Transportation Research Part D: Transport and Environment","DOI":"10.1016/j.trd.2021.102912","ISSN":"1361-9209","journalAbbreviation":"Transportation Research Part D: Transport and Environment","page":"102912","title":"Comparing emissions of polyaromatic hydrocarbons and metals from marine fuels and scrubbers","volume":"97","author":[{"family":"Lunde Hermansson","given":"Anna"},{"family":"Hassellöv","given":"Ida-Maja"},{"family":"Moldanová","given":"Jana"},{"family":"Ytreberg","given":"Erik"}],"issued":{"date-parts":[["2021",8,1]]}}}],"schema":"https://github.com/citation-style-language/schema/raw/master/csl-citation.json"} </w:instrText>
      </w:r>
      <w:r w:rsidR="00D77731" w:rsidRPr="00C66C24">
        <w:fldChar w:fldCharType="separate"/>
      </w:r>
      <w:r w:rsidR="00EE116F" w:rsidRPr="00C66C24">
        <w:fldChar w:fldCharType="end"/>
      </w:r>
      <w:r w:rsidR="00EE116F" w:rsidRPr="00C66C24">
        <w:t xml:space="preserve"> </w:t>
      </w:r>
    </w:p>
    <w:p w14:paraId="77712CC4" w14:textId="09632510" w:rsidR="0037266F" w:rsidRPr="00C66C24" w:rsidRDefault="00EE116F" w:rsidP="00A3298F">
      <w:pPr>
        <w:spacing w:before="0" w:after="120" w:line="257" w:lineRule="auto"/>
      </w:pPr>
      <w:r w:rsidRPr="00C66C24">
        <w:t>The P</w:t>
      </w:r>
      <w:r w:rsidR="00CD1A7C">
        <w:t xml:space="preserve">ort </w:t>
      </w:r>
      <w:r w:rsidRPr="00C66C24">
        <w:t>R</w:t>
      </w:r>
      <w:r w:rsidR="00CD1A7C">
        <w:t xml:space="preserve">eception </w:t>
      </w:r>
      <w:r w:rsidRPr="00C66C24">
        <w:t>F</w:t>
      </w:r>
      <w:r w:rsidR="00CD1A7C">
        <w:t>acility</w:t>
      </w:r>
      <w:r w:rsidRPr="00C66C24">
        <w:t xml:space="preserve"> </w:t>
      </w:r>
      <w:r w:rsidR="00CD1A7C">
        <w:t xml:space="preserve">(PRF) </w:t>
      </w:r>
      <w:r w:rsidRPr="00C66C24">
        <w:t>Directive includes the reception of EGCS residues as part of the MARPOL Annex VI - Air Pollution. Preliminary analysis from the PRF data shows that in 2022, a total volume of 1,405 m</w:t>
      </w:r>
      <w:r w:rsidRPr="00C66C24">
        <w:rPr>
          <w:vertAlign w:val="superscript"/>
        </w:rPr>
        <w:t>3</w:t>
      </w:r>
      <w:r w:rsidRPr="00C66C24">
        <w:t xml:space="preserve"> was delivered to ports in Europe, representing a 0.87% share of total volumes reported to PRF.</w:t>
      </w:r>
    </w:p>
    <w:p w14:paraId="4BCF6153" w14:textId="1B7517E1" w:rsidR="00482E55" w:rsidRPr="00C66C24" w:rsidRDefault="00F773B0" w:rsidP="008C6A9C">
      <w:pPr>
        <w:spacing w:line="257" w:lineRule="auto"/>
        <w:rPr>
          <w:rFonts w:ascii="Calibri" w:eastAsia="Calibri" w:hAnsi="Calibri" w:cs="Calibri"/>
          <w:b/>
          <w:bCs/>
          <w:color w:val="000000" w:themeColor="text1"/>
        </w:rPr>
      </w:pPr>
      <w:r w:rsidRPr="00C66C24">
        <w:rPr>
          <w:rFonts w:ascii="Calibri" w:eastAsia="Calibri" w:hAnsi="Calibri" w:cs="Calibri"/>
          <w:b/>
          <w:color w:val="000000" w:themeColor="text1"/>
        </w:rPr>
        <w:t xml:space="preserve">Addressing the negative </w:t>
      </w:r>
      <w:r w:rsidR="008A3AA3" w:rsidRPr="00C66C24">
        <w:rPr>
          <w:rFonts w:ascii="Calibri" w:eastAsia="Calibri" w:hAnsi="Calibri" w:cs="Calibri"/>
          <w:b/>
          <w:color w:val="000000" w:themeColor="text1"/>
        </w:rPr>
        <w:t>imp</w:t>
      </w:r>
      <w:r w:rsidR="00CA739E" w:rsidRPr="00C66C24">
        <w:rPr>
          <w:rFonts w:ascii="Calibri" w:eastAsia="Calibri" w:hAnsi="Calibri" w:cs="Calibri"/>
          <w:b/>
          <w:color w:val="000000" w:themeColor="text1"/>
        </w:rPr>
        <w:t>acts</w:t>
      </w:r>
      <w:r w:rsidR="008A3AA3" w:rsidRPr="00C66C24">
        <w:rPr>
          <w:rFonts w:ascii="Calibri" w:eastAsia="Calibri" w:hAnsi="Calibri" w:cs="Calibri"/>
          <w:b/>
          <w:color w:val="000000" w:themeColor="text1"/>
        </w:rPr>
        <w:t xml:space="preserve"> of </w:t>
      </w:r>
      <w:r w:rsidRPr="00C66C24">
        <w:rPr>
          <w:rFonts w:ascii="Calibri" w:eastAsia="Calibri" w:hAnsi="Calibri" w:cs="Calibri"/>
          <w:b/>
          <w:color w:val="000000" w:themeColor="text1"/>
        </w:rPr>
        <w:t xml:space="preserve">the discharge waters from </w:t>
      </w:r>
      <w:r w:rsidR="00482E55" w:rsidRPr="00C66C24">
        <w:rPr>
          <w:rFonts w:ascii="Calibri" w:hAnsi="Calibri"/>
          <w:b/>
          <w:color w:val="000000" w:themeColor="text1"/>
        </w:rPr>
        <w:t>Exhaust Gas Cleaning Systems</w:t>
      </w:r>
    </w:p>
    <w:p w14:paraId="6DD58C62" w14:textId="6F57D4FF" w:rsidR="0037266F" w:rsidRPr="00C66C24" w:rsidRDefault="0037266F" w:rsidP="008C6A9C">
      <w:pPr>
        <w:spacing w:before="0" w:after="0" w:line="257" w:lineRule="auto"/>
        <w:rPr>
          <w:rFonts w:ascii="Calibri" w:eastAsia="Calibri" w:hAnsi="Calibri" w:cs="Calibri"/>
          <w:color w:val="000000" w:themeColor="text1"/>
        </w:rPr>
      </w:pPr>
      <w:r w:rsidRPr="00C66C24">
        <w:rPr>
          <w:rFonts w:ascii="Calibri" w:eastAsia="Calibri" w:hAnsi="Calibri" w:cs="Calibri"/>
          <w:color w:val="000000" w:themeColor="text1"/>
        </w:rPr>
        <w:t xml:space="preserve">To avoid the shift of pollution from air to the marine environment by the use of EGCS, one solution would be to phase-out HFO and to </w:t>
      </w:r>
      <w:r w:rsidR="00DF5980" w:rsidRPr="00C66C24">
        <w:rPr>
          <w:rFonts w:ascii="Calibri" w:eastAsia="Calibri" w:hAnsi="Calibri" w:cs="Calibri"/>
          <w:color w:val="000000" w:themeColor="text1"/>
        </w:rPr>
        <w:t>switch</w:t>
      </w:r>
      <w:r w:rsidRPr="00C66C24">
        <w:rPr>
          <w:rFonts w:ascii="Calibri" w:eastAsia="Calibri" w:hAnsi="Calibri" w:cs="Calibri"/>
          <w:color w:val="000000" w:themeColor="text1"/>
        </w:rPr>
        <w:t xml:space="preserve"> to compliant </w:t>
      </w:r>
      <w:r w:rsidR="00C9410A" w:rsidRPr="00C66C24">
        <w:rPr>
          <w:rFonts w:ascii="Calibri" w:eastAsia="Calibri" w:hAnsi="Calibri" w:cs="Calibri"/>
          <w:color w:val="000000" w:themeColor="text1"/>
        </w:rPr>
        <w:t>fuels.</w:t>
      </w:r>
      <w:r w:rsidR="00F101B6"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This solution would not only avoid the </w:t>
      </w:r>
      <w:r w:rsidR="00C47840">
        <w:rPr>
          <w:rFonts w:ascii="Calibri" w:eastAsia="Calibri" w:hAnsi="Calibri" w:cs="Calibri"/>
          <w:color w:val="000000" w:themeColor="text1"/>
        </w:rPr>
        <w:t xml:space="preserve">abovementioned </w:t>
      </w:r>
      <w:r w:rsidRPr="00C66C24">
        <w:rPr>
          <w:rFonts w:ascii="Calibri" w:eastAsia="Calibri" w:hAnsi="Calibri" w:cs="Calibri"/>
          <w:color w:val="000000" w:themeColor="text1"/>
        </w:rPr>
        <w:t xml:space="preserve">pollution </w:t>
      </w:r>
      <w:r w:rsidR="00C47840">
        <w:rPr>
          <w:rFonts w:ascii="Calibri" w:eastAsia="Calibri" w:hAnsi="Calibri" w:cs="Calibri"/>
          <w:color w:val="000000" w:themeColor="text1"/>
        </w:rPr>
        <w:t>shift</w:t>
      </w:r>
      <w:r w:rsidRPr="00C66C24">
        <w:rPr>
          <w:rFonts w:ascii="Calibri" w:eastAsia="Calibri" w:hAnsi="Calibri" w:cs="Calibri"/>
          <w:color w:val="000000" w:themeColor="text1"/>
        </w:rPr>
        <w:t xml:space="preserve"> but </w:t>
      </w:r>
      <w:r w:rsidR="00C47840">
        <w:rPr>
          <w:rFonts w:ascii="Calibri" w:eastAsia="Calibri" w:hAnsi="Calibri" w:cs="Calibri"/>
          <w:color w:val="000000" w:themeColor="text1"/>
        </w:rPr>
        <w:t xml:space="preserve">would </w:t>
      </w:r>
      <w:r w:rsidRPr="00C66C24">
        <w:rPr>
          <w:rFonts w:ascii="Calibri" w:eastAsia="Calibri" w:hAnsi="Calibri" w:cs="Calibri"/>
          <w:color w:val="000000" w:themeColor="text1"/>
        </w:rPr>
        <w:t xml:space="preserve">also avoid the risk </w:t>
      </w:r>
      <w:r w:rsidR="00DF5980" w:rsidRPr="00C66C24">
        <w:rPr>
          <w:rFonts w:ascii="Calibri" w:eastAsia="Calibri" w:hAnsi="Calibri" w:cs="Calibri"/>
          <w:color w:val="000000" w:themeColor="text1"/>
        </w:rPr>
        <w:t xml:space="preserve">of </w:t>
      </w:r>
      <w:r w:rsidR="00C9410A" w:rsidRPr="00C66C24">
        <w:rPr>
          <w:rFonts w:ascii="Calibri" w:eastAsia="Calibri" w:hAnsi="Calibri" w:cs="Calibri"/>
          <w:color w:val="000000" w:themeColor="text1"/>
        </w:rPr>
        <w:t xml:space="preserve">HFO </w:t>
      </w:r>
      <w:r w:rsidR="00DF5980" w:rsidRPr="00C66C24">
        <w:rPr>
          <w:rFonts w:ascii="Calibri" w:eastAsia="Calibri" w:hAnsi="Calibri" w:cs="Calibri"/>
          <w:color w:val="000000" w:themeColor="text1"/>
        </w:rPr>
        <w:t>spills</w:t>
      </w:r>
      <w:r w:rsidR="003B2BE8" w:rsidRPr="00C66C24">
        <w:rPr>
          <w:rFonts w:ascii="Calibri" w:eastAsia="Calibri" w:hAnsi="Calibri" w:cs="Calibri"/>
          <w:color w:val="000000" w:themeColor="text1"/>
        </w:rPr>
        <w:t xml:space="preserve"> </w:t>
      </w:r>
      <w:r w:rsidR="00C9410A" w:rsidRPr="00C66C24">
        <w:rPr>
          <w:rFonts w:ascii="Calibri" w:eastAsia="Calibri" w:hAnsi="Calibri" w:cs="Calibri"/>
          <w:color w:val="000000" w:themeColor="text1"/>
        </w:rPr>
        <w:t>which</w:t>
      </w:r>
      <w:r w:rsidRPr="00C66C24">
        <w:rPr>
          <w:rFonts w:ascii="Calibri" w:eastAsia="Calibri" w:hAnsi="Calibri" w:cs="Calibri"/>
          <w:color w:val="000000" w:themeColor="text1"/>
        </w:rPr>
        <w:t xml:space="preserve"> </w:t>
      </w:r>
      <w:r w:rsidR="007438FA">
        <w:rPr>
          <w:rFonts w:ascii="Calibri" w:eastAsia="Calibri" w:hAnsi="Calibri" w:cs="Calibri"/>
          <w:color w:val="000000" w:themeColor="text1"/>
        </w:rPr>
        <w:t xml:space="preserve">can </w:t>
      </w:r>
      <w:r w:rsidRPr="00C66C24">
        <w:rPr>
          <w:rFonts w:ascii="Calibri" w:eastAsia="Calibri" w:hAnsi="Calibri" w:cs="Calibri"/>
          <w:color w:val="000000" w:themeColor="text1"/>
        </w:rPr>
        <w:t>result</w:t>
      </w:r>
      <w:r w:rsidR="00DF5980"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in </w:t>
      </w:r>
      <w:r w:rsidR="00C47840">
        <w:rPr>
          <w:rFonts w:ascii="Calibri" w:eastAsia="Calibri" w:hAnsi="Calibri" w:cs="Calibri"/>
          <w:color w:val="000000" w:themeColor="text1"/>
        </w:rPr>
        <w:t>severe</w:t>
      </w:r>
      <w:r w:rsidRPr="00C66C24">
        <w:rPr>
          <w:rFonts w:ascii="Calibri" w:eastAsia="Calibri" w:hAnsi="Calibri" w:cs="Calibri"/>
          <w:color w:val="000000" w:themeColor="text1"/>
        </w:rPr>
        <w:t xml:space="preserve"> environmental and economic consequences. </w:t>
      </w:r>
      <w:r w:rsidR="00C9410A" w:rsidRPr="00C66C24">
        <w:rPr>
          <w:rFonts w:ascii="Calibri" w:eastAsia="Calibri" w:hAnsi="Calibri" w:cs="Calibri"/>
          <w:color w:val="000000" w:themeColor="text1"/>
        </w:rPr>
        <w:t>In the case of</w:t>
      </w:r>
      <w:r w:rsidRPr="00C66C24">
        <w:rPr>
          <w:rFonts w:ascii="Calibri" w:eastAsia="Calibri" w:hAnsi="Calibri" w:cs="Calibri"/>
          <w:color w:val="000000" w:themeColor="text1"/>
        </w:rPr>
        <w:t xml:space="preserve"> </w:t>
      </w:r>
      <w:r w:rsidR="00C9410A" w:rsidRPr="00C66C24">
        <w:rPr>
          <w:rFonts w:ascii="Calibri" w:eastAsia="Calibri" w:hAnsi="Calibri" w:cs="Calibri"/>
          <w:color w:val="000000" w:themeColor="text1"/>
        </w:rPr>
        <w:t>spills of</w:t>
      </w:r>
      <w:r w:rsidRPr="00C66C24">
        <w:rPr>
          <w:rFonts w:ascii="Calibri" w:eastAsia="Calibri" w:hAnsi="Calibri" w:cs="Calibri"/>
          <w:color w:val="000000" w:themeColor="text1"/>
        </w:rPr>
        <w:t xml:space="preserve"> </w:t>
      </w:r>
      <w:r w:rsidR="00C9410A" w:rsidRPr="00C66C24">
        <w:rPr>
          <w:rFonts w:ascii="Calibri" w:eastAsia="Calibri" w:hAnsi="Calibri" w:cs="Calibri"/>
          <w:color w:val="000000" w:themeColor="text1"/>
        </w:rPr>
        <w:t xml:space="preserve">compliant </w:t>
      </w:r>
      <w:r w:rsidRPr="00C66C24">
        <w:rPr>
          <w:rFonts w:ascii="Calibri" w:eastAsia="Calibri" w:hAnsi="Calibri" w:cs="Calibri"/>
          <w:color w:val="000000" w:themeColor="text1"/>
        </w:rPr>
        <w:t>low-sulphur blend</w:t>
      </w:r>
      <w:r w:rsidR="00C9410A" w:rsidRPr="00C66C24">
        <w:rPr>
          <w:rFonts w:ascii="Calibri" w:eastAsia="Calibri" w:hAnsi="Calibri" w:cs="Calibri"/>
          <w:color w:val="000000" w:themeColor="text1"/>
        </w:rPr>
        <w:t>s</w:t>
      </w:r>
      <w:r w:rsidRPr="00C66C24">
        <w:rPr>
          <w:rFonts w:ascii="Calibri" w:eastAsia="Calibri" w:hAnsi="Calibri" w:cs="Calibri"/>
          <w:color w:val="000000" w:themeColor="text1"/>
        </w:rPr>
        <w:t xml:space="preserve"> </w:t>
      </w:r>
      <w:r w:rsidR="00C9410A" w:rsidRPr="00C66C24">
        <w:rPr>
          <w:rFonts w:ascii="Calibri" w:eastAsia="Calibri" w:hAnsi="Calibri" w:cs="Calibri"/>
          <w:color w:val="000000" w:themeColor="text1"/>
        </w:rPr>
        <w:t>(</w:t>
      </w:r>
      <w:r w:rsidR="00C243DC" w:rsidRPr="00C66C24">
        <w:rPr>
          <w:rFonts w:ascii="Calibri" w:eastAsia="Calibri" w:hAnsi="Calibri" w:cs="Calibri"/>
          <w:color w:val="000000" w:themeColor="text1"/>
        </w:rPr>
        <w:t>hybrid</w:t>
      </w:r>
      <w:r w:rsidRPr="00C66C24">
        <w:rPr>
          <w:rFonts w:ascii="Calibri" w:eastAsia="Calibri" w:hAnsi="Calibri" w:cs="Calibri"/>
          <w:color w:val="000000" w:themeColor="text1"/>
        </w:rPr>
        <w:t xml:space="preserve"> fuels</w:t>
      </w:r>
      <w:r w:rsidR="00C9410A"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the</w:t>
      </w:r>
      <w:r w:rsidR="00C9410A" w:rsidRPr="00C66C24">
        <w:rPr>
          <w:rFonts w:ascii="Calibri" w:eastAsia="Calibri" w:hAnsi="Calibri" w:cs="Calibri"/>
          <w:color w:val="000000" w:themeColor="text1"/>
        </w:rPr>
        <w:t>re is a</w:t>
      </w:r>
      <w:r w:rsidRPr="00C66C24">
        <w:rPr>
          <w:rFonts w:ascii="Calibri" w:eastAsia="Calibri" w:hAnsi="Calibri" w:cs="Calibri"/>
          <w:color w:val="000000" w:themeColor="text1"/>
        </w:rPr>
        <w:t xml:space="preserve"> risk of not being compatible with the available oil spill clean-up equipment even if the fuel physical properties are defined under ISO 8217 standard</w:t>
      </w:r>
      <w:r w:rsidR="006C6FAA" w:rsidRPr="00C66C24">
        <w:rPr>
          <w:rFonts w:ascii="Calibri" w:eastAsia="Calibri" w:hAnsi="Calibri" w:cs="Calibri"/>
          <w:color w:val="000000" w:themeColor="text1"/>
        </w:rPr>
        <w:t xml:space="preserve"> </w:t>
      </w:r>
      <w:r w:rsidR="006C6FAA"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{"citationID":"a9qqmostg3","properties":{"formattedCitation":"(J\\uc0\\u246{}nander &amp; Dahll\\uc0\\u246{}f, 2020)","plainCitation":"(Jönander &amp; Dahllöf, 2020)","noteIndex":0},"citationItems":[{"id":59454,"uris":["http://zotero.org/groups/122386/items/G9EX8SDJ"],"itemData":{"id":59454,"type":"article-journal","container-title":"Aquatic Toxicology","DOI":"10.1016/j.aquatox.2020.105592","ISSN":"0166445X","journalAbbreviation":"Aquatic Toxicology","language":"en","page":"105592","source":"DOI.org (Crossref)","title":"Short and long-term effects of low-sulphur fuels on marine zooplankton communities","volume":"227","author":[{"family":"Jönander","given":"Christina"},{"family":"Dahllöf","given":"Ingela"}],"issued":{"date-parts":[["2020",10]]}}}],"schema":"https://github.com/citation-style-language/schema/raw/master/csl-citation.json"} </w:instrText>
      </w:r>
      <w:r w:rsidR="006C6FAA" w:rsidRPr="00C66C24">
        <w:rPr>
          <w:rFonts w:ascii="Calibri" w:eastAsia="Calibri" w:hAnsi="Calibri" w:cs="Calibri"/>
          <w:color w:val="000000" w:themeColor="text1"/>
        </w:rPr>
        <w:fldChar w:fldCharType="separate"/>
      </w:r>
      <w:r w:rsidR="001855E3" w:rsidRPr="00C66C24">
        <w:rPr>
          <w:rFonts w:ascii="Calibri" w:hAnsi="Calibri" w:cs="Calibri"/>
        </w:rPr>
        <w:t>(</w:t>
      </w:r>
      <w:proofErr w:type="spellStart"/>
      <w:r w:rsidR="001855E3" w:rsidRPr="00C66C24">
        <w:rPr>
          <w:rFonts w:ascii="Calibri" w:hAnsi="Calibri" w:cs="Calibri"/>
        </w:rPr>
        <w:t>Jönander</w:t>
      </w:r>
      <w:proofErr w:type="spellEnd"/>
      <w:r w:rsidR="001855E3" w:rsidRPr="00C66C24">
        <w:rPr>
          <w:rFonts w:ascii="Calibri" w:hAnsi="Calibri" w:cs="Calibri"/>
        </w:rPr>
        <w:t xml:space="preserve"> &amp; </w:t>
      </w:r>
      <w:proofErr w:type="spellStart"/>
      <w:r w:rsidR="001855E3" w:rsidRPr="00C66C24">
        <w:rPr>
          <w:rFonts w:ascii="Calibri" w:hAnsi="Calibri" w:cs="Calibri"/>
        </w:rPr>
        <w:t>Dahllöf</w:t>
      </w:r>
      <w:proofErr w:type="spellEnd"/>
      <w:r w:rsidR="001855E3" w:rsidRPr="00C66C24">
        <w:rPr>
          <w:rFonts w:ascii="Calibri" w:hAnsi="Calibri" w:cs="Calibri"/>
        </w:rPr>
        <w:t>, 2020)</w:t>
      </w:r>
      <w:r w:rsidR="006C6FAA" w:rsidRPr="00C66C24">
        <w:rPr>
          <w:rFonts w:ascii="Calibri" w:eastAsia="Calibri" w:hAnsi="Calibri" w:cs="Calibri"/>
          <w:color w:val="000000" w:themeColor="text1"/>
        </w:rPr>
        <w:fldChar w:fldCharType="end"/>
      </w:r>
      <w:r w:rsidR="00C95103" w:rsidRPr="00C66C24">
        <w:rPr>
          <w:rFonts w:ascii="Calibri" w:eastAsia="Calibri" w:hAnsi="Calibri" w:cs="Calibri"/>
          <w:color w:val="000000" w:themeColor="text1"/>
        </w:rPr>
        <w:t>.</w:t>
      </w:r>
      <w:r w:rsidR="00C03F7C" w:rsidRPr="00C66C24">
        <w:rPr>
          <w:rFonts w:ascii="Calibri" w:eastAsia="Calibri" w:hAnsi="Calibri" w:cs="Calibri"/>
          <w:color w:val="000000" w:themeColor="text1"/>
        </w:rPr>
        <w:t xml:space="preserve">This supports the preference of cleaner compliant marine fuels (e.g. marine gasoil, LNG, methanol and biofuels) that are reported to not have the same toxic molecules as residual fuels </w:t>
      </w:r>
      <w:r w:rsidR="002A7B45"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{"citationID":"auk19v57m6","properties":{"formattedCitation":"\\uldash{(Hassell\\uc0\\u246{}v et al., 2020; Lunde Hermansson et al., 2021)}","plainCitation":"(Hassellöv et al., 2020; Lunde Hermansson et al., 2021)","dontUpdate":true,"noteIndex":0},"citationItems":[{"id":21761,"uris":["http://zotero.org/groups/122386/items/38FLXCDL"],"itemData":{"id":21761,"type":"book","note":"DOI: 10.17895/ices.pub.7487","title":"Ices viewpoint background document: impact from exhaust gas cleaning systems (scrubbers) on the marine environment (Ad Hoc)","author":[{"family":"Hassellöv","given":"Ida-Maja"},{"family":"Koski","given":"Marja"},{"family":"Broeg","given":"Katja"},{"family":"Marin-Enriquez","given":"Octavio"},{"family":"Tronczyński","given":"Jacek"},{"family":"Dulière","given":"Valérie"},{"family":"Clarke Murray","given":"Cathryn"},{"family":"Bailey","given":"Sarah"},{"family":"Redfern","given":"Jessica"},{"family":"Jong","given":"Karen","non-dropping-particle":"de"},{"family":"Ponzevera","given":"Emmanuel"},{"family":"Belzunce","given":"Maria"},{"family":"Mason","given":"Claire"},{"family":"Iacarella","given":"Josephine"},{"family":"Lyons","given":"Brett"},{"family":"Fernandes","given":"Jose"},{"family":"Parmentier","given":"Koen"}],"issued":{"date-parts":[["2020",9,24]]}}},{"id":21759,"uris":["http://zotero.org/groups/122386/items/SEM4DG2B"],"itemData":{"id":21759,"type":"article-journal","abstract":"In January 2020, new global regulations were implemented to limit the maximum sulphur content in marine fuels. As an alternative to switch to compliant fuels, the regulations allow for installations of exhaust gas cleaning systems, e.g. scrubbers, that enables a continued use of less expensive heavy fuel oils (HFOs). Characterization of scrubber discharge water shows that the acidified water also becomes enriched with contaminants, and large quantities of metals and polyaromatic hydrocarbons (PAHs) are thus being discharged directly to the marine environment. When emissions of contaminants to the atmosphere and the marine environment are evaluated simultaneously, the results show that HFO, with scrubbers installed, generates higher emission factors of both metals and PAHs compared to MGO. This highlights the importance of including both the marine and the atmospheric perspective when comparing environmental loads and impact of contaminants from shipping.","container-title":"Transportation Research Part D: Transport and Environment","DOI":"10.1016/j.trd.2021.102912","ISSN":"1361-9209","journalAbbreviation":"Transportation Research Part D: Transport and Environment","page":"102912","title":"Comparing emissions of polyaromatic hydrocarbons and metals from marine fuels and scrubbers","volume":"97","author":[{"family":"Lunde Hermansson","given":"Anna"},{"family":"Hassellöv","given":"Ida-Maja"},{"family":"Moldanová","given":"Jana"},{"family":"Ytreberg","given":"Erik"}],"issued":{"date-parts":[["2021",8,1]]}}}],"schema":"https://github.com/citation-style-language/schema/raw/master/csl-citation.json"} </w:instrText>
      </w:r>
      <w:r w:rsidR="002A7B45" w:rsidRPr="00C66C24">
        <w:rPr>
          <w:rFonts w:ascii="Calibri" w:eastAsia="Calibri" w:hAnsi="Calibri" w:cs="Calibri"/>
          <w:color w:val="000000" w:themeColor="text1"/>
        </w:rPr>
        <w:fldChar w:fldCharType="separate"/>
      </w:r>
      <w:r w:rsidR="002A7B45" w:rsidRPr="00C66C24">
        <w:rPr>
          <w:rFonts w:ascii="Calibri" w:hAnsi="Calibri" w:cs="Calibri"/>
        </w:rPr>
        <w:t xml:space="preserve">(Hassellöv et al., 2020; </w:t>
      </w:r>
      <w:proofErr w:type="spellStart"/>
      <w:r w:rsidR="002A7B45" w:rsidRPr="00C66C24">
        <w:rPr>
          <w:rFonts w:ascii="Calibri" w:hAnsi="Calibri" w:cs="Calibri"/>
        </w:rPr>
        <w:t>Hermansson</w:t>
      </w:r>
      <w:proofErr w:type="spellEnd"/>
      <w:r w:rsidR="002A7B45" w:rsidRPr="00C66C24">
        <w:rPr>
          <w:rFonts w:ascii="Calibri" w:hAnsi="Calibri" w:cs="Calibri"/>
        </w:rPr>
        <w:t xml:space="preserve"> et al., 2021)</w:t>
      </w:r>
      <w:r w:rsidR="002A7B45" w:rsidRPr="00C66C24">
        <w:rPr>
          <w:rFonts w:ascii="Calibri" w:eastAsia="Calibri" w:hAnsi="Calibri" w:cs="Calibri"/>
          <w:color w:val="000000" w:themeColor="text1"/>
        </w:rPr>
        <w:fldChar w:fldCharType="end"/>
      </w:r>
      <w:r w:rsidR="00C03F7C" w:rsidRPr="00C66C24">
        <w:rPr>
          <w:rFonts w:ascii="Calibri" w:eastAsia="Calibri" w:hAnsi="Calibri" w:cs="Calibri"/>
          <w:color w:val="000000" w:themeColor="text1"/>
        </w:rPr>
        <w:t>.</w:t>
      </w:r>
      <w:r w:rsidR="006B688E" w:rsidRPr="00C66C24">
        <w:rPr>
          <w:rFonts w:ascii="Calibri" w:eastAsia="Calibri" w:hAnsi="Calibri" w:cs="Calibri"/>
          <w:color w:val="000000" w:themeColor="text1"/>
        </w:rPr>
        <w:t xml:space="preserve"> </w:t>
      </w:r>
      <w:r w:rsidR="00C03F7C" w:rsidRPr="00C66C24">
        <w:rPr>
          <w:rFonts w:ascii="Calibri" w:eastAsia="Calibri" w:hAnsi="Calibri" w:cs="Calibri"/>
          <w:iCs w:val="0"/>
          <w:color w:val="000000" w:themeColor="text1"/>
          <w:szCs w:val="22"/>
        </w:rPr>
        <w:t>Shifting to cleaner</w:t>
      </w:r>
      <w:r w:rsidR="00C03F7C" w:rsidRPr="00C66C24" w:rsidDel="003B2BE8">
        <w:rPr>
          <w:rFonts w:ascii="Calibri" w:eastAsia="Calibri" w:hAnsi="Calibri" w:cs="Calibri"/>
          <w:color w:val="000000" w:themeColor="text1"/>
          <w:szCs w:val="22"/>
        </w:rPr>
        <w:t xml:space="preserve"> </w:t>
      </w:r>
      <w:r w:rsidR="00C03F7C" w:rsidRPr="00C66C24">
        <w:rPr>
          <w:rFonts w:ascii="Calibri" w:eastAsia="Calibri" w:hAnsi="Calibri" w:cs="Calibri"/>
          <w:color w:val="000000" w:themeColor="text1"/>
          <w:szCs w:val="22"/>
        </w:rPr>
        <w:t>and more sustainable fuels</w:t>
      </w:r>
      <w:r w:rsidR="00C03F7C" w:rsidRPr="00C66C24" w:rsidDel="00184143">
        <w:rPr>
          <w:rFonts w:ascii="Calibri" w:eastAsia="Calibri" w:hAnsi="Calibri" w:cs="Calibri"/>
          <w:iCs w:val="0"/>
          <w:color w:val="000000" w:themeColor="text1"/>
          <w:szCs w:val="22"/>
        </w:rPr>
        <w:t xml:space="preserve"> </w:t>
      </w:r>
      <w:r w:rsidR="00C03F7C" w:rsidRPr="00C66C24">
        <w:rPr>
          <w:rFonts w:ascii="Calibri" w:eastAsia="Calibri" w:hAnsi="Calibri" w:cs="Calibri"/>
          <w:iCs w:val="0"/>
          <w:color w:val="000000" w:themeColor="text1"/>
          <w:szCs w:val="22"/>
        </w:rPr>
        <w:t>will not only discourage the use of such systems</w:t>
      </w:r>
      <w:r w:rsidR="00664979">
        <w:rPr>
          <w:rFonts w:ascii="Calibri" w:eastAsia="Calibri" w:hAnsi="Calibri" w:cs="Calibri"/>
          <w:iCs w:val="0"/>
          <w:color w:val="000000" w:themeColor="text1"/>
          <w:szCs w:val="22"/>
        </w:rPr>
        <w:t>,</w:t>
      </w:r>
      <w:r w:rsidR="00C03F7C" w:rsidRPr="00C66C24">
        <w:rPr>
          <w:rFonts w:ascii="Calibri" w:eastAsia="Calibri" w:hAnsi="Calibri" w:cs="Calibri"/>
          <w:iCs w:val="0"/>
          <w:color w:val="000000" w:themeColor="text1"/>
          <w:szCs w:val="22"/>
        </w:rPr>
        <w:t xml:space="preserve"> but also facilitate the adoption of more advanced aftertreatments systems for pollutants such as</w:t>
      </w:r>
      <w:r w:rsidR="00312035" w:rsidRPr="00C66C24">
        <w:rPr>
          <w:rFonts w:ascii="Calibri" w:eastAsia="Calibri" w:hAnsi="Calibri" w:cs="Calibri"/>
          <w:iCs w:val="0"/>
          <w:color w:val="000000" w:themeColor="text1"/>
          <w:szCs w:val="22"/>
        </w:rPr>
        <w:t xml:space="preserve"> selective catalytic reduction (</w:t>
      </w:r>
      <w:r w:rsidR="00C03F7C" w:rsidRPr="00C66C24">
        <w:rPr>
          <w:rFonts w:ascii="Calibri" w:eastAsia="Calibri" w:hAnsi="Calibri" w:cs="Calibri"/>
          <w:iCs w:val="0"/>
          <w:color w:val="000000" w:themeColor="text1"/>
          <w:szCs w:val="22"/>
        </w:rPr>
        <w:t>SCR</w:t>
      </w:r>
      <w:r w:rsidR="00312035" w:rsidRPr="00C66C24">
        <w:rPr>
          <w:rFonts w:ascii="Calibri" w:eastAsia="Calibri" w:hAnsi="Calibri" w:cs="Calibri"/>
          <w:iCs w:val="0"/>
          <w:color w:val="000000" w:themeColor="text1"/>
          <w:szCs w:val="22"/>
        </w:rPr>
        <w:t>)</w:t>
      </w:r>
      <w:r w:rsidR="00C03F7C" w:rsidRPr="00C66C24">
        <w:rPr>
          <w:rFonts w:ascii="Calibri" w:eastAsia="Calibri" w:hAnsi="Calibri" w:cs="Calibri"/>
          <w:iCs w:val="0"/>
          <w:color w:val="000000" w:themeColor="text1"/>
          <w:szCs w:val="22"/>
        </w:rPr>
        <w:t xml:space="preserve"> for NOx reduction.</w:t>
      </w:r>
      <w:r w:rsidR="00C03F7C" w:rsidRPr="00C66C24">
        <w:rPr>
          <w:rFonts w:ascii="Calibri" w:eastAsia="Calibri" w:hAnsi="Calibri" w:cs="Calibri"/>
          <w:color w:val="000000" w:themeColor="text1"/>
        </w:rPr>
        <w:t> </w:t>
      </w:r>
    </w:p>
    <w:p w14:paraId="6874D894" w14:textId="290BBD29" w:rsidR="00C03F7C" w:rsidRPr="00C66C24" w:rsidRDefault="000735C5" w:rsidP="00386318">
      <w:pPr>
        <w:spacing w:before="0" w:after="120" w:line="257" w:lineRule="auto"/>
        <w:rPr>
          <w:rFonts w:ascii="Calibri" w:eastAsia="Calibri" w:hAnsi="Calibri" w:cs="Calibri"/>
          <w:iCs w:val="0"/>
          <w:color w:val="000000" w:themeColor="text1"/>
          <w:szCs w:val="22"/>
        </w:rPr>
      </w:pPr>
      <w:r>
        <w:rPr>
          <w:rFonts w:ascii="Calibri" w:eastAsia="Calibri" w:hAnsi="Calibri" w:cs="Calibri"/>
          <w:iCs w:val="0"/>
          <w:color w:val="000000" w:themeColor="text1"/>
          <w:szCs w:val="22"/>
        </w:rPr>
        <w:t>Ano</w:t>
      </w:r>
      <w:r w:rsidR="0037266F" w:rsidRPr="00C66C24">
        <w:rPr>
          <w:rFonts w:ascii="Calibri" w:eastAsia="Calibri" w:hAnsi="Calibri" w:cs="Calibri"/>
          <w:iCs w:val="0"/>
          <w:color w:val="000000" w:themeColor="text1"/>
          <w:szCs w:val="22"/>
        </w:rPr>
        <w:t xml:space="preserve">ther solution </w:t>
      </w:r>
      <w:r w:rsidR="00B076DA" w:rsidRPr="00C66C24">
        <w:rPr>
          <w:rFonts w:ascii="Calibri" w:eastAsia="Calibri" w:hAnsi="Calibri" w:cs="Calibri"/>
          <w:iCs w:val="0"/>
          <w:color w:val="000000" w:themeColor="text1"/>
          <w:szCs w:val="22"/>
        </w:rPr>
        <w:t xml:space="preserve">is </w:t>
      </w:r>
      <w:r w:rsidR="0037266F" w:rsidRPr="00C66C24">
        <w:rPr>
          <w:rFonts w:ascii="Calibri" w:eastAsia="Calibri" w:hAnsi="Calibri" w:cs="Calibri"/>
          <w:iCs w:val="0"/>
          <w:color w:val="000000" w:themeColor="text1"/>
          <w:szCs w:val="22"/>
        </w:rPr>
        <w:t xml:space="preserve">to restrict the discharge of </w:t>
      </w:r>
      <w:r w:rsidR="00184143" w:rsidRPr="00C66C24">
        <w:rPr>
          <w:rFonts w:ascii="Calibri" w:eastAsia="Calibri" w:hAnsi="Calibri" w:cs="Calibri"/>
          <w:iCs w:val="0"/>
          <w:color w:val="000000" w:themeColor="text1"/>
          <w:szCs w:val="22"/>
        </w:rPr>
        <w:t xml:space="preserve">scrubber </w:t>
      </w:r>
      <w:r w:rsidR="0037266F" w:rsidRPr="00C66C24">
        <w:rPr>
          <w:rFonts w:ascii="Calibri" w:eastAsia="Calibri" w:hAnsi="Calibri" w:cs="Calibri"/>
          <w:iCs w:val="0"/>
          <w:color w:val="000000" w:themeColor="text1"/>
          <w:szCs w:val="22"/>
        </w:rPr>
        <w:t>water</w:t>
      </w:r>
      <w:r w:rsidR="00184143" w:rsidRPr="00C66C24">
        <w:rPr>
          <w:rFonts w:ascii="Calibri" w:eastAsia="Calibri" w:hAnsi="Calibri" w:cs="Calibri"/>
          <w:iCs w:val="0"/>
          <w:color w:val="000000" w:themeColor="text1"/>
          <w:szCs w:val="22"/>
        </w:rPr>
        <w:t>. In</w:t>
      </w:r>
      <w:r w:rsidR="0037266F" w:rsidRPr="00C66C24">
        <w:rPr>
          <w:rFonts w:ascii="Calibri" w:eastAsia="Calibri" w:hAnsi="Calibri" w:cs="Calibri"/>
          <w:iCs w:val="0"/>
          <w:color w:val="000000" w:themeColor="text1"/>
          <w:szCs w:val="22"/>
        </w:rPr>
        <w:t xml:space="preserve"> the case of </w:t>
      </w:r>
      <w:r w:rsidR="00184143" w:rsidRPr="00C66C24">
        <w:rPr>
          <w:rFonts w:ascii="Calibri" w:eastAsia="Calibri" w:hAnsi="Calibri" w:cs="Calibri"/>
          <w:iCs w:val="0"/>
          <w:color w:val="000000" w:themeColor="text1"/>
          <w:szCs w:val="22"/>
        </w:rPr>
        <w:t>open</w:t>
      </w:r>
      <w:r w:rsidR="006B688E" w:rsidRPr="00C66C24">
        <w:rPr>
          <w:rFonts w:ascii="Calibri" w:eastAsia="Calibri" w:hAnsi="Calibri" w:cs="Calibri"/>
          <w:iCs w:val="0"/>
          <w:color w:val="000000" w:themeColor="text1"/>
          <w:szCs w:val="22"/>
        </w:rPr>
        <w:t>-</w:t>
      </w:r>
      <w:r w:rsidR="00184143" w:rsidRPr="00C66C24">
        <w:rPr>
          <w:rFonts w:ascii="Calibri" w:eastAsia="Calibri" w:hAnsi="Calibri" w:cs="Calibri"/>
          <w:iCs w:val="0"/>
          <w:color w:val="000000" w:themeColor="text1"/>
          <w:szCs w:val="22"/>
        </w:rPr>
        <w:t>loop systems, switching to compliant fuels i</w:t>
      </w:r>
      <w:r w:rsidR="007A1871" w:rsidRPr="00C66C24">
        <w:rPr>
          <w:rFonts w:ascii="Calibri" w:eastAsia="Calibri" w:hAnsi="Calibri" w:cs="Calibri"/>
          <w:iCs w:val="0"/>
          <w:color w:val="000000" w:themeColor="text1"/>
          <w:szCs w:val="22"/>
        </w:rPr>
        <w:t>s</w:t>
      </w:r>
      <w:r w:rsidR="00184143" w:rsidRPr="00C66C24">
        <w:rPr>
          <w:rFonts w:ascii="Calibri" w:eastAsia="Calibri" w:hAnsi="Calibri" w:cs="Calibri"/>
          <w:iCs w:val="0"/>
          <w:color w:val="000000" w:themeColor="text1"/>
          <w:szCs w:val="22"/>
        </w:rPr>
        <w:t xml:space="preserve"> required to comply with this measure.</w:t>
      </w:r>
      <w:r w:rsidR="003B2BE8" w:rsidRPr="00C66C24">
        <w:rPr>
          <w:rFonts w:ascii="Calibri" w:eastAsia="Calibri" w:hAnsi="Calibri" w:cs="Calibri"/>
          <w:iCs w:val="0"/>
          <w:color w:val="000000" w:themeColor="text1"/>
          <w:szCs w:val="22"/>
        </w:rPr>
        <w:t xml:space="preserve"> </w:t>
      </w:r>
      <w:r w:rsidR="00184143" w:rsidRPr="00C66C24">
        <w:rPr>
          <w:rFonts w:ascii="Calibri" w:eastAsia="Calibri" w:hAnsi="Calibri" w:cs="Calibri"/>
          <w:iCs w:val="0"/>
          <w:color w:val="000000" w:themeColor="text1"/>
          <w:szCs w:val="22"/>
        </w:rPr>
        <w:t>I</w:t>
      </w:r>
      <w:r w:rsidR="0037266F" w:rsidRPr="00C66C24">
        <w:rPr>
          <w:rFonts w:ascii="Calibri" w:eastAsia="Calibri" w:hAnsi="Calibri" w:cs="Calibri"/>
          <w:iCs w:val="0"/>
          <w:color w:val="000000" w:themeColor="text1"/>
          <w:szCs w:val="22"/>
        </w:rPr>
        <w:t xml:space="preserve">n the case of </w:t>
      </w:r>
      <w:r w:rsidR="00184143" w:rsidRPr="00C66C24">
        <w:rPr>
          <w:rFonts w:ascii="Calibri" w:eastAsia="Calibri" w:hAnsi="Calibri" w:cs="Calibri"/>
          <w:iCs w:val="0"/>
          <w:color w:val="000000" w:themeColor="text1"/>
          <w:szCs w:val="22"/>
        </w:rPr>
        <w:t xml:space="preserve">hybrid and </w:t>
      </w:r>
      <w:r w:rsidR="0037266F" w:rsidRPr="00C66C24">
        <w:rPr>
          <w:rFonts w:ascii="Calibri" w:eastAsia="Calibri" w:hAnsi="Calibri" w:cs="Calibri"/>
          <w:iCs w:val="0"/>
          <w:color w:val="000000" w:themeColor="text1"/>
          <w:szCs w:val="22"/>
        </w:rPr>
        <w:t>close</w:t>
      </w:r>
      <w:r w:rsidR="00B076DA" w:rsidRPr="00C66C24">
        <w:rPr>
          <w:rFonts w:ascii="Calibri" w:eastAsia="Calibri" w:hAnsi="Calibri" w:cs="Calibri"/>
          <w:iCs w:val="0"/>
          <w:color w:val="000000" w:themeColor="text1"/>
          <w:szCs w:val="22"/>
        </w:rPr>
        <w:t>d</w:t>
      </w:r>
      <w:r w:rsidR="001272C0" w:rsidRPr="00C66C24">
        <w:rPr>
          <w:rFonts w:ascii="Calibri" w:eastAsia="Calibri" w:hAnsi="Calibri" w:cs="Calibri"/>
          <w:iCs w:val="0"/>
          <w:color w:val="000000" w:themeColor="text1"/>
          <w:szCs w:val="22"/>
        </w:rPr>
        <w:t xml:space="preserve"> </w:t>
      </w:r>
      <w:r w:rsidR="0037266F" w:rsidRPr="00C66C24">
        <w:rPr>
          <w:rFonts w:ascii="Calibri" w:eastAsia="Calibri" w:hAnsi="Calibri" w:cs="Calibri"/>
          <w:iCs w:val="0"/>
          <w:color w:val="000000" w:themeColor="text1"/>
          <w:szCs w:val="22"/>
        </w:rPr>
        <w:t xml:space="preserve">systems, </w:t>
      </w:r>
      <w:r w:rsidR="00184143" w:rsidRPr="00C66C24">
        <w:rPr>
          <w:rFonts w:ascii="Calibri" w:eastAsia="Calibri" w:hAnsi="Calibri" w:cs="Calibri"/>
          <w:iCs w:val="0"/>
          <w:color w:val="000000" w:themeColor="text1"/>
          <w:szCs w:val="22"/>
        </w:rPr>
        <w:t xml:space="preserve">operation in zero-discharge mode is </w:t>
      </w:r>
      <w:r w:rsidR="007A1871" w:rsidRPr="00C66C24">
        <w:rPr>
          <w:rFonts w:ascii="Calibri" w:eastAsia="Calibri" w:hAnsi="Calibri" w:cs="Calibri"/>
          <w:iCs w:val="0"/>
          <w:color w:val="000000" w:themeColor="text1"/>
          <w:szCs w:val="22"/>
        </w:rPr>
        <w:t>possible. The</w:t>
      </w:r>
      <w:r w:rsidR="00184143" w:rsidRPr="00C66C24">
        <w:rPr>
          <w:rFonts w:ascii="Calibri" w:eastAsia="Calibri" w:hAnsi="Calibri" w:cs="Calibri"/>
          <w:iCs w:val="0"/>
          <w:color w:val="000000" w:themeColor="text1"/>
          <w:szCs w:val="22"/>
        </w:rPr>
        <w:t xml:space="preserve"> latter </w:t>
      </w:r>
      <w:r w:rsidR="0037266F" w:rsidRPr="00C66C24">
        <w:rPr>
          <w:rFonts w:ascii="Calibri" w:eastAsia="Calibri" w:hAnsi="Calibri" w:cs="Calibri"/>
          <w:iCs w:val="0"/>
          <w:color w:val="000000" w:themeColor="text1"/>
          <w:szCs w:val="22"/>
        </w:rPr>
        <w:t xml:space="preserve">would result in the need of </w:t>
      </w:r>
      <w:r w:rsidR="00B076DA" w:rsidRPr="00C66C24">
        <w:rPr>
          <w:rFonts w:ascii="Calibri" w:eastAsia="Calibri" w:hAnsi="Calibri" w:cs="Calibri"/>
          <w:iCs w:val="0"/>
          <w:color w:val="000000" w:themeColor="text1"/>
          <w:szCs w:val="22"/>
        </w:rPr>
        <w:t>adequate PRF</w:t>
      </w:r>
      <w:r w:rsidR="0037266F" w:rsidRPr="00C66C24">
        <w:rPr>
          <w:rFonts w:ascii="Calibri" w:eastAsia="Calibri" w:hAnsi="Calibri" w:cs="Calibri"/>
          <w:iCs w:val="0"/>
          <w:color w:val="000000" w:themeColor="text1"/>
          <w:szCs w:val="22"/>
        </w:rPr>
        <w:t>, increase of energy use</w:t>
      </w:r>
      <w:r w:rsidR="00B076DA" w:rsidRPr="00C66C24">
        <w:rPr>
          <w:rFonts w:ascii="Calibri" w:eastAsia="Calibri" w:hAnsi="Calibri" w:cs="Calibri"/>
          <w:iCs w:val="0"/>
          <w:color w:val="000000" w:themeColor="text1"/>
          <w:szCs w:val="22"/>
        </w:rPr>
        <w:t xml:space="preserve"> on board</w:t>
      </w:r>
      <w:r w:rsidR="0037266F" w:rsidRPr="00C66C24">
        <w:rPr>
          <w:rFonts w:ascii="Calibri" w:eastAsia="Calibri" w:hAnsi="Calibri" w:cs="Calibri"/>
          <w:iCs w:val="0"/>
          <w:color w:val="000000" w:themeColor="text1"/>
          <w:szCs w:val="22"/>
        </w:rPr>
        <w:t xml:space="preserve">, and higher costs of operation of scrubbers </w:t>
      </w:r>
      <w:r w:rsidR="00184143" w:rsidRPr="00C66C24">
        <w:rPr>
          <w:rFonts w:ascii="Calibri" w:eastAsia="Calibri" w:hAnsi="Calibri" w:cs="Calibri"/>
          <w:iCs w:val="0"/>
          <w:color w:val="000000" w:themeColor="text1"/>
          <w:szCs w:val="22"/>
        </w:rPr>
        <w:t xml:space="preserve">(for instance due to higher consumption of chemicals and disposal fees). </w:t>
      </w:r>
      <w:bookmarkStart w:id="139" w:name="_Toc156316331"/>
    </w:p>
    <w:p w14:paraId="38A6582B" w14:textId="0474FBBE" w:rsidR="00A87E59" w:rsidRPr="00C66C24" w:rsidRDefault="00374E5B" w:rsidP="008C6A9C">
      <w:pPr>
        <w:pStyle w:val="Heading3"/>
        <w:spacing w:line="257" w:lineRule="auto"/>
      </w:pPr>
      <w:bookmarkStart w:id="140" w:name="_Toc157762071"/>
      <w:bookmarkEnd w:id="134"/>
      <w:r w:rsidRPr="00C66C24">
        <w:t>Ballast waters and</w:t>
      </w:r>
      <w:r w:rsidR="008A2D91" w:rsidRPr="00C66C24">
        <w:t xml:space="preserve"> n</w:t>
      </w:r>
      <w:r w:rsidR="00A87E59" w:rsidRPr="00C66C24">
        <w:t>on-indigenous species</w:t>
      </w:r>
      <w:r w:rsidR="008A2D91" w:rsidRPr="00C66C24">
        <w:t xml:space="preserve"> (NIS)</w:t>
      </w:r>
      <w:bookmarkEnd w:id="139"/>
      <w:bookmarkEnd w:id="140"/>
    </w:p>
    <w:p w14:paraId="7A419FC0" w14:textId="47BAB593" w:rsidR="00C2468F" w:rsidRPr="00C66C24" w:rsidRDefault="008A2D91" w:rsidP="00386318">
      <w:pPr>
        <w:spacing w:before="0" w:after="0" w:line="257" w:lineRule="auto"/>
        <w:textAlignment w:val="baseline"/>
        <w:rPr>
          <w:rFonts w:cstheme="minorBidi"/>
          <w:color w:val="202124"/>
        </w:rPr>
      </w:pPr>
      <w:r w:rsidRPr="00C66C24">
        <w:rPr>
          <w:rFonts w:cstheme="minorBidi"/>
          <w:color w:val="202124"/>
        </w:rPr>
        <w:t xml:space="preserve">Ballast water and </w:t>
      </w:r>
      <w:r w:rsidR="006A746F" w:rsidRPr="00C66C24">
        <w:rPr>
          <w:rFonts w:cstheme="minorBidi"/>
          <w:color w:val="202124"/>
        </w:rPr>
        <w:t>biofouling</w:t>
      </w:r>
      <w:r w:rsidRPr="00C66C24">
        <w:rPr>
          <w:rFonts w:cstheme="minorBidi"/>
          <w:color w:val="202124"/>
        </w:rPr>
        <w:t xml:space="preserve"> are the main </w:t>
      </w:r>
      <w:r w:rsidR="008C4D74" w:rsidRPr="00C66C24">
        <w:rPr>
          <w:rFonts w:cstheme="minorBidi"/>
          <w:color w:val="202124"/>
        </w:rPr>
        <w:t>vectors</w:t>
      </w:r>
      <w:r w:rsidRPr="00C66C24">
        <w:rPr>
          <w:rFonts w:cstheme="minorBidi"/>
          <w:color w:val="202124"/>
        </w:rPr>
        <w:t xml:space="preserve"> for introduction of harmful aquatic organisms in the European seas. </w:t>
      </w:r>
      <w:r w:rsidR="00F358AB" w:rsidRPr="00C66C24">
        <w:rPr>
          <w:rFonts w:cstheme="minorBidi"/>
          <w:color w:val="202124"/>
        </w:rPr>
        <w:t xml:space="preserve">The problem with ballast water is </w:t>
      </w:r>
      <w:r w:rsidR="000735C5">
        <w:rPr>
          <w:rFonts w:cstheme="minorBidi"/>
          <w:color w:val="202124"/>
        </w:rPr>
        <w:t>that</w:t>
      </w:r>
      <w:r w:rsidR="00F358AB" w:rsidRPr="00C66C24">
        <w:rPr>
          <w:rFonts w:cstheme="minorBidi"/>
          <w:color w:val="202124"/>
        </w:rPr>
        <w:t xml:space="preserve"> the majority of organisms have a free</w:t>
      </w:r>
      <w:r w:rsidR="40B4A83A" w:rsidRPr="00C66C24">
        <w:rPr>
          <w:rFonts w:cstheme="minorBidi"/>
          <w:color w:val="202124"/>
        </w:rPr>
        <w:t>-</w:t>
      </w:r>
      <w:r w:rsidR="00F358AB" w:rsidRPr="00C66C24">
        <w:rPr>
          <w:rFonts w:cstheme="minorBidi"/>
          <w:color w:val="202124"/>
        </w:rPr>
        <w:t>swimming</w:t>
      </w:r>
      <w:r w:rsidR="00EB05D4" w:rsidRPr="00C66C24">
        <w:rPr>
          <w:rFonts w:cstheme="minorBidi"/>
          <w:color w:val="202124"/>
        </w:rPr>
        <w:t xml:space="preserve"> </w:t>
      </w:r>
      <w:r w:rsidR="00665534" w:rsidRPr="00C66C24">
        <w:rPr>
          <w:rFonts w:cstheme="minorBidi"/>
          <w:color w:val="202124"/>
        </w:rPr>
        <w:t xml:space="preserve">phase in their reproductive </w:t>
      </w:r>
      <w:r w:rsidR="004E076F" w:rsidRPr="00C66C24">
        <w:rPr>
          <w:rFonts w:cstheme="minorBidi"/>
          <w:color w:val="202124"/>
        </w:rPr>
        <w:t>cycle</w:t>
      </w:r>
      <w:r w:rsidR="00282985" w:rsidRPr="00C66C24">
        <w:rPr>
          <w:rFonts w:cstheme="minorBidi"/>
          <w:color w:val="202124"/>
        </w:rPr>
        <w:t>,</w:t>
      </w:r>
      <w:r w:rsidR="004E076F" w:rsidRPr="00C66C24">
        <w:rPr>
          <w:rFonts w:cstheme="minorBidi"/>
          <w:color w:val="202124"/>
        </w:rPr>
        <w:t xml:space="preserve"> or</w:t>
      </w:r>
      <w:r w:rsidR="006D05E3" w:rsidRPr="00C66C24">
        <w:rPr>
          <w:rFonts w:cstheme="minorBidi"/>
          <w:color w:val="202124"/>
        </w:rPr>
        <w:t xml:space="preserve"> in the case of </w:t>
      </w:r>
      <w:r w:rsidR="00416666" w:rsidRPr="00C66C24">
        <w:rPr>
          <w:rFonts w:cstheme="minorBidi"/>
          <w:color w:val="202124"/>
        </w:rPr>
        <w:t>ph</w:t>
      </w:r>
      <w:r w:rsidR="006D05E3" w:rsidRPr="00C66C24">
        <w:rPr>
          <w:rFonts w:cstheme="minorBidi"/>
          <w:color w:val="202124"/>
        </w:rPr>
        <w:t xml:space="preserve">ytoplankton, </w:t>
      </w:r>
      <w:r w:rsidR="00282985" w:rsidRPr="00C66C24">
        <w:rPr>
          <w:rFonts w:cstheme="minorBidi"/>
          <w:color w:val="202124"/>
        </w:rPr>
        <w:t>zooplankton, bacteria and viruses can b</w:t>
      </w:r>
      <w:r w:rsidR="00416666" w:rsidRPr="00C66C24">
        <w:rPr>
          <w:rFonts w:cstheme="minorBidi"/>
          <w:color w:val="202124"/>
        </w:rPr>
        <w:t>e</w:t>
      </w:r>
      <w:r w:rsidR="00282985" w:rsidRPr="00C66C24">
        <w:rPr>
          <w:rFonts w:cstheme="minorBidi"/>
          <w:color w:val="202124"/>
        </w:rPr>
        <w:t xml:space="preserve"> found </w:t>
      </w:r>
      <w:r w:rsidR="00B42F66" w:rsidRPr="00C66C24">
        <w:rPr>
          <w:rFonts w:cstheme="minorBidi"/>
          <w:color w:val="202124"/>
        </w:rPr>
        <w:t xml:space="preserve">permanently in the water column. These </w:t>
      </w:r>
      <w:r w:rsidR="00EF0822" w:rsidRPr="00C66C24">
        <w:rPr>
          <w:rFonts w:cstheme="minorBidi"/>
          <w:color w:val="202124"/>
        </w:rPr>
        <w:t>organism</w:t>
      </w:r>
      <w:r w:rsidR="00416666" w:rsidRPr="00C66C24">
        <w:rPr>
          <w:rFonts w:cstheme="minorBidi"/>
          <w:color w:val="202124"/>
        </w:rPr>
        <w:t>s</w:t>
      </w:r>
      <w:r w:rsidR="00EF0822" w:rsidRPr="00C66C24">
        <w:rPr>
          <w:rFonts w:cstheme="minorBidi"/>
          <w:color w:val="202124"/>
        </w:rPr>
        <w:t xml:space="preserve"> can be taken up in the ballast water </w:t>
      </w:r>
      <w:r w:rsidR="00416666" w:rsidRPr="00C66C24">
        <w:rPr>
          <w:rFonts w:cstheme="minorBidi"/>
          <w:color w:val="202124"/>
        </w:rPr>
        <w:t>and moved around the world</w:t>
      </w:r>
      <w:r w:rsidR="00E8453A" w:rsidRPr="00C66C24">
        <w:rPr>
          <w:rFonts w:cstheme="minorBidi"/>
          <w:color w:val="202124"/>
        </w:rPr>
        <w:t>, and when the ballast is discharged</w:t>
      </w:r>
      <w:r w:rsidR="32C77A94" w:rsidRPr="00C66C24">
        <w:rPr>
          <w:rFonts w:cstheme="minorBidi"/>
          <w:color w:val="202124"/>
        </w:rPr>
        <w:t>,</w:t>
      </w:r>
      <w:r w:rsidR="00E8453A" w:rsidRPr="00C66C24">
        <w:rPr>
          <w:rFonts w:cstheme="minorBidi"/>
          <w:color w:val="202124"/>
        </w:rPr>
        <w:t xml:space="preserve"> they can create non-indigenous </w:t>
      </w:r>
      <w:r w:rsidR="007E4AC4" w:rsidRPr="00C66C24">
        <w:rPr>
          <w:rFonts w:cstheme="minorBidi"/>
          <w:color w:val="202124"/>
        </w:rPr>
        <w:t>communities</w:t>
      </w:r>
      <w:r w:rsidR="009E3E62" w:rsidRPr="00C66C24">
        <w:rPr>
          <w:rFonts w:cstheme="minorBidi"/>
          <w:color w:val="202124"/>
        </w:rPr>
        <w:t xml:space="preserve"> in the new environment. If these communities become detrimental to the local ecosystem</w:t>
      </w:r>
      <w:r w:rsidR="1457D324" w:rsidRPr="00C66C24">
        <w:rPr>
          <w:rFonts w:cstheme="minorBidi"/>
          <w:color w:val="202124"/>
        </w:rPr>
        <w:t>,</w:t>
      </w:r>
      <w:r w:rsidR="009E3E62" w:rsidRPr="00C66C24">
        <w:rPr>
          <w:rFonts w:cstheme="minorBidi"/>
          <w:color w:val="202124"/>
        </w:rPr>
        <w:t xml:space="preserve"> then they can </w:t>
      </w:r>
      <w:r w:rsidR="00FF0D68" w:rsidRPr="00C66C24">
        <w:rPr>
          <w:rFonts w:cstheme="minorBidi"/>
          <w:color w:val="202124"/>
        </w:rPr>
        <w:t xml:space="preserve">be considered as Invasive </w:t>
      </w:r>
      <w:r w:rsidR="000F49EB" w:rsidRPr="00C66C24">
        <w:rPr>
          <w:rFonts w:cstheme="minorBidi"/>
          <w:color w:val="202124"/>
        </w:rPr>
        <w:t>Alien Specie</w:t>
      </w:r>
      <w:r w:rsidR="00626676" w:rsidRPr="00C66C24">
        <w:rPr>
          <w:rFonts w:cstheme="minorBidi"/>
          <w:color w:val="202124"/>
        </w:rPr>
        <w:t>s</w:t>
      </w:r>
      <w:r w:rsidR="00A45428" w:rsidRPr="00C66C24">
        <w:rPr>
          <w:rFonts w:cstheme="minorBidi"/>
          <w:color w:val="202124"/>
        </w:rPr>
        <w:t xml:space="preserve"> (IAS)</w:t>
      </w:r>
      <w:r w:rsidR="00626676" w:rsidRPr="00C66C24">
        <w:rPr>
          <w:rFonts w:cstheme="minorBidi"/>
          <w:color w:val="202124"/>
        </w:rPr>
        <w:t xml:space="preserve">. Examples of this are invasions of </w:t>
      </w:r>
      <w:proofErr w:type="spellStart"/>
      <w:r w:rsidR="00766B4B" w:rsidRPr="00C66C24">
        <w:rPr>
          <w:rFonts w:cstheme="minorBidi"/>
          <w:i/>
          <w:color w:val="202124"/>
        </w:rPr>
        <w:t>Mn</w:t>
      </w:r>
      <w:r w:rsidR="004871C3" w:rsidRPr="00C66C24">
        <w:rPr>
          <w:rFonts w:cstheme="minorBidi"/>
          <w:i/>
          <w:color w:val="202124"/>
        </w:rPr>
        <w:t>em</w:t>
      </w:r>
      <w:r w:rsidR="00C10EC2" w:rsidRPr="00C66C24">
        <w:rPr>
          <w:rFonts w:cstheme="minorBidi"/>
          <w:i/>
          <w:color w:val="202124"/>
        </w:rPr>
        <w:t>iopsis</w:t>
      </w:r>
      <w:proofErr w:type="spellEnd"/>
      <w:r w:rsidR="00C10EC2" w:rsidRPr="00C66C24">
        <w:rPr>
          <w:rFonts w:cstheme="minorBidi"/>
          <w:i/>
          <w:color w:val="202124"/>
        </w:rPr>
        <w:t xml:space="preserve"> </w:t>
      </w:r>
      <w:proofErr w:type="spellStart"/>
      <w:r w:rsidR="00C10EC2" w:rsidRPr="00C66C24">
        <w:rPr>
          <w:rFonts w:cstheme="minorBidi"/>
          <w:i/>
          <w:color w:val="202124"/>
        </w:rPr>
        <w:t>le</w:t>
      </w:r>
      <w:r w:rsidR="002F46AE" w:rsidRPr="00C66C24">
        <w:rPr>
          <w:rFonts w:cstheme="minorBidi"/>
          <w:i/>
          <w:color w:val="202124"/>
        </w:rPr>
        <w:t>idyi</w:t>
      </w:r>
      <w:proofErr w:type="spellEnd"/>
      <w:r w:rsidR="002F46AE" w:rsidRPr="00C66C24">
        <w:rPr>
          <w:rFonts w:cstheme="minorBidi"/>
          <w:color w:val="202124"/>
        </w:rPr>
        <w:t xml:space="preserve">, the North American Comb Jelly in the Black and Caspian </w:t>
      </w:r>
      <w:r w:rsidR="007725BD" w:rsidRPr="00C66C24">
        <w:rPr>
          <w:rFonts w:cstheme="minorBidi"/>
          <w:color w:val="202124"/>
        </w:rPr>
        <w:t>S</w:t>
      </w:r>
      <w:r w:rsidR="002F46AE" w:rsidRPr="00C66C24">
        <w:rPr>
          <w:rFonts w:cstheme="minorBidi"/>
          <w:color w:val="202124"/>
        </w:rPr>
        <w:t>eas,</w:t>
      </w:r>
      <w:r w:rsidR="007725BD" w:rsidRPr="00C66C24">
        <w:rPr>
          <w:rFonts w:cstheme="minorBidi"/>
          <w:color w:val="202124"/>
        </w:rPr>
        <w:t xml:space="preserve"> </w:t>
      </w:r>
      <w:proofErr w:type="spellStart"/>
      <w:r w:rsidR="009E3170" w:rsidRPr="00C66C24">
        <w:rPr>
          <w:rFonts w:cstheme="minorBidi"/>
          <w:i/>
          <w:color w:val="202124"/>
        </w:rPr>
        <w:t>Dreissena</w:t>
      </w:r>
      <w:proofErr w:type="spellEnd"/>
      <w:r w:rsidR="009E3170" w:rsidRPr="00C66C24">
        <w:rPr>
          <w:rFonts w:cstheme="minorBidi"/>
          <w:i/>
          <w:color w:val="202124"/>
        </w:rPr>
        <w:t xml:space="preserve"> polymor</w:t>
      </w:r>
      <w:r w:rsidR="004005DD" w:rsidRPr="00C66C24">
        <w:rPr>
          <w:rFonts w:cstheme="minorBidi"/>
          <w:i/>
          <w:color w:val="202124"/>
        </w:rPr>
        <w:t>pha</w:t>
      </w:r>
      <w:r w:rsidR="004005DD" w:rsidRPr="00C66C24">
        <w:rPr>
          <w:rFonts w:cstheme="minorBidi"/>
          <w:color w:val="202124"/>
        </w:rPr>
        <w:t xml:space="preserve">, the zebra mussel in the Great </w:t>
      </w:r>
      <w:r w:rsidR="0037643A" w:rsidRPr="00C66C24">
        <w:rPr>
          <w:rFonts w:cstheme="minorBidi"/>
          <w:color w:val="202124"/>
        </w:rPr>
        <w:t>L</w:t>
      </w:r>
      <w:r w:rsidR="004005DD" w:rsidRPr="00C66C24">
        <w:rPr>
          <w:rFonts w:cstheme="minorBidi"/>
          <w:color w:val="202124"/>
        </w:rPr>
        <w:t>akes and</w:t>
      </w:r>
      <w:r w:rsidR="002F46AE" w:rsidRPr="00C66C24">
        <w:rPr>
          <w:rFonts w:cstheme="minorBidi"/>
          <w:color w:val="202124"/>
        </w:rPr>
        <w:t xml:space="preserve"> </w:t>
      </w:r>
      <w:proofErr w:type="spellStart"/>
      <w:r w:rsidR="002D0312" w:rsidRPr="00C66C24">
        <w:rPr>
          <w:rFonts w:cstheme="minorBidi"/>
          <w:i/>
          <w:color w:val="202124"/>
        </w:rPr>
        <w:t>Undaria</w:t>
      </w:r>
      <w:proofErr w:type="spellEnd"/>
      <w:r w:rsidR="002D0312" w:rsidRPr="00C66C24">
        <w:rPr>
          <w:rFonts w:cstheme="minorBidi"/>
          <w:i/>
          <w:color w:val="202124"/>
        </w:rPr>
        <w:t xml:space="preserve"> pinnatifi</w:t>
      </w:r>
      <w:r w:rsidR="00EA116A" w:rsidRPr="00C66C24">
        <w:rPr>
          <w:rFonts w:cstheme="minorBidi"/>
          <w:i/>
          <w:color w:val="202124"/>
        </w:rPr>
        <w:t>da</w:t>
      </w:r>
      <w:r w:rsidR="00EA116A" w:rsidRPr="00C66C24">
        <w:rPr>
          <w:rFonts w:cstheme="minorBidi"/>
          <w:color w:val="202124"/>
        </w:rPr>
        <w:t xml:space="preserve">, </w:t>
      </w:r>
      <w:r w:rsidR="00293B7A" w:rsidRPr="00C66C24">
        <w:rPr>
          <w:rFonts w:cstheme="minorBidi"/>
          <w:color w:val="202124"/>
        </w:rPr>
        <w:t>t</w:t>
      </w:r>
      <w:r w:rsidR="00EA116A" w:rsidRPr="00C66C24">
        <w:rPr>
          <w:rFonts w:cstheme="minorBidi"/>
          <w:color w:val="202124"/>
        </w:rPr>
        <w:t>he Asian Ke</w:t>
      </w:r>
      <w:r w:rsidR="00A23AD7" w:rsidRPr="00C66C24">
        <w:rPr>
          <w:rFonts w:cstheme="minorBidi"/>
          <w:color w:val="202124"/>
        </w:rPr>
        <w:t xml:space="preserve">lp in Australia and New Zealand. </w:t>
      </w:r>
      <w:r w:rsidR="00C62CD0" w:rsidRPr="00C66C24">
        <w:rPr>
          <w:rFonts w:cstheme="minorBidi"/>
          <w:color w:val="202124"/>
        </w:rPr>
        <w:t>With respect to biofouling</w:t>
      </w:r>
      <w:r w:rsidR="007F7644" w:rsidRPr="00C66C24">
        <w:rPr>
          <w:rFonts w:cstheme="minorBidi"/>
          <w:color w:val="202124"/>
        </w:rPr>
        <w:t xml:space="preserve">, organisms with a sedentary part of their lifestyle can </w:t>
      </w:r>
      <w:r w:rsidR="00001835" w:rsidRPr="00C66C24">
        <w:rPr>
          <w:rFonts w:cstheme="minorBidi"/>
          <w:color w:val="202124"/>
        </w:rPr>
        <w:t>settle on the hull of ships and be carrie</w:t>
      </w:r>
      <w:r w:rsidR="00D74157" w:rsidRPr="00C66C24">
        <w:rPr>
          <w:rFonts w:cstheme="minorBidi"/>
          <w:color w:val="202124"/>
        </w:rPr>
        <w:t>d</w:t>
      </w:r>
      <w:r w:rsidR="00001835" w:rsidRPr="00C66C24">
        <w:rPr>
          <w:rFonts w:cstheme="minorBidi"/>
          <w:color w:val="202124"/>
        </w:rPr>
        <w:t xml:space="preserve"> round the world. I</w:t>
      </w:r>
      <w:r w:rsidR="00D74157" w:rsidRPr="00C66C24">
        <w:rPr>
          <w:rFonts w:cstheme="minorBidi"/>
          <w:color w:val="202124"/>
        </w:rPr>
        <w:t>n</w:t>
      </w:r>
      <w:r w:rsidR="00001835" w:rsidRPr="00C66C24">
        <w:rPr>
          <w:rFonts w:cstheme="minorBidi"/>
          <w:color w:val="202124"/>
        </w:rPr>
        <w:t xml:space="preserve"> these cases</w:t>
      </w:r>
      <w:r w:rsidR="005D53CF" w:rsidRPr="00C66C24">
        <w:rPr>
          <w:rFonts w:cstheme="minorBidi"/>
          <w:color w:val="202124"/>
        </w:rPr>
        <w:t>,</w:t>
      </w:r>
      <w:r w:rsidR="00001835" w:rsidRPr="00C66C24">
        <w:rPr>
          <w:rFonts w:cstheme="minorBidi"/>
          <w:color w:val="202124"/>
        </w:rPr>
        <w:t xml:space="preserve"> if there is a significant population on the hull then </w:t>
      </w:r>
      <w:r w:rsidR="00F61EF2" w:rsidRPr="00C66C24">
        <w:rPr>
          <w:rFonts w:cstheme="minorBidi"/>
          <w:color w:val="202124"/>
        </w:rPr>
        <w:t>they will release free-swimming larvae in new habitats where they can colonise.</w:t>
      </w:r>
    </w:p>
    <w:p w14:paraId="2F7F1CFA" w14:textId="7BE8DF25" w:rsidR="00523776" w:rsidRPr="00C66C24" w:rsidRDefault="008A2D91" w:rsidP="00386318">
      <w:pPr>
        <w:spacing w:before="0" w:after="0" w:line="257" w:lineRule="auto"/>
        <w:textAlignment w:val="baseline"/>
      </w:pPr>
      <w:r w:rsidRPr="00C66C24">
        <w:rPr>
          <w:rFonts w:cstheme="minorBidi"/>
          <w:color w:val="202124"/>
        </w:rPr>
        <w:t>The share of NIS introduced by shipping is 60% of all the NIS in marine environment and 56% in case of NIS which have become invasive in Europe (i.e. spread aggressively and cause adverse effects; EEA, 2023b). NIS intro</w:t>
      </w:r>
      <w:r w:rsidR="005D5DD8" w:rsidRPr="00C66C24">
        <w:rPr>
          <w:rFonts w:cstheme="minorBidi"/>
          <w:color w:val="202124"/>
        </w:rPr>
        <w:t xml:space="preserve">ductions from maritime </w:t>
      </w:r>
      <w:r w:rsidR="003F4D1D" w:rsidRPr="00C66C24">
        <w:rPr>
          <w:rFonts w:cstheme="minorBidi"/>
          <w:color w:val="202124"/>
        </w:rPr>
        <w:t>transport</w:t>
      </w:r>
      <w:r w:rsidRPr="00C66C24">
        <w:rPr>
          <w:rFonts w:cstheme="minorBidi"/>
          <w:color w:val="202124"/>
        </w:rPr>
        <w:t xml:space="preserve"> have increased for decades despite international efforts. </w:t>
      </w:r>
      <w:r w:rsidR="267499A2" w:rsidRPr="00C66C24">
        <w:rPr>
          <w:rFonts w:cstheme="minorBidi"/>
          <w:color w:val="202124"/>
        </w:rPr>
        <w:t xml:space="preserve">Ballast water is controlled through the IMO’s International Ballast Water Management Convention and </w:t>
      </w:r>
      <w:r w:rsidR="34BD33A6" w:rsidRPr="00C66C24">
        <w:rPr>
          <w:rFonts w:cstheme="minorBidi"/>
          <w:color w:val="202124"/>
        </w:rPr>
        <w:t>b</w:t>
      </w:r>
      <w:r w:rsidR="267499A2" w:rsidRPr="00C66C24">
        <w:rPr>
          <w:rFonts w:cstheme="minorBidi"/>
          <w:color w:val="202124"/>
        </w:rPr>
        <w:t>iofo</w:t>
      </w:r>
      <w:r w:rsidR="048794CE" w:rsidRPr="00C66C24">
        <w:rPr>
          <w:rFonts w:cstheme="minorBidi"/>
          <w:color w:val="202124"/>
        </w:rPr>
        <w:t>uling by IMO Guidelines</w:t>
      </w:r>
      <w:r w:rsidRPr="00C66C24">
        <w:rPr>
          <w:rFonts w:cstheme="minorBidi"/>
          <w:color w:val="202124"/>
        </w:rPr>
        <w:t xml:space="preserve"> that </w:t>
      </w:r>
      <w:r w:rsidR="34DF4ED9" w:rsidRPr="00C66C24">
        <w:rPr>
          <w:rFonts w:cstheme="minorBidi"/>
          <w:color w:val="202124"/>
        </w:rPr>
        <w:t>can be found in Resolution MEPC.378(80</w:t>
      </w:r>
      <w:r w:rsidR="34DF4ED9" w:rsidRPr="31A81664">
        <w:rPr>
          <w:rFonts w:cstheme="minorBidi"/>
          <w:color w:val="202124"/>
        </w:rPr>
        <w:t>)</w:t>
      </w:r>
      <w:r w:rsidR="008E603F">
        <w:rPr>
          <w:rFonts w:cstheme="minorBidi"/>
          <w:color w:val="202124"/>
        </w:rPr>
        <w:t>.</w:t>
      </w:r>
    </w:p>
    <w:p w14:paraId="3D91FE53" w14:textId="5C421131" w:rsidR="00AF4A85" w:rsidRPr="00C66C24" w:rsidRDefault="00AF4A85" w:rsidP="00386318">
      <w:pPr>
        <w:spacing w:before="0" w:after="0" w:line="257" w:lineRule="auto"/>
        <w:textAlignment w:val="baseline"/>
      </w:pPr>
      <w:r w:rsidRPr="00C66C24">
        <w:t xml:space="preserve">The introduction of </w:t>
      </w:r>
      <w:r w:rsidR="008E746F" w:rsidRPr="00C66C24">
        <w:t xml:space="preserve">NIS </w:t>
      </w:r>
      <w:r w:rsidRPr="00C66C24">
        <w:t xml:space="preserve">through </w:t>
      </w:r>
      <w:r w:rsidR="008C4D74" w:rsidRPr="00C66C24">
        <w:t>biofouling</w:t>
      </w:r>
      <w:r w:rsidRPr="00C66C24">
        <w:t xml:space="preserve"> and ballast water has</w:t>
      </w:r>
      <w:r w:rsidR="008E746F" w:rsidRPr="00C66C24">
        <w:t xml:space="preserve"> gradually increased</w:t>
      </w:r>
      <w:r w:rsidRPr="00C66C24">
        <w:t xml:space="preserve"> over the past decades</w:t>
      </w:r>
      <w:r w:rsidR="008E746F" w:rsidRPr="00C66C24">
        <w:t>, with higher numbers of NIS introduced over the last six-year cycles (</w:t>
      </w:r>
      <w:r w:rsidR="002E0ABC" w:rsidRPr="00C66C24">
        <w:rPr>
          <w:szCs w:val="22"/>
        </w:rPr>
        <w:fldChar w:fldCharType="begin"/>
      </w:r>
      <w:r w:rsidR="002E0ABC" w:rsidRPr="00C66C24">
        <w:rPr>
          <w:szCs w:val="22"/>
        </w:rPr>
        <w:instrText xml:space="preserve"> REF _Ref151111705 \h </w:instrText>
      </w:r>
      <w:r w:rsidR="00AE0A02" w:rsidRPr="00C66C24">
        <w:rPr>
          <w:szCs w:val="22"/>
        </w:rPr>
        <w:instrText xml:space="preserve"> \* MERGEFORMAT </w:instrText>
      </w:r>
      <w:r w:rsidR="002E0ABC" w:rsidRPr="00C66C24">
        <w:rPr>
          <w:szCs w:val="22"/>
        </w:rPr>
      </w:r>
      <w:r w:rsidR="002E0ABC" w:rsidRPr="00C66C24">
        <w:rPr>
          <w:szCs w:val="22"/>
        </w:rPr>
        <w:fldChar w:fldCharType="separate"/>
      </w:r>
      <w:r w:rsidR="00560403" w:rsidRPr="00C66C24" w:rsidDel="00AE7E1A">
        <w:t xml:space="preserve">Figure </w:t>
      </w:r>
      <w:r w:rsidR="009A2572" w:rsidRPr="00C66C24">
        <w:t>2</w:t>
      </w:r>
      <w:r w:rsidR="00560403" w:rsidRPr="00C66C24" w:rsidDel="00AE7E1A">
        <w:t>.29</w:t>
      </w:r>
      <w:r w:rsidR="002E0ABC" w:rsidRPr="00C66C24">
        <w:rPr>
          <w:szCs w:val="22"/>
        </w:rPr>
        <w:fldChar w:fldCharType="end"/>
      </w:r>
      <w:r w:rsidR="008E746F" w:rsidRPr="00C66C24">
        <w:t xml:space="preserve">, left). However, </w:t>
      </w:r>
      <w:r w:rsidR="005755E2" w:rsidRPr="00C66C24">
        <w:t xml:space="preserve">the </w:t>
      </w:r>
      <w:r w:rsidR="008E746F" w:rsidRPr="00C66C24">
        <w:t>introduction</w:t>
      </w:r>
      <w:r w:rsidR="008E746F" w:rsidRPr="00C66C24">
        <w:rPr>
          <w:szCs w:val="22"/>
        </w:rPr>
        <w:t xml:space="preserve"> </w:t>
      </w:r>
      <w:r w:rsidR="000E07D5" w:rsidRPr="00C66C24">
        <w:t>of invasive IAS</w:t>
      </w:r>
      <w:r w:rsidR="00433110" w:rsidRPr="00C66C24">
        <w:t xml:space="preserve"> </w:t>
      </w:r>
      <w:r w:rsidR="008E746F" w:rsidRPr="00C66C24">
        <w:t>increase</w:t>
      </w:r>
      <w:r w:rsidR="00C33EBA" w:rsidRPr="00C66C24">
        <w:t>s</w:t>
      </w:r>
      <w:r w:rsidR="008E746F" w:rsidRPr="00C66C24">
        <w:t xml:space="preserve"> until the early 2000’s and is followed by a significant decrease in the last 6-year periods (</w:t>
      </w:r>
      <w:r w:rsidR="00C30A95" w:rsidRPr="00C66C24">
        <w:rPr>
          <w:szCs w:val="22"/>
        </w:rPr>
        <w:fldChar w:fldCharType="begin"/>
      </w:r>
      <w:r w:rsidR="00C30A95" w:rsidRPr="00C66C24">
        <w:rPr>
          <w:szCs w:val="22"/>
        </w:rPr>
        <w:instrText xml:space="preserve"> REF _Ref151111705 \h </w:instrText>
      </w:r>
      <w:r w:rsidR="00AE0A02" w:rsidRPr="00C66C24">
        <w:rPr>
          <w:szCs w:val="22"/>
        </w:rPr>
        <w:instrText xml:space="preserve"> \* MERGEFORMAT </w:instrText>
      </w:r>
      <w:r w:rsidR="00C30A95" w:rsidRPr="00C66C24">
        <w:rPr>
          <w:szCs w:val="22"/>
        </w:rPr>
      </w:r>
      <w:r w:rsidR="00C30A95" w:rsidRPr="00C66C24">
        <w:rPr>
          <w:szCs w:val="22"/>
        </w:rPr>
        <w:fldChar w:fldCharType="separate"/>
      </w:r>
      <w:r w:rsidR="00560403" w:rsidRPr="00C66C24" w:rsidDel="00AE7E1A">
        <w:t xml:space="preserve">Figure </w:t>
      </w:r>
      <w:r w:rsidR="009A2572" w:rsidRPr="00C66C24">
        <w:t>2</w:t>
      </w:r>
      <w:r w:rsidR="00560403" w:rsidRPr="00C66C24" w:rsidDel="00AE7E1A">
        <w:t>.29</w:t>
      </w:r>
      <w:r w:rsidR="00C30A95" w:rsidRPr="00C66C24">
        <w:rPr>
          <w:szCs w:val="22"/>
        </w:rPr>
        <w:fldChar w:fldCharType="end"/>
      </w:r>
      <w:r w:rsidR="008E746F" w:rsidRPr="00C66C24">
        <w:t>, right</w:t>
      </w:r>
      <w:r w:rsidR="005675B5" w:rsidRPr="00C66C24">
        <w:t xml:space="preserve">; </w:t>
      </w:r>
      <w:r w:rsidR="008E746F" w:rsidRPr="00C66C24">
        <w:t xml:space="preserve">the last </w:t>
      </w:r>
      <w:r w:rsidR="008E746F" w:rsidRPr="00C66C24">
        <w:rPr>
          <w:rFonts w:cstheme="minorBidi"/>
          <w:color w:val="202124"/>
          <w:shd w:val="clear" w:color="auto" w:fill="FFFFFF"/>
        </w:rPr>
        <w:t>period consists of only 3 years (2018-2020</w:t>
      </w:r>
      <w:r w:rsidR="008E746F" w:rsidRPr="00C66C24">
        <w:rPr>
          <w:rFonts w:cstheme="minorBidi"/>
          <w:color w:val="202124"/>
        </w:rPr>
        <w:t>)</w:t>
      </w:r>
      <w:r w:rsidR="00C31788" w:rsidRPr="00C66C24">
        <w:rPr>
          <w:rFonts w:cstheme="minorBidi"/>
          <w:color w:val="202124"/>
        </w:rPr>
        <w:t>)</w:t>
      </w:r>
      <w:r w:rsidR="008E746F" w:rsidRPr="00C66C24">
        <w:rPr>
          <w:rFonts w:cstheme="minorBidi"/>
          <w:color w:val="202124"/>
          <w:shd w:val="clear" w:color="auto" w:fill="FFFFFF"/>
        </w:rPr>
        <w:t>.</w:t>
      </w:r>
      <w:r w:rsidR="4045FCCF" w:rsidRPr="00C66C24">
        <w:rPr>
          <w:rFonts w:cstheme="minorBidi"/>
          <w:color w:val="202124"/>
          <w:shd w:val="clear" w:color="auto" w:fill="FFFFFF"/>
        </w:rPr>
        <w:t xml:space="preserve"> It should be noted that not all NIS </w:t>
      </w:r>
      <w:r w:rsidR="22475E46" w:rsidRPr="00C66C24">
        <w:rPr>
          <w:rFonts w:cstheme="minorBidi"/>
          <w:color w:val="202124"/>
          <w:shd w:val="clear" w:color="auto" w:fill="FFFFFF"/>
        </w:rPr>
        <w:t xml:space="preserve">cause </w:t>
      </w:r>
      <w:r w:rsidR="00A23AD7" w:rsidRPr="00C66C24">
        <w:rPr>
          <w:rFonts w:cstheme="minorBidi"/>
          <w:color w:val="202124"/>
        </w:rPr>
        <w:t>damage to</w:t>
      </w:r>
      <w:r w:rsidR="22475E46" w:rsidRPr="00C66C24">
        <w:rPr>
          <w:rFonts w:cstheme="minorBidi"/>
          <w:color w:val="202124"/>
          <w:shd w:val="clear" w:color="auto" w:fill="FFFFFF"/>
        </w:rPr>
        <w:t xml:space="preserve"> the ecosystems they become established in, or </w:t>
      </w:r>
      <w:r w:rsidR="4045FCCF" w:rsidRPr="00C66C24">
        <w:rPr>
          <w:rFonts w:cstheme="minorBidi"/>
          <w:color w:val="202124"/>
          <w:shd w:val="clear" w:color="auto" w:fill="FFFFFF"/>
        </w:rPr>
        <w:t>become IAS</w:t>
      </w:r>
      <w:r w:rsidR="66965349" w:rsidRPr="00C66C24">
        <w:rPr>
          <w:rFonts w:cstheme="minorBidi"/>
          <w:color w:val="202124"/>
          <w:shd w:val="clear" w:color="auto" w:fill="FFFFFF"/>
        </w:rPr>
        <w:t>,</w:t>
      </w:r>
      <w:r w:rsidR="4045FCCF" w:rsidRPr="00C66C24">
        <w:rPr>
          <w:rFonts w:cstheme="minorBidi"/>
          <w:color w:val="202124"/>
          <w:shd w:val="clear" w:color="auto" w:fill="FFFFFF"/>
        </w:rPr>
        <w:t xml:space="preserve"> although the same NIS </w:t>
      </w:r>
      <w:r w:rsidR="2140259C" w:rsidRPr="00C66C24">
        <w:rPr>
          <w:rFonts w:cstheme="minorBidi"/>
          <w:color w:val="202124"/>
          <w:shd w:val="clear" w:color="auto" w:fill="FFFFFF"/>
        </w:rPr>
        <w:t>s</w:t>
      </w:r>
      <w:r w:rsidR="4045FCCF" w:rsidRPr="00C66C24">
        <w:rPr>
          <w:rFonts w:cstheme="minorBidi"/>
          <w:color w:val="202124"/>
          <w:shd w:val="clear" w:color="auto" w:fill="FFFFFF"/>
        </w:rPr>
        <w:t>pecies can b</w:t>
      </w:r>
      <w:r w:rsidR="2609684A" w:rsidRPr="00C66C24">
        <w:rPr>
          <w:rFonts w:cstheme="minorBidi"/>
          <w:color w:val="202124"/>
          <w:shd w:val="clear" w:color="auto" w:fill="FFFFFF"/>
        </w:rPr>
        <w:t>e</w:t>
      </w:r>
      <w:r w:rsidR="6079F7BF" w:rsidRPr="00C66C24">
        <w:rPr>
          <w:rFonts w:cstheme="minorBidi"/>
          <w:color w:val="202124"/>
          <w:shd w:val="clear" w:color="auto" w:fill="FFFFFF"/>
        </w:rPr>
        <w:t xml:space="preserve"> invasive in one area and </w:t>
      </w:r>
      <w:r w:rsidR="063048FD" w:rsidRPr="00C66C24">
        <w:rPr>
          <w:rFonts w:cstheme="minorBidi"/>
          <w:color w:val="202124"/>
          <w:shd w:val="clear" w:color="auto" w:fill="FFFFFF"/>
        </w:rPr>
        <w:t>e</w:t>
      </w:r>
      <w:r w:rsidR="6079F7BF" w:rsidRPr="00C66C24">
        <w:rPr>
          <w:rFonts w:cstheme="minorBidi"/>
          <w:color w:val="202124"/>
          <w:shd w:val="clear" w:color="auto" w:fill="FFFFFF"/>
        </w:rPr>
        <w:t>ffect the local ecosystem, whilst in others the</w:t>
      </w:r>
      <w:r w:rsidR="786E0738" w:rsidRPr="00C66C24">
        <w:rPr>
          <w:rFonts w:cstheme="minorBidi"/>
          <w:color w:val="202124"/>
          <w:shd w:val="clear" w:color="auto" w:fill="FFFFFF"/>
        </w:rPr>
        <w:t>ir presence is not detrimental</w:t>
      </w:r>
      <w:r w:rsidR="00A46AB1" w:rsidRPr="00C66C24">
        <w:rPr>
          <w:rFonts w:cstheme="minorBidi"/>
          <w:color w:val="202124"/>
          <w:shd w:val="clear" w:color="auto" w:fill="FFFFFF"/>
        </w:rPr>
        <w:t xml:space="preserve">. </w:t>
      </w:r>
      <w:r w:rsidR="008E746F" w:rsidRPr="00C66C24">
        <w:rPr>
          <w:rFonts w:cstheme="minorBidi"/>
          <w:color w:val="202124"/>
          <w:shd w:val="clear" w:color="auto" w:fill="FFFFFF"/>
        </w:rPr>
        <w:t>The</w:t>
      </w:r>
      <w:r w:rsidR="008E746F" w:rsidRPr="00C66C24">
        <w:t xml:space="preserve">re is also a slight shift in shares between </w:t>
      </w:r>
      <w:r w:rsidR="00576D46" w:rsidRPr="00C66C24">
        <w:t>bio</w:t>
      </w:r>
      <w:r w:rsidR="008E746F" w:rsidRPr="00C66C24">
        <w:t>fouling and ballast water pathways for IAS (</w:t>
      </w:r>
      <w:r w:rsidR="00C30A95" w:rsidRPr="00C66C24">
        <w:rPr>
          <w:szCs w:val="22"/>
        </w:rPr>
        <w:fldChar w:fldCharType="begin"/>
      </w:r>
      <w:r w:rsidR="00C30A95" w:rsidRPr="00C66C24">
        <w:rPr>
          <w:szCs w:val="22"/>
        </w:rPr>
        <w:instrText xml:space="preserve"> REF _Ref151111705 \h </w:instrText>
      </w:r>
      <w:r w:rsidR="00AE0A02" w:rsidRPr="00C66C24">
        <w:rPr>
          <w:szCs w:val="22"/>
        </w:rPr>
        <w:instrText xml:space="preserve"> \* MERGEFORMAT </w:instrText>
      </w:r>
      <w:r w:rsidR="00C30A95" w:rsidRPr="00C66C24">
        <w:rPr>
          <w:szCs w:val="22"/>
        </w:rPr>
      </w:r>
      <w:r w:rsidR="00C30A95" w:rsidRPr="00C66C24">
        <w:rPr>
          <w:szCs w:val="22"/>
        </w:rPr>
        <w:fldChar w:fldCharType="separate"/>
      </w:r>
      <w:r w:rsidR="00560403" w:rsidRPr="00C66C24" w:rsidDel="00AE7E1A">
        <w:t xml:space="preserve">Figure </w:t>
      </w:r>
      <w:r w:rsidR="00F732FB">
        <w:t>2</w:t>
      </w:r>
      <w:r w:rsidR="00560403" w:rsidRPr="00C66C24" w:rsidDel="00AE7E1A">
        <w:t>.29</w:t>
      </w:r>
      <w:r w:rsidR="00C30A95" w:rsidRPr="00C66C24">
        <w:rPr>
          <w:szCs w:val="22"/>
        </w:rPr>
        <w:fldChar w:fldCharType="end"/>
      </w:r>
      <w:r w:rsidR="008E746F" w:rsidRPr="00C66C24">
        <w:t>, right), where in last six-year periods, the majority of IAS were introduced by ballast water, in contrast to the first decades. This is also different to all NIS, where this shift is not apparent (</w:t>
      </w:r>
      <w:r w:rsidR="00C30A95" w:rsidRPr="00C66C24">
        <w:rPr>
          <w:szCs w:val="22"/>
        </w:rPr>
        <w:fldChar w:fldCharType="begin"/>
      </w:r>
      <w:r w:rsidR="00C30A95" w:rsidRPr="00C66C24">
        <w:rPr>
          <w:szCs w:val="22"/>
        </w:rPr>
        <w:instrText xml:space="preserve"> REF _Ref151111705 \h </w:instrText>
      </w:r>
      <w:r w:rsidR="00AE0A02" w:rsidRPr="00C66C24">
        <w:rPr>
          <w:szCs w:val="22"/>
        </w:rPr>
        <w:instrText xml:space="preserve"> \* MERGEFORMAT </w:instrText>
      </w:r>
      <w:r w:rsidR="00C30A95" w:rsidRPr="00C66C24">
        <w:rPr>
          <w:szCs w:val="22"/>
        </w:rPr>
      </w:r>
      <w:r w:rsidR="00C30A95" w:rsidRPr="00C66C24">
        <w:rPr>
          <w:szCs w:val="22"/>
        </w:rPr>
        <w:fldChar w:fldCharType="separate"/>
      </w:r>
      <w:r w:rsidR="00560403" w:rsidRPr="00C66C24" w:rsidDel="00AE7E1A">
        <w:t xml:space="preserve">Figure </w:t>
      </w:r>
      <w:r w:rsidR="00F732FB">
        <w:t>2</w:t>
      </w:r>
      <w:r w:rsidR="00560403" w:rsidRPr="00C66C24" w:rsidDel="00AE7E1A">
        <w:t>.29</w:t>
      </w:r>
      <w:r w:rsidR="00C30A95" w:rsidRPr="00C66C24">
        <w:rPr>
          <w:szCs w:val="22"/>
        </w:rPr>
        <w:fldChar w:fldCharType="end"/>
      </w:r>
      <w:r w:rsidR="008E746F" w:rsidRPr="00C66C24">
        <w:t xml:space="preserve">, left). </w:t>
      </w:r>
    </w:p>
    <w:p w14:paraId="53EB101D" w14:textId="287DB177" w:rsidR="008E746F" w:rsidRPr="00C66C24" w:rsidRDefault="00F47AC5" w:rsidP="008C6A9C">
      <w:pPr>
        <w:keepNext/>
        <w:spacing w:line="257" w:lineRule="auto"/>
      </w:pPr>
      <w:r w:rsidRPr="00C66C24">
        <w:rPr>
          <w:noProof/>
        </w:rPr>
        <w:drawing>
          <wp:inline distT="0" distB="0" distL="0" distR="0" wp14:anchorId="45C80601" wp14:editId="4D86D60B">
            <wp:extent cx="5400040" cy="1793875"/>
            <wp:effectExtent l="0" t="0" r="0" b="0"/>
            <wp:docPr id="1026328970" name="Picture 1026328970"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328970" name="Picture 1" descr="A close-up of a graph&#10;&#10;Description automatically generated"/>
                    <pic:cNvPicPr/>
                  </pic:nvPicPr>
                  <pic:blipFill>
                    <a:blip r:embed="rId59"/>
                    <a:stretch>
                      <a:fillRect/>
                    </a:stretch>
                  </pic:blipFill>
                  <pic:spPr>
                    <a:xfrm>
                      <a:off x="0" y="0"/>
                      <a:ext cx="5400040" cy="1793875"/>
                    </a:xfrm>
                    <a:prstGeom prst="rect">
                      <a:avLst/>
                    </a:prstGeom>
                  </pic:spPr>
                </pic:pic>
              </a:graphicData>
            </a:graphic>
          </wp:inline>
        </w:drawing>
      </w:r>
    </w:p>
    <w:p w14:paraId="7BD5F8DB" w14:textId="121EE9A7" w:rsidR="008E746F" w:rsidRPr="00C66C24" w:rsidRDefault="00AF4A85" w:rsidP="008C6A9C">
      <w:pPr>
        <w:pStyle w:val="Caption"/>
        <w:spacing w:after="0" w:line="257" w:lineRule="auto"/>
        <w:jc w:val="center"/>
        <w:rPr>
          <w:sz w:val="20"/>
          <w:szCs w:val="20"/>
        </w:rPr>
      </w:pPr>
      <w:bookmarkStart w:id="141" w:name="_Ref151111705"/>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29</w:t>
      </w:r>
      <w:r w:rsidR="00A81F61" w:rsidRPr="00C66C24">
        <w:rPr>
          <w:sz w:val="20"/>
          <w:szCs w:val="20"/>
        </w:rPr>
        <w:fldChar w:fldCharType="end"/>
      </w:r>
      <w:bookmarkEnd w:id="141"/>
      <w:r w:rsidR="003628EA" w:rsidRPr="00C66C24">
        <w:rPr>
          <w:sz w:val="20"/>
          <w:szCs w:val="20"/>
        </w:rPr>
        <w:t xml:space="preserve"> </w:t>
      </w:r>
      <w:r w:rsidR="008E746F" w:rsidRPr="00C66C24">
        <w:rPr>
          <w:sz w:val="20"/>
          <w:szCs w:val="20"/>
        </w:rPr>
        <w:t>N</w:t>
      </w:r>
      <w:r w:rsidR="00011304" w:rsidRPr="00C66C24">
        <w:rPr>
          <w:sz w:val="20"/>
          <w:szCs w:val="20"/>
        </w:rPr>
        <w:t>umber o</w:t>
      </w:r>
      <w:r w:rsidR="001F51B1" w:rsidRPr="00C66C24">
        <w:rPr>
          <w:sz w:val="20"/>
          <w:szCs w:val="20"/>
        </w:rPr>
        <w:t>f n</w:t>
      </w:r>
      <w:r w:rsidR="008E746F" w:rsidRPr="00C66C24">
        <w:rPr>
          <w:sz w:val="20"/>
          <w:szCs w:val="20"/>
        </w:rPr>
        <w:t xml:space="preserve">on-indigenous species (left) and invasive alien species (right) introduced by </w:t>
      </w:r>
      <w:r w:rsidR="00DD0073" w:rsidRPr="00C66C24">
        <w:rPr>
          <w:sz w:val="20"/>
          <w:szCs w:val="20"/>
        </w:rPr>
        <w:t>bio</w:t>
      </w:r>
      <w:r w:rsidR="008E746F" w:rsidRPr="00C66C24">
        <w:rPr>
          <w:sz w:val="20"/>
          <w:szCs w:val="20"/>
        </w:rPr>
        <w:t>fouling and ballast water, by six-year periods</w:t>
      </w:r>
      <w:r w:rsidR="00470A98" w:rsidRPr="00C66C24">
        <w:rPr>
          <w:rStyle w:val="FootnoteReference"/>
        </w:rPr>
        <w:footnoteReference w:id="12"/>
      </w:r>
      <w:r w:rsidR="008E746F" w:rsidRPr="00C66C24">
        <w:rPr>
          <w:sz w:val="20"/>
          <w:szCs w:val="20"/>
        </w:rPr>
        <w:t>.</w:t>
      </w:r>
    </w:p>
    <w:p w14:paraId="5AB8DEF8" w14:textId="0FE5EACA" w:rsidR="008E746F" w:rsidRPr="008D1835" w:rsidRDefault="008E746F" w:rsidP="008C6A9C">
      <w:pPr>
        <w:spacing w:before="0" w:after="0" w:line="257" w:lineRule="auto"/>
        <w:jc w:val="center"/>
        <w:rPr>
          <w:rFonts w:ascii="Calibri" w:hAnsi="Calibri"/>
          <w:color w:val="000000" w:themeColor="text1"/>
          <w:sz w:val="20"/>
        </w:rPr>
      </w:pPr>
      <w:r w:rsidRPr="00D93274">
        <w:rPr>
          <w:rFonts w:ascii="Calibri" w:hAnsi="Calibri"/>
          <w:color w:val="000000" w:themeColor="text1"/>
          <w:sz w:val="20"/>
        </w:rPr>
        <w:t xml:space="preserve">Source: Teixeira et al. 2019 ETC technical report; EEA MAR002 </w:t>
      </w:r>
      <w:r w:rsidR="00930376" w:rsidRPr="00D93274">
        <w:rPr>
          <w:rFonts w:ascii="Calibri" w:hAnsi="Calibri"/>
          <w:color w:val="000000" w:themeColor="text1"/>
          <w:sz w:val="20"/>
        </w:rPr>
        <w:t>Indicator</w:t>
      </w:r>
      <w:r w:rsidRPr="00D93274">
        <w:rPr>
          <w:rFonts w:ascii="Calibri" w:hAnsi="Calibri"/>
          <w:color w:val="000000" w:themeColor="text1"/>
          <w:sz w:val="20"/>
        </w:rPr>
        <w:t xml:space="preserve"> </w:t>
      </w:r>
      <w:r w:rsidR="00930376" w:rsidRPr="00D93274">
        <w:rPr>
          <w:rFonts w:ascii="Calibri" w:hAnsi="Calibri"/>
          <w:color w:val="000000" w:themeColor="text1"/>
          <w:sz w:val="20"/>
        </w:rPr>
        <w:t>(</w:t>
      </w:r>
      <w:r w:rsidR="00930376" w:rsidRPr="00C66C24">
        <w:rPr>
          <w:rFonts w:ascii="Calibri" w:hAnsi="Calibri"/>
          <w:color w:val="000000" w:themeColor="text1"/>
          <w:sz w:val="20"/>
        </w:rPr>
        <w:fldChar w:fldCharType="begin"/>
      </w:r>
      <w:r w:rsidR="001855E3" w:rsidRPr="008D1835">
        <w:rPr>
          <w:rFonts w:ascii="Calibri" w:hAnsi="Calibri"/>
          <w:color w:val="000000" w:themeColor="text1"/>
          <w:sz w:val="20"/>
        </w:rPr>
        <w:instrText xml:space="preserve"> ADDIN ZOTERO_ITEM CSL_CITATION {"citationID":"a22shkjbruo","properties":{"formattedCitation":"\\uldash{({\\i{}Marine Non-Indigenous Species in Europe\\uc0\\u8217{}s Seas}, 2023)}","plainCitation":"(Marine Non-Indigenous Species in Europe’s Seas, 2023)","dontUpdate":true,"noteIndex":0},"citationItems":[{"id":59173,"uris":["http://zotero.org/groups/122386/items/33U36X6I"],"itemData":{"id":59173,"type":"webpage","abstract":"Non-indigenous species threaten biodiversity in Europe’s seas and are targeted by EU policy. Since 1970, 640 species (excluding microalgae, pathogens and parasites) have invaded European waters, with an increasing average annual rate of new introductions. Between 2012 and 2017, on average 21.5 species per year were detected, up from seven in the 1970s. Introduction rates vary by species group, pathway and marine region, with the numbers of new species in the Mediterranean Sea being particularly notable. Transport – Stowaway/Shipping remains the main pathway of introduction, accounting for almost half of all new invasions, followed by unaided introductions from neighbouring non-EU waters (23%).","language":"en","title":"Marine non-indigenous species in Europe’s seas","URL":"https://www.eea.europa.eu/en/analysis/indicators/marine-non-indigenous-species-in","accessed":{"date-parts":[["2024",1,18]]},"issued":{"date-parts":[["2023"]]}}}],"schema":"https://github.com/citation-style-language/schema/raw/master/csl-citation.json"} </w:instrText>
      </w:r>
      <w:r w:rsidR="00930376" w:rsidRPr="00C66C24">
        <w:rPr>
          <w:rFonts w:ascii="Calibri" w:hAnsi="Calibri"/>
          <w:color w:val="000000" w:themeColor="text1"/>
          <w:sz w:val="20"/>
        </w:rPr>
        <w:fldChar w:fldCharType="separate"/>
      </w:r>
      <w:r w:rsidR="00930376" w:rsidRPr="008D1835">
        <w:rPr>
          <w:rFonts w:ascii="Calibri" w:hAnsi="Calibri" w:cs="Calibri"/>
          <w:sz w:val="20"/>
        </w:rPr>
        <w:t>EEA, 2023)</w:t>
      </w:r>
      <w:r w:rsidR="00930376" w:rsidRPr="00C66C24">
        <w:rPr>
          <w:rFonts w:ascii="Calibri" w:hAnsi="Calibri"/>
          <w:color w:val="000000" w:themeColor="text1"/>
          <w:sz w:val="20"/>
        </w:rPr>
        <w:fldChar w:fldCharType="end"/>
      </w:r>
      <w:r w:rsidR="002544D3" w:rsidRPr="008D1835">
        <w:rPr>
          <w:rFonts w:ascii="Calibri" w:hAnsi="Calibri"/>
          <w:color w:val="000000" w:themeColor="text1"/>
          <w:sz w:val="20"/>
        </w:rPr>
        <w:t>.</w:t>
      </w:r>
    </w:p>
    <w:p w14:paraId="57343B9D" w14:textId="77777777" w:rsidR="002D3D59" w:rsidRPr="008D1835" w:rsidRDefault="002D3D59" w:rsidP="008C6A9C">
      <w:pPr>
        <w:spacing w:before="0" w:after="0" w:line="257" w:lineRule="auto"/>
        <w:jc w:val="center"/>
        <w:rPr>
          <w:rFonts w:ascii="Calibri" w:hAnsi="Calibri"/>
          <w:color w:val="000000" w:themeColor="text1"/>
          <w:sz w:val="20"/>
        </w:rPr>
      </w:pPr>
    </w:p>
    <w:p w14:paraId="0AE2AEE0" w14:textId="6B9639B2" w:rsidR="0090075E" w:rsidRPr="00C66C24" w:rsidRDefault="000E525E" w:rsidP="005B00B3">
      <w:pPr>
        <w:spacing w:before="0" w:after="120" w:line="257" w:lineRule="auto"/>
        <w:rPr>
          <w:szCs w:val="22"/>
        </w:rPr>
      </w:pPr>
      <w:r w:rsidRPr="00C66C24">
        <w:rPr>
          <w:szCs w:val="22"/>
        </w:rPr>
        <w:t xml:space="preserve">The two subregions with the highest numbers of NIS and IAS in the </w:t>
      </w:r>
      <w:r w:rsidR="007C2336" w:rsidRPr="00C66C24">
        <w:rPr>
          <w:szCs w:val="22"/>
        </w:rPr>
        <w:t>European</w:t>
      </w:r>
      <w:r w:rsidRPr="00C66C24">
        <w:rPr>
          <w:szCs w:val="22"/>
        </w:rPr>
        <w:t xml:space="preserve"> seas are Bay of Biscay and Western Mediterranean Sea. The share between introduction pathways moves towards biofouling in these two regions.</w:t>
      </w:r>
    </w:p>
    <w:p w14:paraId="5A9493A9" w14:textId="77777777" w:rsidR="008E746F" w:rsidRPr="00C66C24" w:rsidRDefault="008E746F" w:rsidP="008C6A9C">
      <w:pPr>
        <w:keepNext/>
        <w:spacing w:line="257" w:lineRule="auto"/>
        <w:jc w:val="center"/>
      </w:pPr>
      <w:r w:rsidRPr="00C66C24">
        <w:rPr>
          <w:noProof/>
        </w:rPr>
        <w:drawing>
          <wp:inline distT="0" distB="0" distL="0" distR="0" wp14:anchorId="4846DE24" wp14:editId="61C4E6DD">
            <wp:extent cx="5435837" cy="2381693"/>
            <wp:effectExtent l="0" t="0" r="0" b="0"/>
            <wp:docPr id="1000462945" name="Picture 1000462945" descr="A graph of different colored colum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62945" name="Picture 1000462945" descr="A graph of different colored columns&#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12248" cy="2415172"/>
                    </a:xfrm>
                    <a:prstGeom prst="rect">
                      <a:avLst/>
                    </a:prstGeom>
                    <a:noFill/>
                  </pic:spPr>
                </pic:pic>
              </a:graphicData>
            </a:graphic>
          </wp:inline>
        </w:drawing>
      </w:r>
    </w:p>
    <w:p w14:paraId="0AC1BD6E" w14:textId="21749673" w:rsidR="008E746F" w:rsidRPr="00C66C24" w:rsidRDefault="00AF4A85" w:rsidP="008C6A9C">
      <w:pPr>
        <w:pStyle w:val="Caption"/>
        <w:spacing w:after="0" w:line="257" w:lineRule="auto"/>
        <w:jc w:val="center"/>
        <w:rPr>
          <w:sz w:val="20"/>
          <w:szCs w:val="20"/>
        </w:rPr>
      </w:pPr>
      <w:bookmarkStart w:id="142" w:name="_Ref151111807"/>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30</w:t>
      </w:r>
      <w:r w:rsidR="00A81F61" w:rsidRPr="00C66C24">
        <w:rPr>
          <w:sz w:val="20"/>
          <w:szCs w:val="20"/>
        </w:rPr>
        <w:fldChar w:fldCharType="end"/>
      </w:r>
      <w:bookmarkEnd w:id="142"/>
      <w:r w:rsidRPr="00C66C24">
        <w:rPr>
          <w:sz w:val="20"/>
          <w:szCs w:val="20"/>
        </w:rPr>
        <w:t xml:space="preserve"> </w:t>
      </w:r>
      <w:r w:rsidR="008E746F" w:rsidRPr="00C66C24">
        <w:rPr>
          <w:sz w:val="20"/>
          <w:szCs w:val="20"/>
        </w:rPr>
        <w:t>Number of new NIS introduced by maritime transport, by 6-year cycles</w:t>
      </w:r>
      <w:r w:rsidR="00506291" w:rsidRPr="00C66C24">
        <w:rPr>
          <w:rStyle w:val="FootnoteReference"/>
        </w:rPr>
        <w:footnoteReference w:id="13"/>
      </w:r>
      <w:r w:rsidR="008E746F" w:rsidRPr="00C66C24">
        <w:rPr>
          <w:sz w:val="20"/>
          <w:szCs w:val="20"/>
        </w:rPr>
        <w:t>.</w:t>
      </w:r>
    </w:p>
    <w:p w14:paraId="20E45B8C" w14:textId="060D7A8E" w:rsidR="008E746F" w:rsidRPr="00C66C24" w:rsidRDefault="008E746F" w:rsidP="008C6A9C">
      <w:pPr>
        <w:spacing w:before="0" w:after="120" w:line="257" w:lineRule="auto"/>
        <w:jc w:val="center"/>
        <w:rPr>
          <w:noProof/>
          <w:sz w:val="20"/>
          <w:szCs w:val="20"/>
        </w:rPr>
      </w:pPr>
      <w:r w:rsidRPr="00C66C24">
        <w:rPr>
          <w:sz w:val="20"/>
          <w:szCs w:val="20"/>
        </w:rPr>
        <w:t xml:space="preserve">Source: </w:t>
      </w:r>
      <w:r w:rsidRPr="00C66C24">
        <w:rPr>
          <w:noProof/>
          <w:sz w:val="20"/>
          <w:szCs w:val="20"/>
        </w:rPr>
        <w:t>EEA</w:t>
      </w:r>
      <w:r w:rsidR="006A641D">
        <w:rPr>
          <w:noProof/>
          <w:sz w:val="20"/>
          <w:szCs w:val="20"/>
        </w:rPr>
        <w:t>,</w:t>
      </w:r>
      <w:r w:rsidRPr="00C66C24">
        <w:rPr>
          <w:noProof/>
          <w:sz w:val="20"/>
          <w:szCs w:val="20"/>
        </w:rPr>
        <w:t xml:space="preserve"> MAR002 indicator 2023</w:t>
      </w:r>
      <w:r w:rsidR="002544D3" w:rsidRPr="00C66C24">
        <w:rPr>
          <w:noProof/>
          <w:sz w:val="20"/>
          <w:szCs w:val="20"/>
        </w:rPr>
        <w:t>.</w:t>
      </w:r>
    </w:p>
    <w:p w14:paraId="4504CD59" w14:textId="205DE8E7" w:rsidR="00EE0790" w:rsidRPr="00C66C24" w:rsidRDefault="004F68D3" w:rsidP="005B00B3">
      <w:pPr>
        <w:spacing w:before="0" w:after="0" w:line="257" w:lineRule="auto"/>
      </w:pPr>
      <w:r w:rsidRPr="00C66C24">
        <w:t>The major vectors of introductions are the ships’ ballast water and ship hull- and niche areas</w:t>
      </w:r>
      <w:r w:rsidR="00732997" w:rsidRPr="00C66C24">
        <w:t xml:space="preserve"> (</w:t>
      </w:r>
      <w:r w:rsidR="00732997" w:rsidRPr="00C66C24">
        <w:fldChar w:fldCharType="begin"/>
      </w:r>
      <w:r w:rsidR="00732997" w:rsidRPr="00C66C24">
        <w:instrText xml:space="preserve"> REF _Ref151111807 \h </w:instrText>
      </w:r>
      <w:r w:rsidR="00732997" w:rsidRPr="00C66C24">
        <w:fldChar w:fldCharType="separate"/>
      </w:r>
      <w:r w:rsidR="00732997" w:rsidRPr="00C66C24">
        <w:t>Figure 2.30</w:t>
      </w:r>
      <w:r w:rsidR="00732997" w:rsidRPr="00C66C24">
        <w:fldChar w:fldCharType="end"/>
      </w:r>
      <w:r w:rsidR="00732997" w:rsidRPr="00C66C24">
        <w:t>)</w:t>
      </w:r>
      <w:r w:rsidRPr="00C66C24">
        <w:t xml:space="preserve">. </w:t>
      </w:r>
      <w:r w:rsidR="00EE0790" w:rsidRPr="00C66C24">
        <w:t>With the Ballast Water Management Convention coming into force in 2017, International Ballast Water Management Certificate is required for vessels of 400 GT (gross tonnage) and above and certifies that the vessel carries out ballast water management in accordance with the BWM Convention and specifies which standard (D-1 or D-2) the ship is complying with</w:t>
      </w:r>
      <w:r w:rsidR="004A7E20" w:rsidRPr="00C66C24">
        <w:t xml:space="preserve"> </w:t>
      </w:r>
      <w:r w:rsidR="002A0220" w:rsidRPr="001352A6">
        <w:fldChar w:fldCharType="begin"/>
      </w:r>
      <w:r w:rsidR="001352A6" w:rsidRPr="001352A6">
        <w:instrText xml:space="preserve"> ADDIN ZOTERO_ITEM CSL_CITATION {"citationID":"a1jrc7a83fe","properties":{"formattedCitation":"\\uldash{(IMO, 2017)}","plainCitation":"(IMO, 2017)","noteIndex":0},"citationItems":[{"id":23289,"uris":["http://zotero.org/groups/122386/items/IF2CPC9M"],"itemData":{"id":23289,"type":"webpage","container-title":"International Maritime Organization","title":"International Convention for the Control and Management of Ships' Ballast Water and Sediments (BWM)","URL":"https://www.imo.org/en/About/Conventions/Pages/International-Convention-for-the-Control-and-Management-of-Ships%27-Ballast-Water-and-Sediments-(BWM).aspx","author":[{"family":"IMO","given":""}],"accessed":{"date-parts":[["2021",6,4]]},"issued":{"date-parts":[["2017"]]}}}],"schema":"https://github.com/citation-style-language/schema/raw/master/csl-citation.json"} </w:instrText>
      </w:r>
      <w:r w:rsidR="002A0220" w:rsidRPr="001352A6">
        <w:fldChar w:fldCharType="separate"/>
      </w:r>
      <w:r w:rsidR="001352A6" w:rsidRPr="001352A6">
        <w:rPr>
          <w:rFonts w:ascii="Calibri" w:hAnsi="Calibri" w:cs="Calibri"/>
        </w:rPr>
        <w:t>(IMO, 2017)</w:t>
      </w:r>
      <w:r w:rsidR="002A0220" w:rsidRPr="001352A6">
        <w:fldChar w:fldCharType="end"/>
      </w:r>
      <w:r w:rsidR="00EE0790" w:rsidRPr="00C66C24">
        <w:t>. Based on available data approximately 80,000 vessels worldwide need to carry this Certificate. However, the available and reliable data on Certificate status and related BWM standard is scarce, as the reporting is not mandatory. Available datasets thus rely on voluntary reporting and are not complete.</w:t>
      </w:r>
    </w:p>
    <w:p w14:paraId="6446A640" w14:textId="0145282D" w:rsidR="00EE0790" w:rsidRPr="00C66C24" w:rsidRDefault="00EE0790" w:rsidP="005B00B3">
      <w:pPr>
        <w:spacing w:before="0" w:after="0" w:line="257" w:lineRule="auto"/>
      </w:pPr>
      <w:r w:rsidRPr="00C66C24">
        <w:t>Out of 88,000 vessels (&gt; 400 GT) from global fleet, approximately 25,000 vessels (31%) have reported an International Ballast Water Management Certificate (</w:t>
      </w:r>
      <w:r w:rsidR="002E7D55" w:rsidRPr="00C66C24">
        <w:rPr>
          <w:szCs w:val="22"/>
        </w:rPr>
        <w:fldChar w:fldCharType="begin"/>
      </w:r>
      <w:r w:rsidR="002E7D55" w:rsidRPr="00C66C24">
        <w:rPr>
          <w:szCs w:val="22"/>
        </w:rPr>
        <w:instrText xml:space="preserve"> REF _Ref156472635 \h  \* MERGEFORMAT </w:instrText>
      </w:r>
      <w:r w:rsidR="002E7D55" w:rsidRPr="00C66C24">
        <w:rPr>
          <w:szCs w:val="22"/>
        </w:rPr>
      </w:r>
      <w:r w:rsidR="002E7D55" w:rsidRPr="00C66C24">
        <w:rPr>
          <w:szCs w:val="22"/>
        </w:rPr>
        <w:fldChar w:fldCharType="separate"/>
      </w:r>
      <w:r w:rsidR="002E7D55" w:rsidRPr="00C66C24">
        <w:rPr>
          <w:szCs w:val="22"/>
        </w:rPr>
        <w:t xml:space="preserve">Figure </w:t>
      </w:r>
      <w:bookmarkStart w:id="143" w:name="_Hlt157612565"/>
      <w:r w:rsidR="002E7D55" w:rsidRPr="00C66C24">
        <w:rPr>
          <w:noProof/>
          <w:szCs w:val="22"/>
        </w:rPr>
        <w:t>2</w:t>
      </w:r>
      <w:bookmarkEnd w:id="143"/>
      <w:r w:rsidR="002E7D55" w:rsidRPr="00C66C24">
        <w:rPr>
          <w:szCs w:val="22"/>
        </w:rPr>
        <w:t>.</w:t>
      </w:r>
      <w:r w:rsidR="002E7D55" w:rsidRPr="00C66C24">
        <w:rPr>
          <w:szCs w:val="22"/>
        </w:rPr>
        <w:fldChar w:fldCharType="end"/>
      </w:r>
      <w:r w:rsidR="008E18CA" w:rsidRPr="00C66C24">
        <w:rPr>
          <w:szCs w:val="22"/>
        </w:rPr>
        <w:t>31</w:t>
      </w:r>
      <w:r w:rsidRPr="00C66C24">
        <w:t>). 18</w:t>
      </w:r>
      <w:r w:rsidR="00711C3E" w:rsidRPr="00C66C24">
        <w:t>,</w:t>
      </w:r>
      <w:r w:rsidRPr="00C66C24">
        <w:t>676 (75%) of these vessels have installed a BWM system and are compliant with the D-2 BWM standard (23% of all vessels &gt; 400 GT), while 6</w:t>
      </w:r>
      <w:r w:rsidR="00711C3E" w:rsidRPr="00C66C24">
        <w:t>,</w:t>
      </w:r>
      <w:r w:rsidRPr="00C66C24">
        <w:t>263 (25%) vessels (8% of all vessels) either do not have BWM system installed, or do not use it, thus comply only with D-1 standard.</w:t>
      </w:r>
    </w:p>
    <w:p w14:paraId="0576A1DC" w14:textId="763A4EEB" w:rsidR="00EE0790" w:rsidRPr="00C66C24" w:rsidRDefault="00EE0790" w:rsidP="008C6A9C">
      <w:pPr>
        <w:spacing w:before="0" w:after="120" w:line="257" w:lineRule="auto"/>
      </w:pPr>
      <w:r w:rsidRPr="00C66C24">
        <w:t xml:space="preserve">Based on this BWM Certificate analysis, it is assumed that around 15% of all vessels have not yet started using the soon-obligatory BWM system, while around 10% are yet to establish it. In conclusion, around 90% of vessels are ready to conform </w:t>
      </w:r>
      <w:r w:rsidR="00E33D20" w:rsidRPr="00C66C24">
        <w:t xml:space="preserve">with </w:t>
      </w:r>
      <w:r w:rsidRPr="00C66C24">
        <w:t>the D-2 standard which threads a good way towards limiting the spread of non-indigenous species by ballast waters in European, as well as global</w:t>
      </w:r>
      <w:r w:rsidR="00DF6720" w:rsidRPr="00C66C24">
        <w:t>,</w:t>
      </w:r>
      <w:r w:rsidRPr="00C66C24">
        <w:t xml:space="preserve"> seas.</w:t>
      </w:r>
    </w:p>
    <w:p w14:paraId="3E507729" w14:textId="77777777" w:rsidR="00EE0790" w:rsidRPr="00C66C24" w:rsidRDefault="00EE0790" w:rsidP="005B00B3">
      <w:pPr>
        <w:spacing w:line="257" w:lineRule="auto"/>
        <w:jc w:val="center"/>
      </w:pPr>
      <w:r w:rsidRPr="00C66C24">
        <w:rPr>
          <w:noProof/>
        </w:rPr>
        <w:drawing>
          <wp:inline distT="0" distB="0" distL="0" distR="0" wp14:anchorId="571EF837" wp14:editId="0ED87946">
            <wp:extent cx="5086800" cy="2314800"/>
            <wp:effectExtent l="0" t="0" r="0" b="9525"/>
            <wp:docPr id="2001106517" name="Picture 2001106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086800" cy="2314800"/>
                    </a:xfrm>
                    <a:prstGeom prst="rect">
                      <a:avLst/>
                    </a:prstGeom>
                    <a:noFill/>
                  </pic:spPr>
                </pic:pic>
              </a:graphicData>
            </a:graphic>
          </wp:inline>
        </w:drawing>
      </w:r>
    </w:p>
    <w:p w14:paraId="75A9DA74" w14:textId="51976616" w:rsidR="00803A2F" w:rsidRDefault="002042C8" w:rsidP="008C6A9C">
      <w:pPr>
        <w:pStyle w:val="Caption"/>
        <w:spacing w:after="0" w:line="257" w:lineRule="auto"/>
        <w:jc w:val="center"/>
        <w:rPr>
          <w:sz w:val="20"/>
          <w:szCs w:val="20"/>
        </w:rPr>
      </w:pPr>
      <w:bookmarkStart w:id="144" w:name="_Ref156472635"/>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31</w:t>
      </w:r>
      <w:r w:rsidR="00A81F61" w:rsidRPr="00C66C24">
        <w:rPr>
          <w:sz w:val="20"/>
          <w:szCs w:val="20"/>
        </w:rPr>
        <w:fldChar w:fldCharType="end"/>
      </w:r>
      <w:bookmarkEnd w:id="144"/>
      <w:r w:rsidRPr="00C66C24">
        <w:rPr>
          <w:sz w:val="20"/>
          <w:szCs w:val="20"/>
        </w:rPr>
        <w:t xml:space="preserve"> Reported Ballast Water Management (BWM) Certificates and BWM standard compliance of global vessel fleet (&gt; 400 GT)</w:t>
      </w:r>
      <w:r w:rsidR="00DE7129" w:rsidRPr="00C66C24">
        <w:rPr>
          <w:rStyle w:val="FootnoteReference"/>
        </w:rPr>
        <w:footnoteReference w:id="14"/>
      </w:r>
    </w:p>
    <w:p w14:paraId="1A36D6D4" w14:textId="391ECC1B" w:rsidR="00F36CFF" w:rsidRPr="00C66C24" w:rsidRDefault="00F36CFF" w:rsidP="00F36CFF">
      <w:pPr>
        <w:spacing w:before="0" w:after="120" w:line="257" w:lineRule="auto"/>
        <w:jc w:val="center"/>
        <w:rPr>
          <w:noProof/>
          <w:sz w:val="20"/>
          <w:szCs w:val="20"/>
        </w:rPr>
      </w:pPr>
      <w:r w:rsidRPr="00C66C24">
        <w:rPr>
          <w:sz w:val="20"/>
          <w:szCs w:val="20"/>
        </w:rPr>
        <w:t xml:space="preserve">Source: </w:t>
      </w:r>
      <w:r w:rsidR="617B03B7" w:rsidRPr="3350DDC7">
        <w:rPr>
          <w:sz w:val="20"/>
          <w:szCs w:val="20"/>
        </w:rPr>
        <w:t>EMSA</w:t>
      </w:r>
      <w:r>
        <w:rPr>
          <w:noProof/>
          <w:sz w:val="20"/>
          <w:szCs w:val="20"/>
        </w:rPr>
        <w:t>,</w:t>
      </w:r>
      <w:r w:rsidRPr="00C66C24">
        <w:rPr>
          <w:noProof/>
          <w:sz w:val="20"/>
          <w:szCs w:val="20"/>
        </w:rPr>
        <w:t xml:space="preserve"> 2023</w:t>
      </w:r>
      <w:r w:rsidRPr="3350DDC7">
        <w:rPr>
          <w:noProof/>
          <w:sz w:val="20"/>
          <w:szCs w:val="20"/>
        </w:rPr>
        <w:t>.</w:t>
      </w:r>
    </w:p>
    <w:p w14:paraId="4DD90A56" w14:textId="5D2C441E" w:rsidR="7C47FEA4" w:rsidRPr="00E367A3" w:rsidRDefault="60337776" w:rsidP="57B687B2">
      <w:pPr>
        <w:spacing w:before="0" w:after="120" w:line="257" w:lineRule="auto"/>
        <w:rPr>
          <w:rStyle w:val="normaltextrun"/>
          <w:rFonts w:ascii="Calibri" w:hAnsi="Calibri" w:cs="Calibri"/>
          <w:color w:val="000000"/>
          <w:shd w:val="clear" w:color="auto" w:fill="FFFFFF"/>
        </w:rPr>
      </w:pPr>
      <w:r w:rsidRPr="00E367A3">
        <w:rPr>
          <w:rStyle w:val="normaltextrun"/>
          <w:rFonts w:ascii="Calibri" w:hAnsi="Calibri" w:cs="Calibri"/>
          <w:color w:val="000000"/>
          <w:shd w:val="clear" w:color="auto" w:fill="FFFFFF"/>
        </w:rPr>
        <w:t xml:space="preserve">Studies indicate that, under future climate conditions (e.g., increased water temperature and decreased salinity), non-indigenous species are in </w:t>
      </w:r>
      <w:r w:rsidR="00E1516E" w:rsidRPr="00E367A3">
        <w:rPr>
          <w:rStyle w:val="normaltextrun"/>
          <w:rFonts w:ascii="Calibri" w:hAnsi="Calibri" w:cs="Calibri"/>
          <w:color w:val="000000"/>
          <w:shd w:val="clear" w:color="auto" w:fill="FFFFFF"/>
        </w:rPr>
        <w:t>favourable</w:t>
      </w:r>
      <w:r w:rsidRPr="00E367A3">
        <w:rPr>
          <w:rStyle w:val="normaltextrun"/>
          <w:rFonts w:ascii="Calibri" w:hAnsi="Calibri" w:cs="Calibri"/>
          <w:color w:val="000000"/>
          <w:shd w:val="clear" w:color="auto" w:fill="FFFFFF"/>
        </w:rPr>
        <w:t xml:space="preserve"> position compared to native species </w:t>
      </w:r>
      <w:r w:rsidR="005D6619" w:rsidRPr="000530CB">
        <w:rPr>
          <w:rStyle w:val="normaltextrun"/>
          <w:rFonts w:ascii="Calibri" w:hAnsi="Calibri" w:cs="Calibri"/>
          <w:color w:val="000000"/>
          <w:shd w:val="clear" w:color="auto" w:fill="FFFFFF"/>
        </w:rPr>
        <w:fldChar w:fldCharType="begin"/>
      </w:r>
      <w:r w:rsidR="005D6619" w:rsidRPr="000530CB">
        <w:rPr>
          <w:rStyle w:val="normaltextrun"/>
          <w:rFonts w:ascii="Calibri" w:hAnsi="Calibri" w:cs="Calibri"/>
          <w:color w:val="000000"/>
          <w:shd w:val="clear" w:color="auto" w:fill="FFFFFF"/>
        </w:rPr>
        <w:instrText xml:space="preserve"> ADDIN ZOTERO_ITEM CSL_CITATION {"citationID":"a2c23rukn5b","properties":{"formattedCitation":"\\uldash{(McKnight et al., 2021)}","plainCitation":"(McKnight et al., 2021)","noteIndex":0},"citationItems":[{"id":60470,"uris":["http://zotero.org/groups/122386/items/IGUGGF9E"],"itemData":{"id":60470,"type":"article-journal","abstract":"Abstract\n            \n              Aims\n              Contemporary climate change and biological invasions are two main drivers of biodiversity redistribution. Interactive </w:instrText>
      </w:r>
      <w:r w:rsidR="005D6619" w:rsidRPr="000530CB">
        <w:rPr>
          <w:rStyle w:val="normaltextrun"/>
          <w:rFonts w:ascii="Calibri" w:hAnsi="Calibri" w:cs="Calibri" w:hint="eastAsia"/>
          <w:color w:val="000000"/>
          <w:shd w:val="clear" w:color="auto" w:fill="FFFFFF"/>
        </w:rPr>
        <w:instrText>effects between these drivers have been reported in a variety of studies, yet results are conflicting. Some studies find that contemporary climate change facilitates the spread and success of 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 species, especially those with broad physiological tolerances. Other studies conclude that 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natives are vulnerable to current and future changes in climatic conditions. Given that most studies have focused on terrestrial species, here we contribute to this debate by analysing responses of marine native and 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 fauna and flora to key climate</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 xml:space="preserve">related stressors, namely increased temperature (warming) and decreased salinity (freshening).\n            \n            \n              Location\n              Global.\n            \n            \n          </w:instrText>
      </w:r>
      <w:r w:rsidR="005D6619" w:rsidRPr="000530CB">
        <w:rPr>
          <w:rStyle w:val="normaltextrun"/>
          <w:rFonts w:ascii="Calibri" w:hAnsi="Calibri" w:cs="Calibri"/>
          <w:color w:val="000000"/>
          <w:shd w:val="clear" w:color="auto" w:fill="FFFFFF"/>
        </w:rPr>
        <w:instrText xml:space="preserve">    Time period\n              2002–2019.\n            \n            \n              Major taxa studied\n              Marine benthic macrophytes and invertebrates.\n            \n            \n              Methods\n              We conducted a meta</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color w:val="000000"/>
          <w:shd w:val="clear" w:color="auto" w:fill="FFFFFF"/>
        </w:rPr>
        <w:instrText>anal</w:instrText>
      </w:r>
      <w:r w:rsidR="005D6619" w:rsidRPr="000530CB">
        <w:rPr>
          <w:rStyle w:val="normaltextrun"/>
          <w:rFonts w:ascii="Calibri" w:hAnsi="Calibri" w:cs="Calibri" w:hint="eastAsia"/>
          <w:color w:val="000000"/>
          <w:shd w:val="clear" w:color="auto" w:fill="FFFFFF"/>
        </w:rPr>
        <w:instrText>ysis of experiments investigating the performance (e.g. growth, survival and reproduction) of benthic species in response to warming and freshening.\n            \n            \n              Results\n              We found that 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 species tended to respond positively to elevated temperature, whereas the performance of native species declined. Similarly, decreased salinity negatively affected the biological processes of native species, but 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natives showed neutral or negative overall responses to freshening.\n            \n            \n              Main conclusions\n              We find evidence that 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 species outperform natives under a wide variety of warming and freshening conditions. The growth and reproduction of 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natives are enhanced by warmer temperatures, and thus ocean warming is expected to facilitate future spread and success of 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 species. Increased freshening along future coastal areas, however, will likely have a negative impact in both native and 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 s</w:instrText>
      </w:r>
      <w:r w:rsidR="005D6619" w:rsidRPr="000530CB">
        <w:rPr>
          <w:rStyle w:val="normaltextrun"/>
          <w:rFonts w:ascii="Calibri" w:hAnsi="Calibri" w:cs="Calibri"/>
          <w:color w:val="000000"/>
          <w:shd w:val="clear" w:color="auto" w:fill="FFFFFF"/>
        </w:rPr>
        <w:instrText>pecies and thus is expected to be a driver of significant change in coastal marine ecosystems. Our comprehensive analysis highlighted the need to expand our understanding of climate change effects beyond warming and specifically, studies focusing on salinity changes.","container-title":"Global Ecology and Biogeography","DOI":"10.1111/geb.13318","ISSN":"1466-822X, 1466-8238","issue":"8","journalAbbreviation":"Global Ecol. Biogeogr.","language":"en","page":"1698-1712","source":"DOI.org (Crossref)","title":"</w:instrText>
      </w:r>
      <w:r w:rsidR="005D6619" w:rsidRPr="000530CB">
        <w:rPr>
          <w:rStyle w:val="normaltextrun"/>
          <w:rFonts w:ascii="Calibri" w:hAnsi="Calibri" w:cs="Calibri" w:hint="eastAsia"/>
          <w:color w:val="000000"/>
          <w:shd w:val="clear" w:color="auto" w:fill="FFFFFF"/>
        </w:rPr>
        <w:instrText>Non</w:instrText>
      </w:r>
      <w:r w:rsidR="005D6619" w:rsidRPr="000530CB">
        <w:rPr>
          <w:rStyle w:val="normaltextrun"/>
          <w:rFonts w:ascii="Calibri" w:hAnsi="Calibri" w:cs="Calibri" w:hint="eastAsia"/>
          <w:color w:val="000000"/>
          <w:shd w:val="clear" w:color="auto" w:fill="FFFFFF"/>
        </w:rPr>
        <w:instrText>‐</w:instrText>
      </w:r>
      <w:r w:rsidR="005D6619" w:rsidRPr="000530CB">
        <w:rPr>
          <w:rStyle w:val="normaltextrun"/>
          <w:rFonts w:ascii="Calibri" w:hAnsi="Calibri" w:cs="Calibri" w:hint="eastAsia"/>
          <w:color w:val="000000"/>
          <w:shd w:val="clear" w:color="auto" w:fill="FFFFFF"/>
        </w:rPr>
        <w:instrText>native species outperform natives in coastal marine ecosystems subjected to warming and freshening events","volume":"30","author":[{"family":"McKnight","given":"Ella"},{"family":"Spake","given":"Rebecca"},{"family":"Bates","given":"Amanda"},{"family":</w:instrText>
      </w:r>
      <w:r w:rsidR="005D6619" w:rsidRPr="000530CB">
        <w:rPr>
          <w:rStyle w:val="normaltextrun"/>
          <w:rFonts w:ascii="Calibri" w:hAnsi="Calibri" w:cs="Calibri"/>
          <w:color w:val="000000"/>
          <w:shd w:val="clear" w:color="auto" w:fill="FFFFFF"/>
        </w:rPr>
        <w:instrText xml:space="preserve">"Smale","given":"Dan A."},{"family":"Rius","given":"Marc"}],"editor":[{"family":"Leprieur","given":"Fabien"}],"issued":{"date-parts":[["2021",8]]}}}],"schema":"https://github.com/citation-style-language/schema/raw/master/csl-citation.json"} </w:instrText>
      </w:r>
      <w:r w:rsidR="005D6619" w:rsidRPr="000530CB">
        <w:rPr>
          <w:rStyle w:val="normaltextrun"/>
          <w:rFonts w:ascii="Calibri" w:hAnsi="Calibri" w:cs="Calibri"/>
          <w:color w:val="000000"/>
          <w:shd w:val="clear" w:color="auto" w:fill="FFFFFF"/>
        </w:rPr>
        <w:fldChar w:fldCharType="separate"/>
      </w:r>
      <w:r w:rsidR="005D6619" w:rsidRPr="000530CB">
        <w:rPr>
          <w:rFonts w:ascii="Calibri" w:hAnsi="Calibri" w:cs="Calibri"/>
        </w:rPr>
        <w:t>(McKnight et al., 2021)</w:t>
      </w:r>
      <w:r w:rsidR="005D6619" w:rsidRPr="000530CB">
        <w:rPr>
          <w:rStyle w:val="normaltextrun"/>
          <w:rFonts w:ascii="Calibri" w:hAnsi="Calibri" w:cs="Calibri"/>
          <w:color w:val="000000"/>
          <w:shd w:val="clear" w:color="auto" w:fill="FFFFFF"/>
        </w:rPr>
        <w:fldChar w:fldCharType="end"/>
      </w:r>
      <w:r w:rsidRPr="00E367A3">
        <w:rPr>
          <w:rStyle w:val="normaltextrun"/>
          <w:rFonts w:ascii="Calibri" w:hAnsi="Calibri" w:cs="Calibri"/>
          <w:color w:val="000000"/>
          <w:shd w:val="clear" w:color="auto" w:fill="FFFFFF"/>
        </w:rPr>
        <w:t xml:space="preserve">. Climate change may promote further expansion of NIS towards higher latitudes and increase </w:t>
      </w:r>
      <w:r w:rsidR="1F749F0E" w:rsidRPr="00E367A3">
        <w:rPr>
          <w:rStyle w:val="normaltextrun"/>
          <w:rFonts w:ascii="Calibri" w:hAnsi="Calibri" w:cs="Calibri"/>
          <w:color w:val="000000"/>
          <w:shd w:val="clear" w:color="auto" w:fill="FFFFFF"/>
        </w:rPr>
        <w:t xml:space="preserve">the </w:t>
      </w:r>
      <w:r w:rsidRPr="00E367A3">
        <w:rPr>
          <w:rStyle w:val="normaltextrun"/>
          <w:rFonts w:ascii="Calibri" w:hAnsi="Calibri" w:cs="Calibri"/>
          <w:color w:val="000000"/>
          <w:shd w:val="clear" w:color="auto" w:fill="FFFFFF"/>
        </w:rPr>
        <w:t xml:space="preserve">risk of introductions originating from warmer climate regions </w:t>
      </w:r>
      <w:r w:rsidR="00F113D0">
        <w:rPr>
          <w:rStyle w:val="normaltextrun"/>
          <w:rFonts w:ascii="Calibri" w:hAnsi="Calibri" w:cs="Calibri"/>
          <w:color w:val="000000"/>
          <w:shd w:val="clear" w:color="auto" w:fill="FFFFFF"/>
        </w:rPr>
        <w:t>(</w:t>
      </w:r>
      <w:r w:rsidR="00E367A3" w:rsidRPr="00F113D0">
        <w:rPr>
          <w:rStyle w:val="normaltextrun"/>
          <w:rFonts w:ascii="Calibri" w:hAnsi="Calibri" w:cs="Calibri"/>
          <w:color w:val="000000"/>
          <w:shd w:val="clear" w:color="auto" w:fill="FFFFFF"/>
        </w:rPr>
        <w:fldChar w:fldCharType="begin"/>
      </w:r>
      <w:r w:rsidR="00E367A3" w:rsidRPr="00F113D0">
        <w:rPr>
          <w:rStyle w:val="normaltextrun"/>
          <w:rFonts w:ascii="Calibri" w:hAnsi="Calibri" w:cs="Calibri"/>
          <w:color w:val="000000"/>
          <w:shd w:val="clear" w:color="auto" w:fill="FFFFFF"/>
        </w:rPr>
        <w:instrText xml:space="preserve"> ADDIN ZOTERO_ITEM CSL_CITATION {"citationID":"agjt577ea2","properties":{"formattedCitation":"\\uldash{({\\i{}Global Change and Biological Invasions in the Oceans | Request PDF}, n.d.)}","plainCitation":"(Global Change and Biological Invasions in the Oceans | Request PDF, n.d.)","noteIndex":0},"citationItems":[{"id":60270,"uris":["http://zotero.org/groups/122386/items/WJDUWD27"],"itemData":{"id":60270,"type":"webpage","abstract":"Request PDF | On Jan 1, 2000, J.T. Carlton published Global change and biological invasions in the oceans | Find, read and cite all the research you need on ResearchGate","container-title":"ResearchGate","language":"en","title":"Global change and biological invasions in the oceans | Request PDF","URL":"https://www.researchgate.net/publication/303259805_Global_change_and_biological_invasions_in_the_oceans","accessed":{"date-parts":[["2024",2,1]]}}}],"schema":"https://github.com/citation-style-language/schema/raw/master/csl-citation.json"} </w:instrText>
      </w:r>
      <w:r w:rsidR="00E367A3" w:rsidRPr="00F113D0">
        <w:rPr>
          <w:rStyle w:val="normaltextrun"/>
          <w:rFonts w:ascii="Calibri" w:hAnsi="Calibri" w:cs="Calibri"/>
          <w:color w:val="000000"/>
          <w:shd w:val="clear" w:color="auto" w:fill="FFFFFF"/>
        </w:rPr>
        <w:fldChar w:fldCharType="separate"/>
      </w:r>
      <w:r w:rsidR="00E367A3" w:rsidRPr="00F113D0">
        <w:rPr>
          <w:rFonts w:ascii="Calibri" w:hAnsi="Calibri" w:cs="Calibri"/>
        </w:rPr>
        <w:t>Carlton</w:t>
      </w:r>
      <w:r w:rsidR="00F113D0" w:rsidRPr="00F113D0">
        <w:rPr>
          <w:rFonts w:ascii="Calibri" w:hAnsi="Calibri" w:cs="Calibri"/>
        </w:rPr>
        <w:t xml:space="preserve">, </w:t>
      </w:r>
      <w:r w:rsidR="00F113D0" w:rsidRPr="006D5BD7">
        <w:rPr>
          <w:rFonts w:ascii="Calibri" w:hAnsi="Calibri" w:cs="Calibri"/>
        </w:rPr>
        <w:t>2010</w:t>
      </w:r>
      <w:r w:rsidR="00E367A3" w:rsidRPr="00F113D0">
        <w:rPr>
          <w:rFonts w:ascii="Calibri" w:hAnsi="Calibri" w:cs="Calibri"/>
        </w:rPr>
        <w:t>)</w:t>
      </w:r>
      <w:r w:rsidR="00E367A3" w:rsidRPr="00F113D0">
        <w:rPr>
          <w:rStyle w:val="normaltextrun"/>
          <w:rFonts w:ascii="Calibri" w:hAnsi="Calibri" w:cs="Calibri"/>
          <w:color w:val="000000"/>
          <w:shd w:val="clear" w:color="auto" w:fill="FFFFFF"/>
        </w:rPr>
        <w:fldChar w:fldCharType="end"/>
      </w:r>
      <w:r w:rsidRPr="00F113D0">
        <w:rPr>
          <w:rStyle w:val="normaltextrun"/>
          <w:rFonts w:ascii="Calibri" w:hAnsi="Calibri" w:cs="Calibri"/>
          <w:color w:val="000000"/>
          <w:shd w:val="clear" w:color="auto" w:fill="FFFFFF"/>
        </w:rPr>
        <w:t>.</w:t>
      </w:r>
      <w:r w:rsidR="39B1E009" w:rsidRPr="00F113D0">
        <w:rPr>
          <w:rStyle w:val="normaltextrun"/>
          <w:rFonts w:ascii="Calibri" w:hAnsi="Calibri" w:cs="Calibri"/>
          <w:color w:val="000000"/>
          <w:shd w:val="clear" w:color="auto" w:fill="FFFFFF"/>
        </w:rPr>
        <w:t xml:space="preserve"> C</w:t>
      </w:r>
      <w:r w:rsidR="39B1E009" w:rsidRPr="00E367A3">
        <w:rPr>
          <w:rStyle w:val="normaltextrun"/>
          <w:rFonts w:ascii="Calibri" w:hAnsi="Calibri" w:cs="Calibri"/>
          <w:color w:val="000000"/>
          <w:shd w:val="clear" w:color="auto" w:fill="FFFFFF"/>
        </w:rPr>
        <w:t xml:space="preserve">limate change not only facilitates the introduction of NIS originating outside Europe but also NIS introduction from within Europe’s seas. Thus, for example, </w:t>
      </w:r>
      <w:r w:rsidR="6D0F24AC" w:rsidRPr="00E367A3">
        <w:rPr>
          <w:rStyle w:val="normaltextrun"/>
          <w:rFonts w:ascii="Calibri" w:hAnsi="Calibri" w:cs="Calibri"/>
          <w:color w:val="000000"/>
          <w:shd w:val="clear" w:color="auto" w:fill="FFFFFF"/>
        </w:rPr>
        <w:t xml:space="preserve">the </w:t>
      </w:r>
      <w:r w:rsidR="39B1E009" w:rsidRPr="00E367A3">
        <w:rPr>
          <w:rStyle w:val="normaltextrun"/>
          <w:rFonts w:ascii="Calibri" w:hAnsi="Calibri" w:cs="Calibri"/>
          <w:color w:val="000000"/>
          <w:shd w:val="clear" w:color="auto" w:fill="FFFFFF"/>
        </w:rPr>
        <w:t xml:space="preserve">warmer Black Sea allows for Mediterranean species to inhabit areas in </w:t>
      </w:r>
      <w:r w:rsidR="3897AB59" w:rsidRPr="00E367A3">
        <w:rPr>
          <w:rStyle w:val="normaltextrun"/>
          <w:rFonts w:ascii="Calibri" w:hAnsi="Calibri" w:cs="Calibri"/>
          <w:color w:val="000000"/>
          <w:shd w:val="clear" w:color="auto" w:fill="FFFFFF"/>
        </w:rPr>
        <w:t xml:space="preserve">the </w:t>
      </w:r>
      <w:r w:rsidR="39B1E009" w:rsidRPr="00E367A3">
        <w:rPr>
          <w:rStyle w:val="normaltextrun"/>
          <w:rFonts w:ascii="Calibri" w:hAnsi="Calibri" w:cs="Calibri"/>
          <w:color w:val="000000"/>
          <w:shd w:val="clear" w:color="auto" w:fill="FFFFFF"/>
        </w:rPr>
        <w:t>Black Sea, causing endemic species to relocat</w:t>
      </w:r>
      <w:r w:rsidR="2DDEB3BF" w:rsidRPr="00E367A3">
        <w:rPr>
          <w:rStyle w:val="normaltextrun"/>
          <w:rFonts w:ascii="Calibri" w:hAnsi="Calibri" w:cs="Calibri"/>
          <w:color w:val="000000"/>
          <w:shd w:val="clear" w:color="auto" w:fill="FFFFFF"/>
        </w:rPr>
        <w:t>e</w:t>
      </w:r>
      <w:r w:rsidR="39B1E009" w:rsidRPr="00E367A3">
        <w:rPr>
          <w:rStyle w:val="normaltextrun"/>
          <w:rFonts w:ascii="Calibri" w:hAnsi="Calibri" w:cs="Calibri"/>
          <w:color w:val="000000"/>
          <w:shd w:val="clear" w:color="auto" w:fill="FFFFFF"/>
        </w:rPr>
        <w:t xml:space="preserve"> and retreat </w:t>
      </w:r>
      <w:r w:rsidR="00C52764" w:rsidRPr="00C52764">
        <w:rPr>
          <w:rStyle w:val="normaltextrun"/>
          <w:rFonts w:ascii="Calibri" w:hAnsi="Calibri" w:cs="Calibri"/>
          <w:color w:val="000000"/>
          <w:shd w:val="clear" w:color="auto" w:fill="FFFFFF"/>
        </w:rPr>
        <w:fldChar w:fldCharType="begin"/>
      </w:r>
      <w:r w:rsidR="00C52764" w:rsidRPr="00C52764">
        <w:rPr>
          <w:rStyle w:val="normaltextrun"/>
          <w:rFonts w:ascii="Calibri" w:hAnsi="Calibri" w:cs="Calibri"/>
          <w:color w:val="000000"/>
          <w:shd w:val="clear" w:color="auto" w:fill="FFFFFF"/>
        </w:rPr>
        <w:instrText xml:space="preserve"> ADDIN ZOTERO_ITEM CSL_CITATION {"citationID":"a2cb4fftma","properties":{"formattedCitation":"\\uldash{(Rotter et al., 2020)}","plainCitation":"(Rotter et al., 2020)","noteIndex":0},"citationItems":[{"id":34632,"uris":["http://zotero.org/groups/122386/items/3E7HVZPK"],"itemData":{"id":34632,"type":"article-journal","abstract":"For mitigation of the effects of pollution, the media, policy makers and, in turn, the scientific community and industry each provide contributions through development of a sense of urgency, and with guidelines and solutions. For non-indigenous species (NIS) that can frequently have negative impacts on the native biota, this is often conveyed in an emotive way to the general public, who are typically keen to help and to get personally involved. This might be through organization of cleaning campaigns, influence on the media, or collaboration with scientists, to inform them of the local presence and abundance of NIS. Alternatively, they might proactively develop technological solutions themselves. To assess the current state of affairs, we reviewed the presence and effects of NIS in the Mediterranean Sea. As so often, any well-planned and successful activity is directly linked to financing, or a lack thereof, and this leads to sometimes untargeted and sporadic measures that are developed within a project or over a limited timeframe, without any sustainability measures. Therefore, we also assessed the activities and strategies that have been financed in this area of NIS mitigation. Based on this review of the presence and impact of NIS, and previous and ongoing activities, we propose a new paradigm to mitigate such pollution: the 8Rs model (i.e., Recognize, Reduce, Replace, Reuse, Recycle, Recover/Restore, Remove, and Regulate). This model extends from the more traditional 3Rs model (i.e., Reduce, Reuse, and Recycle) that is often used and promoted for innovative waste management strategies. Importantly, the 8Rs model can be applied sequentially, for either prevention of NIS introduction, or preparation of mitigation measures. The 8Rs model was constructed based on Mediterranean NIS, although we believe it can be applied to other sources of pollution and other geographic areas. Importantly, the 8Rs model represents a general framework to organize and categorize future pollution mitigation strategies. This approach is essential for development of any action plan to influence the administrative and financial decision makers who essentially enable these activities, and therefore who have important roles in the guarantee of sustainability of these actions, and the creation of innovative societies.","container-title":"Frontiers in Marine Science","ISSN":"2296-7745","source":"Frontiers","title":"Non-indigenous Species in the Mediterranean Sea: Turning From Pest to Source by Developing the 8Rs Model, a New Paradigm in Pollution Mitigation","title-short":"Non-indigenous Species in the Mediterranean Sea","URL":"https://www.frontiersin.org/articles/10.3389/fmars.2020.00178","volume":"7","author":[{"family":"Rotter","given":"Ana"},{"family":"Klun","given":"Katja"},{"family":"Francé","given":"Janja"},{"family":"Mozetič","given":"Patricija"},{"family":"Orlando-Bonaca","given":"Martina"}],"accessed":{"date-parts":[["2023",6,16]]},"issued":{"date-parts":[["2020"]]}}}],"schema":"https://github.com/citation-style-language/schema/raw/master/csl-citation.json"} </w:instrText>
      </w:r>
      <w:r w:rsidR="00C52764" w:rsidRPr="00C52764">
        <w:rPr>
          <w:rStyle w:val="normaltextrun"/>
          <w:rFonts w:ascii="Calibri" w:hAnsi="Calibri" w:cs="Calibri"/>
          <w:color w:val="000000"/>
          <w:shd w:val="clear" w:color="auto" w:fill="FFFFFF"/>
        </w:rPr>
        <w:fldChar w:fldCharType="separate"/>
      </w:r>
      <w:r w:rsidR="00C52764" w:rsidRPr="00C52764">
        <w:rPr>
          <w:rFonts w:ascii="Calibri" w:hAnsi="Calibri" w:cs="Calibri"/>
        </w:rPr>
        <w:t>(Rotter et al., 2020)</w:t>
      </w:r>
      <w:r w:rsidR="00C52764" w:rsidRPr="00C52764">
        <w:rPr>
          <w:rStyle w:val="normaltextrun"/>
          <w:rFonts w:ascii="Calibri" w:hAnsi="Calibri" w:cs="Calibri"/>
          <w:color w:val="000000"/>
          <w:shd w:val="clear" w:color="auto" w:fill="FFFFFF"/>
        </w:rPr>
        <w:fldChar w:fldCharType="end"/>
      </w:r>
      <w:r w:rsidR="39B1E009" w:rsidRPr="00C52764">
        <w:rPr>
          <w:rStyle w:val="normaltextrun"/>
          <w:rFonts w:ascii="Calibri" w:hAnsi="Calibri" w:cs="Calibri"/>
          <w:color w:val="000000"/>
          <w:shd w:val="clear" w:color="auto" w:fill="FFFFFF"/>
        </w:rPr>
        <w:t>.</w:t>
      </w:r>
    </w:p>
    <w:p w14:paraId="3A75A985" w14:textId="0E17281F" w:rsidR="7C47FEA4" w:rsidRDefault="7C47FEA4" w:rsidP="603A67E2">
      <w:pPr>
        <w:spacing w:before="0" w:after="120" w:line="257" w:lineRule="auto"/>
        <w:rPr>
          <w:noProof/>
          <w:sz w:val="20"/>
          <w:szCs w:val="20"/>
        </w:rPr>
      </w:pPr>
    </w:p>
    <w:p w14:paraId="6BED8147" w14:textId="36D871DE" w:rsidR="00A87E59" w:rsidRPr="00C66C24" w:rsidRDefault="00A87E59" w:rsidP="008C6A9C">
      <w:pPr>
        <w:pStyle w:val="Heading3"/>
        <w:spacing w:line="257" w:lineRule="auto"/>
      </w:pPr>
      <w:bookmarkStart w:id="145" w:name="_Toc156316332"/>
      <w:bookmarkStart w:id="146" w:name="_Toc157762072"/>
      <w:r w:rsidRPr="00C66C24">
        <w:t>Underwater radiated noise</w:t>
      </w:r>
      <w:bookmarkEnd w:id="145"/>
      <w:bookmarkEnd w:id="146"/>
    </w:p>
    <w:p w14:paraId="1185614E" w14:textId="5082697C" w:rsidR="00A87E59" w:rsidRPr="00C66C24" w:rsidRDefault="00782961" w:rsidP="005B00B3">
      <w:pPr>
        <w:spacing w:before="0" w:after="0" w:line="257" w:lineRule="auto"/>
        <w:rPr>
          <w:rStyle w:val="eop"/>
          <w:rFonts w:ascii="Calibri" w:hAnsi="Calibri" w:cs="Calibri"/>
          <w:color w:val="000000"/>
          <w:shd w:val="clear" w:color="auto" w:fill="FFFFFF"/>
        </w:rPr>
      </w:pPr>
      <w:r w:rsidRPr="00C66C24">
        <w:rPr>
          <w:rStyle w:val="normaltextrun"/>
          <w:rFonts w:ascii="Calibri" w:hAnsi="Calibri" w:cs="Calibri"/>
          <w:color w:val="000000"/>
          <w:shd w:val="clear" w:color="auto" w:fill="FFFFFF"/>
        </w:rPr>
        <w:t xml:space="preserve">While </w:t>
      </w:r>
      <w:r w:rsidR="00D9469F" w:rsidRPr="00C66C24">
        <w:rPr>
          <w:rStyle w:val="normaltextrun"/>
          <w:rFonts w:ascii="Calibri" w:hAnsi="Calibri" w:cs="Calibri"/>
          <w:color w:val="000000"/>
          <w:shd w:val="clear" w:color="auto" w:fill="FFFFFF"/>
        </w:rPr>
        <w:t>underwater radiated noise</w:t>
      </w:r>
      <w:r w:rsidR="00BA7E99" w:rsidRPr="00C66C24">
        <w:rPr>
          <w:rStyle w:val="normaltextrun"/>
          <w:rFonts w:ascii="Calibri" w:hAnsi="Calibri" w:cs="Calibri"/>
          <w:color w:val="000000"/>
          <w:shd w:val="clear" w:color="auto" w:fill="FFFFFF"/>
        </w:rPr>
        <w:t xml:space="preserve"> (URN)</w:t>
      </w:r>
      <w:r w:rsidR="00D9469F" w:rsidRPr="00C66C24">
        <w:rPr>
          <w:rStyle w:val="normaltextrun"/>
          <w:rFonts w:ascii="Calibri" w:hAnsi="Calibri" w:cs="Calibri"/>
          <w:color w:val="000000"/>
          <w:shd w:val="clear" w:color="auto" w:fill="FFFFFF"/>
        </w:rPr>
        <w:t xml:space="preserve"> is a relatively new topic</w:t>
      </w:r>
      <w:r w:rsidR="00602A85" w:rsidRPr="00C66C24">
        <w:rPr>
          <w:rStyle w:val="normaltextrun"/>
          <w:rFonts w:ascii="Calibri" w:hAnsi="Calibri" w:cs="Calibri"/>
          <w:color w:val="000000"/>
          <w:shd w:val="clear" w:color="auto" w:fill="FFFFFF"/>
        </w:rPr>
        <w:t xml:space="preserve">, </w:t>
      </w:r>
      <w:r w:rsidR="00F32C11" w:rsidRPr="00C66C24">
        <w:rPr>
          <w:rStyle w:val="normaltextrun"/>
          <w:rFonts w:ascii="Calibri" w:hAnsi="Calibri" w:cs="Calibri"/>
          <w:color w:val="000000"/>
          <w:shd w:val="clear" w:color="auto" w:fill="FFFFFF"/>
        </w:rPr>
        <w:t xml:space="preserve">substantial work has been performed in the last years on </w:t>
      </w:r>
      <w:r w:rsidR="006B06F2" w:rsidRPr="00C66C24">
        <w:rPr>
          <w:rStyle w:val="normaltextrun"/>
          <w:rFonts w:ascii="Calibri" w:hAnsi="Calibri" w:cs="Calibri"/>
          <w:color w:val="000000"/>
          <w:shd w:val="clear" w:color="auto" w:fill="FFFFFF"/>
        </w:rPr>
        <w:t xml:space="preserve">both </w:t>
      </w:r>
      <w:r w:rsidR="003F4B18" w:rsidRPr="00C66C24">
        <w:rPr>
          <w:rStyle w:val="normaltextrun"/>
          <w:rFonts w:ascii="Calibri" w:hAnsi="Calibri" w:cs="Calibri"/>
          <w:color w:val="000000"/>
          <w:shd w:val="clear" w:color="auto" w:fill="FFFFFF"/>
        </w:rPr>
        <w:t xml:space="preserve">the monitoring and estimation of the </w:t>
      </w:r>
      <w:r w:rsidR="001855B5" w:rsidRPr="00C66C24">
        <w:rPr>
          <w:rStyle w:val="normaltextrun"/>
          <w:rFonts w:ascii="Calibri" w:hAnsi="Calibri" w:cs="Calibri"/>
          <w:color w:val="000000"/>
          <w:shd w:val="clear" w:color="auto" w:fill="FFFFFF"/>
        </w:rPr>
        <w:t xml:space="preserve">maritime transport sector </w:t>
      </w:r>
      <w:r w:rsidR="003F4B18" w:rsidRPr="00C66C24">
        <w:rPr>
          <w:rStyle w:val="normaltextrun"/>
          <w:rFonts w:ascii="Calibri" w:hAnsi="Calibri" w:cs="Calibri"/>
          <w:color w:val="000000"/>
          <w:shd w:val="clear" w:color="auto" w:fill="FFFFFF"/>
        </w:rPr>
        <w:t>contribution</w:t>
      </w:r>
      <w:r w:rsidR="001855B5" w:rsidRPr="00C66C24">
        <w:rPr>
          <w:rStyle w:val="normaltextrun"/>
          <w:rFonts w:ascii="Calibri" w:hAnsi="Calibri" w:cs="Calibri"/>
          <w:color w:val="000000"/>
          <w:shd w:val="clear" w:color="auto" w:fill="FFFFFF"/>
        </w:rPr>
        <w:t xml:space="preserve"> a</w:t>
      </w:r>
      <w:r w:rsidR="0080119A" w:rsidRPr="00C66C24">
        <w:rPr>
          <w:rStyle w:val="normaltextrun"/>
          <w:rFonts w:ascii="Calibri" w:hAnsi="Calibri" w:cs="Calibri"/>
          <w:color w:val="000000"/>
          <w:shd w:val="clear" w:color="auto" w:fill="FFFFFF"/>
        </w:rPr>
        <w:t>s well as</w:t>
      </w:r>
      <w:r w:rsidR="001855B5" w:rsidRPr="00C66C24">
        <w:rPr>
          <w:rStyle w:val="normaltextrun"/>
          <w:rFonts w:ascii="Calibri" w:hAnsi="Calibri" w:cs="Calibri"/>
          <w:color w:val="000000"/>
          <w:shd w:val="clear" w:color="auto" w:fill="FFFFFF"/>
        </w:rPr>
        <w:t xml:space="preserve"> its impacts </w:t>
      </w:r>
      <w:r w:rsidR="00F32C11" w:rsidRPr="00C66C24">
        <w:rPr>
          <w:rStyle w:val="normaltextrun"/>
          <w:rFonts w:ascii="Calibri" w:hAnsi="Calibri" w:cs="Calibri"/>
          <w:color w:val="000000"/>
          <w:shd w:val="clear" w:color="auto" w:fill="FFFFFF"/>
        </w:rPr>
        <w:t>on the environment</w:t>
      </w:r>
      <w:r w:rsidR="00422B42" w:rsidRPr="00C66C24">
        <w:rPr>
          <w:rStyle w:val="normaltextrun"/>
          <w:rFonts w:ascii="Calibri" w:hAnsi="Calibri" w:cs="Calibri"/>
          <w:color w:val="000000"/>
          <w:shd w:val="clear" w:color="auto" w:fill="FFFFFF"/>
        </w:rPr>
        <w:t xml:space="preserve"> </w:t>
      </w:r>
      <w:r w:rsidR="00E62FA4" w:rsidRPr="00C66C24">
        <w:rPr>
          <w:rStyle w:val="normaltextrun"/>
          <w:rFonts w:ascii="Calibri" w:hAnsi="Calibri" w:cs="Calibri"/>
          <w:color w:val="000000"/>
          <w:shd w:val="clear" w:color="auto" w:fill="FFFFFF"/>
        </w:rPr>
        <w:fldChar w:fldCharType="begin"/>
      </w:r>
      <w:r w:rsidR="001855E3" w:rsidRPr="00C66C24">
        <w:rPr>
          <w:rStyle w:val="normaltextrun"/>
          <w:rFonts w:ascii="Calibri" w:hAnsi="Calibri" w:cs="Calibri"/>
          <w:color w:val="000000"/>
          <w:shd w:val="clear" w:color="auto" w:fill="FFFFFF"/>
        </w:rPr>
        <w:instrText xml:space="preserve"> ADDIN ZOTERO_ITEM CSL_CITATION {"citationID":"a2b3bs0grcv","properties":{"formattedCitation":"(Cruz et al., 2021; IMO, 2023d; JRC, 2023; Thomsen et al., 2021)","plainCitation":"(Cruz et al., 2021; IMO, 2023d; JRC, 2023; Thomsen et al., 2021)","noteIndex":0},"citationItems":[{"id":52273,"uris":["http://zotero.org/groups/122386/items/JSY8Q89S"],"itemData":{"id":52273,"type":"report","publisher":"WavEC Offshore Renewables and Maritime Research Institute Netherlands","title":"Study on inventory of existing policy, research and impacts of continuous underwater noise in Europe. EMSA report EMSA/NEG/21/2020","URL":"https://www.emsa.europa.eu/newsroom/latest-news/download/6881/4569/23.html","author":[{"family":"Cruz","given":"Erica"},{"family":"Lloyd","given":"Thomas P"},{"family":"Bosschers","given":"Johan"},{"family":"Lafeber","given":"Frans Hendrik"},{"family":"Vinagre","given":"Pedro Almeida"},{"family":"Vaz","given":"Guilherme"}],"issued":{"date-parts":[["2021"]]}}},{"id":52036,"uris":["http://zotero.org/groups/122386/items/8FLBWKLQ"],"itemData":{"id":52036,"type":"report","genre":"Guideline revision","publisher":"International Maritime Organisation","title":"Revised Guidelines for the reduction of underwater noise from commercial shipping to address adverse impacts on marine life","URL":"https://wwwcdn.imo.org/localresources/en/Documents/MEPC.1-Circ.906%20-%20Revised%20Guidelines%20For%20The%20Reduction%20Of%20Underwater%20Radiated%20NoiseFrom%20Shipping%20To%20Address...%20(Secretariat).pdf","author":[{"literal":"IMO"}],"issued":{"date-parts":[["2023"]]}}},{"id":59230,"uris":["http://zotero.org/groups/122386/items/W88BYEA7"],"itemData":{"id":59230,"type":"report","event-place":"LU","language":"eng","publisher":"Joint Research Centre","publisher-place":"LU","source":"DOI.org (CSL JSON)","title":"Setting EU threshold values for impulsive underwater sound","URL":"https://data.europa.eu/doi/10.2760/60215","author":[{"literal":"JRC"}],"accessed":{"date-parts":[["2024",1,22]]},"issued":{"date-parts":[["2023"]]}}},{"id":59233,"uris":["http://zotero.org/groups/122386/items/Y5IM4NE7"],"itemData":{"id":59233,"type":"report","abstract":"The Ocean presents a cacophony of sounds originating from natural as well as anthropogenic sources. Marine organisms heavily rely on sound to communicate and understand the world around them, and are therefore potentially impacted by anthropogenic sound. However, in developing our Blue Economy and in advancing our knowledge of marine environments and ecosystems, anthropogenic noise is sometimes unavoidable. Understanding the potential effects of anthropogenic noise is therefore integral to addressing this conflict, as it is needed to develop proportionate mitiga</w:instrText>
      </w:r>
      <w:r w:rsidR="001855E3" w:rsidRPr="00D11328">
        <w:rPr>
          <w:rStyle w:val="normaltextrun"/>
          <w:rFonts w:ascii="Calibri" w:hAnsi="Calibri" w:cs="Calibri"/>
          <w:color w:val="000000"/>
          <w:shd w:val="clear" w:color="auto" w:fill="FFFFFF"/>
          <w:lang w:val="fr-FR"/>
        </w:rPr>
        <w:instrText xml:space="preserve">tion strategies and effective regulation. Next to providing an overview of our current knowledge about underwater noise, this publication highlights the priority areas for further research addressing the remaining knowledge gaps about the effects of anthropogenic noise. Furthermore, it points out the relevant actions needed to take in order to ensure ecosystem-based and precautionary legislation.","language":"en","license":"Creative Commons Attribution 4.0 International, Open Access","note":"ISBN: 9789464206104\nISSN: 2593-5232\nDOI: 10.5281/ZENODO.5534224","publisher":"Zenodo","source":"DOI.org (Datacite)","title":"Addressing underwater noise in Europe: Current state of knowledge and future priorities","title-short":"Addressing underwater noise in Europe","URL":"https://zenodo.org/record/5534224","author":[{"family":"Thomsen","given":"Frank"},{"family":"Mendes","given":"Sonia"},{"family":"Bertucci","given":"Frederic"},{"family":"Breitzke","given":"Monika"},{"family":"Ciappi","given":"Elena"},{"family":"Cresci","given":"Alessandro"},{"family":"Debusschere","given":"Elisabeth"},{"family":"Ducatel","given":"Cecile"},{"family":"Folegot","given":"Thomas"},{"family":"Juretzek","given":"Carina"},{"literal":"Frans-Peter Lam"},{"family":"O'Brien","given":"Joanne"},{"family":"Santos","given":"Manuel E. Dos"}],"accessed":{"date-parts":[["2024",1,22]]},"issued":{"date-parts":[["2021",10,20]]}}}],"schema":"https://github.com/citation-style-language/schema/raw/master/csl-citation.json"} </w:instrText>
      </w:r>
      <w:r w:rsidR="00E62FA4" w:rsidRPr="00C66C24">
        <w:rPr>
          <w:rStyle w:val="normaltextrun"/>
          <w:rFonts w:ascii="Calibri" w:hAnsi="Calibri" w:cs="Calibri"/>
          <w:color w:val="000000"/>
          <w:shd w:val="clear" w:color="auto" w:fill="FFFFFF"/>
        </w:rPr>
        <w:fldChar w:fldCharType="separate"/>
      </w:r>
      <w:r w:rsidR="001855E3" w:rsidRPr="00706101">
        <w:rPr>
          <w:rFonts w:ascii="Calibri" w:hAnsi="Calibri" w:cs="Calibri"/>
          <w:lang w:val="fr-FR"/>
        </w:rPr>
        <w:t>(Cruz et al., 2021; IMO, 2023d; JRC, 2023; Thomsen et al., 2021</w:t>
      </w:r>
      <w:r w:rsidR="00D615D3">
        <w:rPr>
          <w:rFonts w:ascii="Calibri" w:hAnsi="Calibri" w:cs="Calibri"/>
          <w:lang w:val="fr-FR"/>
        </w:rPr>
        <w:t xml:space="preserve">; </w:t>
      </w:r>
      <w:proofErr w:type="spellStart"/>
      <w:r w:rsidR="00D615D3">
        <w:rPr>
          <w:rFonts w:ascii="Calibri" w:hAnsi="Calibri" w:cs="Calibri"/>
          <w:lang w:val="fr-FR"/>
        </w:rPr>
        <w:t>Ser</w:t>
      </w:r>
      <w:r w:rsidR="00C8658D">
        <w:rPr>
          <w:rFonts w:ascii="Calibri" w:hAnsi="Calibri" w:cs="Calibri"/>
          <w:lang w:val="fr-FR"/>
        </w:rPr>
        <w:t>tleck</w:t>
      </w:r>
      <w:proofErr w:type="spellEnd"/>
      <w:r w:rsidR="00C8658D">
        <w:rPr>
          <w:rFonts w:ascii="Calibri" w:hAnsi="Calibri" w:cs="Calibri"/>
          <w:lang w:val="fr-FR"/>
        </w:rPr>
        <w:t xml:space="preserve"> et al., 2019</w:t>
      </w:r>
      <w:r w:rsidR="001855E3" w:rsidRPr="00706101">
        <w:rPr>
          <w:rFonts w:ascii="Calibri" w:hAnsi="Calibri" w:cs="Calibri"/>
          <w:lang w:val="fr-FR"/>
        </w:rPr>
        <w:t>)</w:t>
      </w:r>
      <w:r w:rsidR="00E62FA4" w:rsidRPr="00C66C24">
        <w:rPr>
          <w:rStyle w:val="normaltextrun"/>
          <w:rFonts w:ascii="Calibri" w:hAnsi="Calibri" w:cs="Calibri"/>
          <w:color w:val="000000"/>
          <w:shd w:val="clear" w:color="auto" w:fill="FFFFFF"/>
        </w:rPr>
        <w:fldChar w:fldCharType="end"/>
      </w:r>
      <w:r w:rsidR="00A169D0" w:rsidRPr="00706101">
        <w:rPr>
          <w:rStyle w:val="normaltextrun"/>
          <w:rFonts w:ascii="Calibri" w:hAnsi="Calibri" w:cs="Calibri"/>
          <w:color w:val="000000"/>
          <w:shd w:val="clear" w:color="auto" w:fill="FFFFFF"/>
          <w:lang w:val="fr-FR"/>
        </w:rPr>
        <w:t xml:space="preserve">. </w:t>
      </w:r>
      <w:r w:rsidR="00A87E59" w:rsidRPr="00C66C24">
        <w:rPr>
          <w:rStyle w:val="normaltextrun"/>
          <w:rFonts w:ascii="Calibri" w:hAnsi="Calibri" w:cs="Calibri"/>
          <w:color w:val="000000"/>
          <w:shd w:val="clear" w:color="auto" w:fill="FFFFFF"/>
        </w:rPr>
        <w:t>Both measurements and modelling of ship noise are important for effective mitigation, with the standardisation of terminology and procedures, as well as uncertainty quantification, being the focus of recent and ongoing work</w:t>
      </w:r>
      <w:r w:rsidR="006869FB" w:rsidRPr="00C66C24">
        <w:rPr>
          <w:rStyle w:val="normaltextrun"/>
          <w:rFonts w:ascii="Calibri" w:hAnsi="Calibri" w:cs="Calibri"/>
          <w:color w:val="000000"/>
          <w:shd w:val="clear" w:color="auto" w:fill="FFFFFF"/>
        </w:rPr>
        <w:t xml:space="preserve">, both at EU </w:t>
      </w:r>
      <w:r w:rsidR="00DE083A" w:rsidRPr="00C66C24">
        <w:rPr>
          <w:rStyle w:val="normaltextrun"/>
          <w:rFonts w:ascii="Calibri" w:hAnsi="Calibri" w:cs="Calibri"/>
          <w:color w:val="000000"/>
          <w:shd w:val="clear" w:color="auto" w:fill="FFFFFF"/>
        </w:rPr>
        <w:t xml:space="preserve">(and regional) </w:t>
      </w:r>
      <w:r w:rsidR="006869FB" w:rsidRPr="00C66C24">
        <w:rPr>
          <w:rStyle w:val="normaltextrun"/>
          <w:rFonts w:ascii="Calibri" w:hAnsi="Calibri" w:cs="Calibri"/>
          <w:color w:val="000000"/>
          <w:shd w:val="clear" w:color="auto" w:fill="FFFFFF"/>
        </w:rPr>
        <w:t>level</w:t>
      </w:r>
      <w:r w:rsidR="001F669A" w:rsidRPr="00C66C24">
        <w:rPr>
          <w:rStyle w:val="normaltextrun"/>
          <w:rFonts w:ascii="Calibri" w:hAnsi="Calibri" w:cs="Calibri"/>
          <w:color w:val="000000"/>
          <w:shd w:val="clear" w:color="auto" w:fill="FFFFFF"/>
        </w:rPr>
        <w:t xml:space="preserve"> </w:t>
      </w:r>
      <w:r w:rsidR="001F669A" w:rsidRPr="00C66C24">
        <w:rPr>
          <w:rStyle w:val="normaltextrun"/>
          <w:rFonts w:ascii="Calibri" w:hAnsi="Calibri" w:cs="Calibri"/>
          <w:color w:val="000000"/>
          <w:shd w:val="clear" w:color="auto" w:fill="FFFFFF"/>
        </w:rPr>
        <w:fldChar w:fldCharType="begin"/>
      </w:r>
      <w:r w:rsidR="001855E3" w:rsidRPr="00C66C24">
        <w:rPr>
          <w:rStyle w:val="normaltextrun"/>
          <w:rFonts w:ascii="Calibri" w:hAnsi="Calibri" w:cs="Calibri"/>
          <w:color w:val="000000"/>
          <w:shd w:val="clear" w:color="auto" w:fill="FFFFFF"/>
        </w:rPr>
        <w:instrText xml:space="preserve"> ADDIN ZOTERO_ITEM CSL_CITATION {"citationID":"a1l2m029gk2","properties":{"formattedCitation":"(BLUES, 2021; PIAQUO, 2021; quietMED2, 2019; SATURN, 2020)","plainCitation":"(BLUES, 2021; PIAQUO, 2021; quietMED2, 2019; SATURN, 2020)","noteIndex":0},"citationItems":[{"id":59240,"uris":["http://zotero.org/groups/122386/items/2H3LXAIC"],"itemData":{"id":59240,"type":"webpage","title":"HELCOM Blues","URL":"https://blues.helcom.fi/","author":[{"literal":"BLUES"}],"issued":{"date-parts":[["2021"]]}}},{"id":59238,"uris":["http://zotero.org/groups/122386/items/U6ZWBDYC"],"itemData":{"id":59238,"type":"webpage","title":"Protect marine life from noise pollution","URL":"http://lifepiaquo-urn.eu/en/home/","author":[{"literal":"PIAQUO"}],"issued":{"date-parts":[["2021"]]}}},{"id":59239,"uris":["http://zotero.org/groups/122386/items/NM7QIGIJ"],"itemData":{"id":59239,"type":"webpage","title":"Joint programme for GES assessment on D11- noise in the Mediterranean Marine Region","URL":"https://quietmed2.eu/","author":[{"literal":"quietMED2"}],"issued":{"date-parts":[["2019"]]}}},{"id":59237,"uris":["http://zotero.org/groups/122386/items/N3SJCFSN"],"itemData":{"id":59237,"type":"webpage","title":"Developing solutions to underwater radiated noise","URL":"https://www.saturnh2020.eu/","author":[{"literal":"SATURN"}],"issued":{"date-parts":[["2020"]]}}}],"schema":"https://github.com/citation-style-language/schema/raw/master/csl-citation.json"} </w:instrText>
      </w:r>
      <w:r w:rsidR="001F669A" w:rsidRPr="00C66C24">
        <w:rPr>
          <w:rStyle w:val="normaltextrun"/>
          <w:rFonts w:ascii="Calibri" w:hAnsi="Calibri" w:cs="Calibri"/>
          <w:color w:val="000000"/>
          <w:shd w:val="clear" w:color="auto" w:fill="FFFFFF"/>
        </w:rPr>
        <w:fldChar w:fldCharType="separate"/>
      </w:r>
      <w:r w:rsidR="001855E3" w:rsidRPr="00C66C24">
        <w:rPr>
          <w:rFonts w:ascii="Calibri" w:hAnsi="Calibri" w:cs="Calibri"/>
        </w:rPr>
        <w:t>(BLUES, 2021; PIAQUO, 2021; quietMED2, 2019; SATURN, 2020)</w:t>
      </w:r>
      <w:r w:rsidR="001F669A" w:rsidRPr="00C66C24">
        <w:rPr>
          <w:rStyle w:val="normaltextrun"/>
          <w:rFonts w:ascii="Calibri" w:hAnsi="Calibri" w:cs="Calibri"/>
          <w:color w:val="000000"/>
          <w:shd w:val="clear" w:color="auto" w:fill="FFFFFF"/>
        </w:rPr>
        <w:fldChar w:fldCharType="end"/>
      </w:r>
      <w:r w:rsidR="00FC2C5D" w:rsidRPr="00C66C24">
        <w:rPr>
          <w:rStyle w:val="normaltextrun"/>
          <w:rFonts w:ascii="Calibri" w:hAnsi="Calibri" w:cs="Calibri"/>
          <w:color w:val="000000"/>
          <w:shd w:val="clear" w:color="auto" w:fill="FFFFFF"/>
        </w:rPr>
        <w:t xml:space="preserve"> and global level </w:t>
      </w:r>
      <w:r w:rsidR="006F48A6" w:rsidRPr="00C66C24">
        <w:rPr>
          <w:rStyle w:val="normaltextrun"/>
          <w:rFonts w:ascii="Calibri" w:hAnsi="Calibri" w:cs="Calibri"/>
          <w:color w:val="000000"/>
          <w:shd w:val="clear" w:color="auto" w:fill="FFFFFF"/>
        </w:rPr>
        <w:fldChar w:fldCharType="begin"/>
      </w:r>
      <w:r w:rsidR="001855E3" w:rsidRPr="00C66C24">
        <w:rPr>
          <w:rStyle w:val="normaltextrun"/>
          <w:rFonts w:ascii="Calibri" w:hAnsi="Calibri" w:cs="Calibri"/>
          <w:color w:val="000000"/>
          <w:shd w:val="clear" w:color="auto" w:fill="FFFFFF"/>
        </w:rPr>
        <w:instrText xml:space="preserve"> ADDIN ZOTERO_ITEM CSL_CITATION {"citationID":"a601dd3kjc","properties":{"formattedCitation":"(IMO, 2023e)","plainCitation":"(IMO, 2023e)","noteIndex":0},"citationItems":[{"id":59241,"uris":["http://zotero.org/groups/122386/items/G88B5C9W"],"itemData":{"id":59241,"type":"webpage","title":"GloNoise Partnership","URL":"https://www.imo.org/en/OurWork/PartnershipsProjects/Pages/GloNoise-Partnership.aspx","author":[{"literal":"IMO"}],"issued":{"date-parts":[["2023"]]}}}],"schema":"https://github.com/citation-style-language/schema/raw/master/csl-citation.json"} </w:instrText>
      </w:r>
      <w:r w:rsidR="006F48A6" w:rsidRPr="00C66C24">
        <w:rPr>
          <w:rStyle w:val="normaltextrun"/>
          <w:rFonts w:ascii="Calibri" w:hAnsi="Calibri" w:cs="Calibri"/>
          <w:color w:val="000000"/>
          <w:shd w:val="clear" w:color="auto" w:fill="FFFFFF"/>
        </w:rPr>
        <w:fldChar w:fldCharType="separate"/>
      </w:r>
      <w:r w:rsidR="001855E3" w:rsidRPr="00C66C24">
        <w:rPr>
          <w:rFonts w:ascii="Calibri" w:hAnsi="Calibri" w:cs="Calibri"/>
        </w:rPr>
        <w:t>(IMO, 2023e)</w:t>
      </w:r>
      <w:r w:rsidR="006F48A6" w:rsidRPr="00C66C24">
        <w:rPr>
          <w:rStyle w:val="normaltextrun"/>
          <w:rFonts w:ascii="Calibri" w:hAnsi="Calibri" w:cs="Calibri"/>
          <w:color w:val="000000"/>
          <w:shd w:val="clear" w:color="auto" w:fill="FFFFFF"/>
        </w:rPr>
        <w:fldChar w:fldCharType="end"/>
      </w:r>
      <w:r w:rsidR="00FC2C5D" w:rsidRPr="00C66C24">
        <w:rPr>
          <w:rStyle w:val="normaltextrun"/>
          <w:rFonts w:ascii="Calibri" w:hAnsi="Calibri" w:cs="Calibri"/>
          <w:color w:val="000000"/>
          <w:shd w:val="clear" w:color="auto" w:fill="FFFFFF"/>
        </w:rPr>
        <w:t>.</w:t>
      </w:r>
    </w:p>
    <w:p w14:paraId="44F29F03" w14:textId="4BE442E5" w:rsidR="00A87E59" w:rsidRPr="00C66C24" w:rsidRDefault="003078F9" w:rsidP="005B00B3">
      <w:pPr>
        <w:pStyle w:val="paragraph"/>
        <w:spacing w:before="0" w:beforeAutospacing="0" w:after="0" w:afterAutospacing="0" w:line="257" w:lineRule="auto"/>
        <w:jc w:val="both"/>
        <w:textAlignment w:val="baseline"/>
        <w:rPr>
          <w:rStyle w:val="normaltextrun"/>
          <w:rFonts w:ascii="Calibri" w:hAnsi="Calibri" w:cs="Calibri"/>
          <w:sz w:val="22"/>
          <w:szCs w:val="22"/>
          <w:lang w:val="en-GB"/>
        </w:rPr>
      </w:pPr>
      <w:r w:rsidRPr="00C66C24">
        <w:rPr>
          <w:rStyle w:val="normaltextrun"/>
          <w:rFonts w:ascii="Calibri" w:hAnsi="Calibri"/>
          <w:sz w:val="22"/>
          <w:lang w:val="en-GB"/>
        </w:rPr>
        <w:t xml:space="preserve">A </w:t>
      </w:r>
      <w:r w:rsidR="005106E9" w:rsidRPr="00C66C24">
        <w:rPr>
          <w:rStyle w:val="normaltextrun"/>
          <w:rFonts w:ascii="Calibri" w:hAnsi="Calibri"/>
          <w:sz w:val="22"/>
          <w:lang w:val="en-GB"/>
        </w:rPr>
        <w:t>new element t</w:t>
      </w:r>
      <w:r w:rsidR="00A87E59" w:rsidRPr="00C66C24">
        <w:rPr>
          <w:rStyle w:val="normaltextrun"/>
          <w:rFonts w:ascii="Calibri" w:hAnsi="Calibri"/>
          <w:sz w:val="22"/>
          <w:lang w:val="en-GB"/>
        </w:rPr>
        <w:t xml:space="preserve">hat can </w:t>
      </w:r>
      <w:r w:rsidR="003C615A" w:rsidRPr="00C66C24">
        <w:rPr>
          <w:rStyle w:val="normaltextrun"/>
          <w:rFonts w:ascii="Calibri" w:hAnsi="Calibri"/>
          <w:sz w:val="22"/>
          <w:lang w:val="en-GB"/>
        </w:rPr>
        <w:t xml:space="preserve">currently </w:t>
      </w:r>
      <w:r w:rsidR="00867A4B" w:rsidRPr="00C66C24">
        <w:rPr>
          <w:rStyle w:val="normaltextrun"/>
          <w:rFonts w:ascii="Calibri" w:hAnsi="Calibri" w:cs="Calibri"/>
          <w:sz w:val="22"/>
          <w:szCs w:val="22"/>
          <w:lang w:val="en-GB"/>
        </w:rPr>
        <w:t>be</w:t>
      </w:r>
      <w:r w:rsidR="003C615A" w:rsidRPr="00C66C24">
        <w:rPr>
          <w:rStyle w:val="normaltextrun"/>
          <w:rFonts w:ascii="Calibri" w:hAnsi="Calibri" w:cs="Calibri"/>
          <w:sz w:val="22"/>
          <w:szCs w:val="22"/>
          <w:lang w:val="en-GB"/>
        </w:rPr>
        <w:t xml:space="preserve"> </w:t>
      </w:r>
      <w:r w:rsidR="00A87E59" w:rsidRPr="00C66C24">
        <w:rPr>
          <w:rStyle w:val="normaltextrun"/>
          <w:rFonts w:ascii="Calibri" w:hAnsi="Calibri"/>
          <w:sz w:val="22"/>
          <w:lang w:val="en-GB"/>
        </w:rPr>
        <w:t>provide</w:t>
      </w:r>
      <w:r w:rsidR="00867A4B" w:rsidRPr="00C66C24">
        <w:rPr>
          <w:rStyle w:val="normaltextrun"/>
          <w:rFonts w:ascii="Calibri" w:hAnsi="Calibri" w:cs="Calibri"/>
          <w:sz w:val="22"/>
          <w:szCs w:val="22"/>
          <w:lang w:val="en-GB"/>
        </w:rPr>
        <w:t>d</w:t>
      </w:r>
      <w:r w:rsidR="00A87E59" w:rsidRPr="00C66C24">
        <w:rPr>
          <w:rStyle w:val="normaltextrun"/>
          <w:rFonts w:ascii="Calibri" w:hAnsi="Calibri"/>
          <w:sz w:val="22"/>
          <w:lang w:val="en-GB"/>
        </w:rPr>
        <w:t xml:space="preserve"> are the results</w:t>
      </w:r>
      <w:r w:rsidR="00D772E1" w:rsidRPr="00C66C24">
        <w:rPr>
          <w:rStyle w:val="normaltextrun"/>
          <w:rFonts w:ascii="Calibri" w:hAnsi="Calibri"/>
          <w:sz w:val="22"/>
          <w:lang w:val="en-GB"/>
        </w:rPr>
        <w:t xml:space="preserve"> of an EMSA financed project</w:t>
      </w:r>
      <w:r w:rsidR="000F440F" w:rsidRPr="00C66C24">
        <w:rPr>
          <w:rStyle w:val="normaltextrun"/>
          <w:rFonts w:ascii="Calibri" w:hAnsi="Calibri"/>
          <w:sz w:val="22"/>
          <w:lang w:val="en-GB"/>
        </w:rPr>
        <w:t xml:space="preserve"> </w:t>
      </w:r>
      <w:r w:rsidR="0029519C">
        <w:rPr>
          <w:rStyle w:val="normaltextrun"/>
          <w:rFonts w:ascii="Calibri" w:hAnsi="Calibri"/>
          <w:sz w:val="22"/>
          <w:lang w:val="en-GB"/>
        </w:rPr>
        <w:t xml:space="preserve">called </w:t>
      </w:r>
      <w:r w:rsidR="000F440F" w:rsidRPr="00C66C24">
        <w:rPr>
          <w:rStyle w:val="normaltextrun"/>
          <w:rFonts w:ascii="Calibri" w:hAnsi="Calibri"/>
          <w:sz w:val="22"/>
          <w:lang w:val="en-GB"/>
        </w:rPr>
        <w:t>(NAVISON)</w:t>
      </w:r>
      <w:r w:rsidR="00A87E59" w:rsidRPr="00C66C24">
        <w:rPr>
          <w:rStyle w:val="normaltextrun"/>
          <w:rFonts w:ascii="Calibri" w:hAnsi="Calibri"/>
          <w:sz w:val="22"/>
          <w:lang w:val="en-GB"/>
        </w:rPr>
        <w:t xml:space="preserve"> </w:t>
      </w:r>
      <w:r w:rsidR="00EF3EF4" w:rsidRPr="00C66C24">
        <w:rPr>
          <w:rStyle w:val="normaltextrun"/>
          <w:rFonts w:ascii="Calibri" w:hAnsi="Calibri"/>
          <w:sz w:val="22"/>
          <w:lang w:val="en-GB"/>
        </w:rPr>
        <w:t>which deri</w:t>
      </w:r>
      <w:r w:rsidR="00380351" w:rsidRPr="00C66C24">
        <w:rPr>
          <w:rStyle w:val="normaltextrun"/>
          <w:rFonts w:ascii="Calibri" w:hAnsi="Calibri"/>
          <w:sz w:val="22"/>
          <w:lang w:val="en-GB"/>
        </w:rPr>
        <w:t>ve</w:t>
      </w:r>
      <w:r w:rsidR="002129B4" w:rsidRPr="00C66C24">
        <w:rPr>
          <w:rStyle w:val="normaltextrun"/>
          <w:rFonts w:ascii="Calibri" w:hAnsi="Calibri"/>
          <w:sz w:val="22"/>
          <w:lang w:val="en-GB"/>
        </w:rPr>
        <w:t>s</w:t>
      </w:r>
      <w:r w:rsidR="00A87E59" w:rsidRPr="00C66C24">
        <w:rPr>
          <w:rStyle w:val="normaltextrun"/>
          <w:rFonts w:ascii="Calibri" w:hAnsi="Calibri"/>
          <w:sz w:val="22"/>
          <w:lang w:val="en-GB"/>
        </w:rPr>
        <w:t xml:space="preserve"> sound</w:t>
      </w:r>
      <w:r w:rsidR="003C615A" w:rsidRPr="00C66C24">
        <w:rPr>
          <w:rStyle w:val="normaltextrun"/>
          <w:rFonts w:ascii="Calibri" w:hAnsi="Calibri"/>
          <w:sz w:val="22"/>
          <w:lang w:val="en-GB"/>
        </w:rPr>
        <w:t>scape</w:t>
      </w:r>
      <w:r w:rsidR="00A87E59" w:rsidRPr="00C66C24">
        <w:rPr>
          <w:rStyle w:val="normaltextrun"/>
          <w:rFonts w:ascii="Calibri" w:hAnsi="Calibri"/>
          <w:sz w:val="22"/>
          <w:lang w:val="en-GB"/>
        </w:rPr>
        <w:t xml:space="preserve"> maps from a </w:t>
      </w:r>
      <w:r w:rsidR="00E2340B" w:rsidRPr="00C66C24">
        <w:rPr>
          <w:rStyle w:val="normaltextrun"/>
          <w:rFonts w:ascii="Calibri" w:hAnsi="Calibri"/>
          <w:sz w:val="22"/>
          <w:lang w:val="en-GB"/>
        </w:rPr>
        <w:t>state</w:t>
      </w:r>
      <w:r w:rsidR="00B67F64" w:rsidRPr="00C66C24">
        <w:rPr>
          <w:rStyle w:val="normaltextrun"/>
          <w:rFonts w:ascii="Calibri" w:hAnsi="Calibri"/>
          <w:sz w:val="22"/>
          <w:lang w:val="en-GB"/>
        </w:rPr>
        <w:t>-</w:t>
      </w:r>
      <w:r w:rsidR="00E522D3" w:rsidRPr="00C66C24">
        <w:rPr>
          <w:rStyle w:val="normaltextrun"/>
          <w:rFonts w:ascii="Calibri" w:hAnsi="Calibri"/>
          <w:sz w:val="22"/>
          <w:lang w:val="en-GB"/>
        </w:rPr>
        <w:t>of-the</w:t>
      </w:r>
      <w:r w:rsidR="00B67F64" w:rsidRPr="00C66C24">
        <w:rPr>
          <w:rStyle w:val="normaltextrun"/>
          <w:rFonts w:ascii="Calibri" w:hAnsi="Calibri"/>
          <w:sz w:val="22"/>
          <w:lang w:val="en-GB"/>
        </w:rPr>
        <w:t xml:space="preserve">-art </w:t>
      </w:r>
      <w:r w:rsidR="00FE0FCD" w:rsidRPr="00C66C24">
        <w:rPr>
          <w:rStyle w:val="normaltextrun"/>
          <w:rFonts w:ascii="Calibri" w:hAnsi="Calibri"/>
          <w:sz w:val="22"/>
          <w:lang w:val="en-GB"/>
        </w:rPr>
        <w:t>U</w:t>
      </w:r>
      <w:r w:rsidR="00A87E59" w:rsidRPr="00C66C24">
        <w:rPr>
          <w:rStyle w:val="normaltextrun"/>
          <w:rFonts w:ascii="Calibri" w:hAnsi="Calibri"/>
          <w:sz w:val="22"/>
          <w:lang w:val="en-GB"/>
        </w:rPr>
        <w:t xml:space="preserve">RN continuous </w:t>
      </w:r>
      <w:r w:rsidR="006C7949" w:rsidRPr="00C66C24">
        <w:rPr>
          <w:rStyle w:val="normaltextrun"/>
          <w:rFonts w:ascii="Calibri" w:hAnsi="Calibri"/>
          <w:sz w:val="22"/>
          <w:lang w:val="en-GB"/>
        </w:rPr>
        <w:t xml:space="preserve">parametric </w:t>
      </w:r>
      <w:r w:rsidR="00066F32" w:rsidRPr="00C66C24">
        <w:rPr>
          <w:rStyle w:val="normaltextrun"/>
          <w:rFonts w:ascii="Calibri" w:hAnsi="Calibri"/>
          <w:sz w:val="22"/>
          <w:lang w:val="en-GB"/>
        </w:rPr>
        <w:t xml:space="preserve">noise </w:t>
      </w:r>
      <w:r w:rsidR="00A87E59" w:rsidRPr="00C66C24">
        <w:rPr>
          <w:rStyle w:val="normaltextrun"/>
          <w:rFonts w:ascii="Calibri" w:hAnsi="Calibri"/>
          <w:sz w:val="22"/>
          <w:lang w:val="en-GB"/>
        </w:rPr>
        <w:t>source model which encompasses ship characteristics</w:t>
      </w:r>
      <w:r w:rsidR="00A87D6F">
        <w:rPr>
          <w:rStyle w:val="normaltextrun"/>
          <w:rFonts w:ascii="Calibri" w:hAnsi="Calibri"/>
          <w:sz w:val="22"/>
          <w:lang w:val="en-GB"/>
        </w:rPr>
        <w:t xml:space="preserve"> with ship traffic and </w:t>
      </w:r>
      <w:r w:rsidR="00F34F96">
        <w:rPr>
          <w:rStyle w:val="normaltextrun"/>
          <w:rFonts w:ascii="Calibri" w:hAnsi="Calibri"/>
          <w:sz w:val="22"/>
          <w:lang w:val="en-GB"/>
        </w:rPr>
        <w:t>an acoustic</w:t>
      </w:r>
      <w:r w:rsidR="003C615A" w:rsidRPr="00C66C24">
        <w:rPr>
          <w:rStyle w:val="normaltextrun"/>
          <w:rFonts w:ascii="Calibri" w:hAnsi="Calibri"/>
          <w:sz w:val="22"/>
          <w:lang w:val="en-GB"/>
        </w:rPr>
        <w:t xml:space="preserve"> propagation model </w:t>
      </w:r>
      <w:r w:rsidR="008F3151" w:rsidRPr="00C66C24">
        <w:rPr>
          <w:rStyle w:val="normaltextrun"/>
          <w:rFonts w:ascii="Calibri" w:hAnsi="Calibri"/>
          <w:sz w:val="22"/>
          <w:lang w:val="en-GB"/>
        </w:rPr>
        <w:t>and</w:t>
      </w:r>
      <w:r w:rsidR="003C615A" w:rsidRPr="00C66C24">
        <w:rPr>
          <w:rStyle w:val="normaltextrun"/>
          <w:rFonts w:ascii="Calibri" w:hAnsi="Calibri"/>
          <w:sz w:val="22"/>
          <w:lang w:val="en-GB"/>
        </w:rPr>
        <w:t xml:space="preserve"> aims to quantify the URN produced by </w:t>
      </w:r>
      <w:r w:rsidR="004C5E66" w:rsidRPr="00C66C24">
        <w:rPr>
          <w:rStyle w:val="normaltextrun"/>
          <w:rFonts w:ascii="Calibri" w:hAnsi="Calibri" w:cs="Calibri"/>
          <w:sz w:val="22"/>
          <w:szCs w:val="22"/>
          <w:lang w:val="en-GB"/>
        </w:rPr>
        <w:t>s</w:t>
      </w:r>
      <w:r w:rsidR="003C615A" w:rsidRPr="00C66C24">
        <w:rPr>
          <w:rStyle w:val="normaltextrun"/>
          <w:rFonts w:ascii="Calibri" w:hAnsi="Calibri"/>
          <w:sz w:val="22"/>
          <w:lang w:val="en-GB"/>
        </w:rPr>
        <w:t xml:space="preserve">hips </w:t>
      </w:r>
      <w:r w:rsidR="00A87E59" w:rsidRPr="00C66C24">
        <w:rPr>
          <w:rStyle w:val="normaltextrun"/>
          <w:rFonts w:ascii="Calibri" w:hAnsi="Calibri"/>
          <w:sz w:val="22"/>
          <w:lang w:val="en-GB"/>
        </w:rPr>
        <w:t>in all of EU waters.</w:t>
      </w:r>
      <w:r w:rsidR="00B425FC" w:rsidRPr="00C66C24">
        <w:rPr>
          <w:rStyle w:val="normaltextrun"/>
          <w:rFonts w:ascii="Calibri" w:hAnsi="Calibri"/>
          <w:sz w:val="22"/>
          <w:lang w:val="en-GB"/>
        </w:rPr>
        <w:t xml:space="preserve"> </w:t>
      </w:r>
      <w:r w:rsidR="00703D10">
        <w:rPr>
          <w:rStyle w:val="normaltextrun"/>
          <w:rFonts w:ascii="Calibri" w:hAnsi="Calibri"/>
          <w:sz w:val="22"/>
          <w:lang w:val="en-GB"/>
        </w:rPr>
        <w:t>B</w:t>
      </w:r>
      <w:r w:rsidR="006C0C6F" w:rsidRPr="00C66C24">
        <w:rPr>
          <w:rStyle w:val="normaltextrun"/>
          <w:rFonts w:ascii="Calibri" w:hAnsi="Calibri"/>
          <w:sz w:val="22"/>
          <w:lang w:val="en-GB"/>
        </w:rPr>
        <w:t>y u</w:t>
      </w:r>
      <w:r w:rsidR="00B425FC" w:rsidRPr="00C66C24">
        <w:rPr>
          <w:rFonts w:ascii="Calibri" w:hAnsi="Calibri"/>
          <w:iCs/>
          <w:sz w:val="22"/>
          <w:lang w:val="en-GB"/>
        </w:rPr>
        <w:t>sing the same approach for the entire EU sea basin, NAVISON permit</w:t>
      </w:r>
      <w:r w:rsidR="0009514A" w:rsidRPr="00C66C24">
        <w:rPr>
          <w:rFonts w:ascii="Calibri" w:hAnsi="Calibri"/>
          <w:iCs/>
          <w:sz w:val="22"/>
          <w:lang w:val="en-GB"/>
        </w:rPr>
        <w:t>s</w:t>
      </w:r>
      <w:r w:rsidR="00B425FC" w:rsidRPr="00C66C24">
        <w:rPr>
          <w:rFonts w:ascii="Calibri" w:hAnsi="Calibri"/>
          <w:iCs/>
          <w:sz w:val="22"/>
          <w:lang w:val="en-GB"/>
        </w:rPr>
        <w:t xml:space="preserve"> </w:t>
      </w:r>
      <w:r w:rsidR="00C0315E" w:rsidRPr="00C66C24">
        <w:rPr>
          <w:rFonts w:ascii="Calibri" w:hAnsi="Calibri"/>
          <w:iCs/>
          <w:sz w:val="22"/>
          <w:lang w:val="en-GB"/>
        </w:rPr>
        <w:t xml:space="preserve">for the first time </w:t>
      </w:r>
      <w:r w:rsidR="00AF541C">
        <w:rPr>
          <w:rFonts w:ascii="Calibri" w:hAnsi="Calibri"/>
          <w:iCs/>
          <w:sz w:val="22"/>
          <w:lang w:val="en-GB"/>
        </w:rPr>
        <w:t xml:space="preserve">like-with-like </w:t>
      </w:r>
      <w:r w:rsidR="00547B19">
        <w:rPr>
          <w:rFonts w:ascii="Calibri" w:hAnsi="Calibri"/>
          <w:iCs/>
          <w:sz w:val="22"/>
          <w:lang w:val="en-GB"/>
        </w:rPr>
        <w:t>consistent</w:t>
      </w:r>
      <w:r w:rsidR="00B425FC" w:rsidRPr="00C66C24">
        <w:rPr>
          <w:rFonts w:ascii="Calibri" w:hAnsi="Calibri"/>
          <w:iCs/>
          <w:sz w:val="22"/>
          <w:lang w:val="en-GB"/>
        </w:rPr>
        <w:t xml:space="preserve"> comparison between regions over </w:t>
      </w:r>
      <w:r w:rsidR="00B809C5" w:rsidRPr="00C66C24">
        <w:rPr>
          <w:rFonts w:ascii="Calibri" w:hAnsi="Calibri"/>
          <w:iCs/>
          <w:sz w:val="22"/>
          <w:lang w:val="en-GB"/>
        </w:rPr>
        <w:t>long-time</w:t>
      </w:r>
      <w:r w:rsidR="00B425FC" w:rsidRPr="00C66C24">
        <w:rPr>
          <w:rFonts w:ascii="Calibri" w:hAnsi="Calibri"/>
          <w:iCs/>
          <w:sz w:val="22"/>
          <w:lang w:val="en-GB"/>
        </w:rPr>
        <w:t xml:space="preserve"> scales.</w:t>
      </w:r>
    </w:p>
    <w:p w14:paraId="4C894114" w14:textId="1B4EF549" w:rsidR="000C0625" w:rsidRPr="00C66C24" w:rsidRDefault="000C0625" w:rsidP="008C6A9C">
      <w:pPr>
        <w:pStyle w:val="paragraph"/>
        <w:spacing w:before="0" w:beforeAutospacing="0" w:after="0" w:afterAutospacing="0" w:line="257" w:lineRule="auto"/>
        <w:jc w:val="both"/>
        <w:textAlignment w:val="baseline"/>
        <w:rPr>
          <w:rFonts w:asciiTheme="minorHAnsi" w:hAnsiTheme="minorHAnsi" w:cstheme="minorHAnsi"/>
          <w:sz w:val="22"/>
          <w:szCs w:val="22"/>
          <w:lang w:val="en-GB"/>
        </w:rPr>
      </w:pPr>
      <w:r w:rsidRPr="00C66C24">
        <w:rPr>
          <w:rFonts w:asciiTheme="minorHAnsi" w:hAnsiTheme="minorHAnsi" w:cstheme="minorHAnsi"/>
          <w:sz w:val="22"/>
          <w:szCs w:val="22"/>
          <w:lang w:val="en-GB"/>
        </w:rPr>
        <w:t>Two parameters may be used to account for the level of URN in European sea</w:t>
      </w:r>
      <w:r w:rsidR="004921BA" w:rsidRPr="00C66C24">
        <w:rPr>
          <w:rFonts w:asciiTheme="minorHAnsi" w:hAnsiTheme="minorHAnsi" w:cstheme="minorHAnsi"/>
          <w:sz w:val="22"/>
          <w:szCs w:val="22"/>
          <w:lang w:val="en-GB"/>
        </w:rPr>
        <w:t xml:space="preserve">: the </w:t>
      </w:r>
      <w:r w:rsidR="008A35B9" w:rsidRPr="00C66C24">
        <w:rPr>
          <w:rFonts w:asciiTheme="minorHAnsi" w:hAnsiTheme="minorHAnsi" w:cstheme="minorHAnsi"/>
          <w:sz w:val="22"/>
          <w:szCs w:val="22"/>
          <w:lang w:val="en-GB"/>
        </w:rPr>
        <w:t xml:space="preserve">sound pressure level (SPL) and the </w:t>
      </w:r>
      <w:r w:rsidR="000C33B9" w:rsidRPr="00C66C24">
        <w:rPr>
          <w:rFonts w:asciiTheme="minorHAnsi" w:hAnsiTheme="minorHAnsi" w:cstheme="minorHAnsi"/>
          <w:sz w:val="22"/>
          <w:szCs w:val="22"/>
          <w:lang w:val="en-GB"/>
        </w:rPr>
        <w:t xml:space="preserve">sound energy density </w:t>
      </w:r>
      <w:r w:rsidR="00244FA6" w:rsidRPr="00C66C24">
        <w:rPr>
          <w:rFonts w:asciiTheme="minorHAnsi" w:hAnsiTheme="minorHAnsi" w:cstheme="minorHAnsi"/>
          <w:sz w:val="22"/>
          <w:szCs w:val="22"/>
          <w:lang w:val="en-GB"/>
        </w:rPr>
        <w:t>(SED).</w:t>
      </w:r>
      <w:r w:rsidR="006C3FB6" w:rsidRPr="00C66C24">
        <w:rPr>
          <w:rFonts w:asciiTheme="minorHAnsi" w:hAnsiTheme="minorHAnsi" w:cstheme="minorHAnsi"/>
          <w:sz w:val="22"/>
          <w:szCs w:val="22"/>
          <w:lang w:val="en-GB"/>
        </w:rPr>
        <w:t xml:space="preserve"> </w:t>
      </w:r>
      <w:r w:rsidR="00A67F8B" w:rsidRPr="00C66C24">
        <w:rPr>
          <w:rFonts w:asciiTheme="minorHAnsi" w:hAnsiTheme="minorHAnsi" w:cstheme="minorHAnsi"/>
          <w:sz w:val="22"/>
          <w:szCs w:val="22"/>
          <w:lang w:val="en-GB"/>
        </w:rPr>
        <w:t>SPL</w:t>
      </w:r>
      <w:r w:rsidR="00D16842" w:rsidRPr="00C66C24">
        <w:rPr>
          <w:rStyle w:val="FootnoteReference"/>
          <w:lang w:val="en-GB"/>
        </w:rPr>
        <w:footnoteReference w:id="15"/>
      </w:r>
      <w:r w:rsidR="00083053" w:rsidRPr="00C66C24">
        <w:rPr>
          <w:rFonts w:asciiTheme="minorHAnsi" w:hAnsiTheme="minorHAnsi" w:cstheme="minorHAnsi"/>
          <w:sz w:val="22"/>
          <w:szCs w:val="22"/>
          <w:lang w:val="en-GB"/>
        </w:rPr>
        <w:t xml:space="preserve"> </w:t>
      </w:r>
      <w:r w:rsidR="00903C05">
        <w:rPr>
          <w:rFonts w:asciiTheme="minorHAnsi" w:hAnsiTheme="minorHAnsi" w:cstheme="minorHAnsi"/>
          <w:sz w:val="22"/>
          <w:szCs w:val="22"/>
          <w:lang w:val="en-GB"/>
        </w:rPr>
        <w:t>represent</w:t>
      </w:r>
      <w:r w:rsidR="006D0708" w:rsidRPr="00C66C24">
        <w:rPr>
          <w:rFonts w:asciiTheme="minorHAnsi" w:hAnsiTheme="minorHAnsi" w:cstheme="minorHAnsi"/>
          <w:sz w:val="22"/>
          <w:szCs w:val="22"/>
          <w:lang w:val="en-GB"/>
        </w:rPr>
        <w:t xml:space="preserve"> </w:t>
      </w:r>
      <w:r w:rsidR="00385F13" w:rsidRPr="00C66C24">
        <w:rPr>
          <w:rFonts w:asciiTheme="minorHAnsi" w:hAnsiTheme="minorHAnsi" w:cstheme="minorHAnsi"/>
          <w:sz w:val="22"/>
          <w:szCs w:val="22"/>
          <w:lang w:val="en-GB"/>
        </w:rPr>
        <w:t xml:space="preserve">the </w:t>
      </w:r>
      <w:r w:rsidR="00C02361" w:rsidRPr="00C66C24">
        <w:rPr>
          <w:rFonts w:asciiTheme="minorHAnsi" w:hAnsiTheme="minorHAnsi" w:cstheme="minorHAnsi"/>
          <w:sz w:val="22"/>
          <w:szCs w:val="22"/>
          <w:lang w:val="en-GB"/>
        </w:rPr>
        <w:t xml:space="preserve">spatially </w:t>
      </w:r>
      <w:r w:rsidR="00C16F84" w:rsidRPr="00C66C24">
        <w:rPr>
          <w:rFonts w:asciiTheme="minorHAnsi" w:hAnsiTheme="minorHAnsi" w:cstheme="minorHAnsi"/>
          <w:sz w:val="22"/>
          <w:szCs w:val="22"/>
          <w:lang w:val="en-GB"/>
        </w:rPr>
        <w:t>and temporal</w:t>
      </w:r>
      <w:r w:rsidR="00385F13" w:rsidRPr="00C66C24">
        <w:rPr>
          <w:rFonts w:asciiTheme="minorHAnsi" w:hAnsiTheme="minorHAnsi" w:cstheme="minorHAnsi"/>
          <w:sz w:val="22"/>
          <w:szCs w:val="22"/>
          <w:lang w:val="en-GB"/>
        </w:rPr>
        <w:t>ly</w:t>
      </w:r>
      <w:r w:rsidR="00C16F84" w:rsidRPr="00C66C24">
        <w:rPr>
          <w:rFonts w:asciiTheme="minorHAnsi" w:hAnsiTheme="minorHAnsi" w:cstheme="minorHAnsi"/>
          <w:sz w:val="22"/>
          <w:szCs w:val="22"/>
          <w:lang w:val="en-GB"/>
        </w:rPr>
        <w:t xml:space="preserve"> </w:t>
      </w:r>
      <w:r w:rsidR="00C02361" w:rsidRPr="00C66C24">
        <w:rPr>
          <w:rFonts w:asciiTheme="minorHAnsi" w:hAnsiTheme="minorHAnsi" w:cstheme="minorHAnsi"/>
          <w:sz w:val="22"/>
          <w:szCs w:val="22"/>
          <w:lang w:val="en-GB"/>
        </w:rPr>
        <w:t>distributed</w:t>
      </w:r>
      <w:r w:rsidR="00F901BD" w:rsidRPr="00C66C24">
        <w:rPr>
          <w:rFonts w:asciiTheme="minorHAnsi" w:hAnsiTheme="minorHAnsi" w:cstheme="minorHAnsi"/>
          <w:sz w:val="22"/>
          <w:szCs w:val="22"/>
          <w:lang w:val="en-GB"/>
        </w:rPr>
        <w:t>/propagated</w:t>
      </w:r>
      <w:r w:rsidR="00C02361" w:rsidRPr="00C66C24">
        <w:rPr>
          <w:rFonts w:asciiTheme="minorHAnsi" w:hAnsiTheme="minorHAnsi" w:cstheme="minorHAnsi"/>
          <w:sz w:val="22"/>
          <w:szCs w:val="22"/>
          <w:lang w:val="en-GB"/>
        </w:rPr>
        <w:t xml:space="preserve"> </w:t>
      </w:r>
      <w:r w:rsidR="00126434" w:rsidRPr="00C66C24">
        <w:rPr>
          <w:rFonts w:asciiTheme="minorHAnsi" w:hAnsiTheme="minorHAnsi" w:cstheme="minorHAnsi"/>
          <w:sz w:val="22"/>
          <w:szCs w:val="22"/>
          <w:lang w:val="en-GB"/>
        </w:rPr>
        <w:t>sound sources (the noise)</w:t>
      </w:r>
      <w:r w:rsidR="00D16842" w:rsidRPr="00C66C24">
        <w:rPr>
          <w:rFonts w:asciiTheme="minorHAnsi" w:hAnsiTheme="minorHAnsi" w:cstheme="minorHAnsi"/>
          <w:sz w:val="22"/>
          <w:szCs w:val="22"/>
          <w:lang w:val="en-GB"/>
        </w:rPr>
        <w:t xml:space="preserve">. </w:t>
      </w:r>
      <w:r w:rsidR="00731BFD" w:rsidRPr="00C66C24">
        <w:rPr>
          <w:rFonts w:asciiTheme="minorHAnsi" w:hAnsiTheme="minorHAnsi" w:cstheme="minorHAnsi"/>
          <w:sz w:val="22"/>
          <w:szCs w:val="22"/>
          <w:lang w:val="en-GB"/>
        </w:rPr>
        <w:t xml:space="preserve">The </w:t>
      </w:r>
      <w:r w:rsidR="00B97342" w:rsidRPr="00C66C24">
        <w:rPr>
          <w:rFonts w:asciiTheme="minorHAnsi" w:hAnsiTheme="minorHAnsi" w:cstheme="minorHAnsi"/>
          <w:sz w:val="22"/>
          <w:szCs w:val="22"/>
          <w:lang w:val="en-GB"/>
        </w:rPr>
        <w:t>SED</w:t>
      </w:r>
      <w:r w:rsidR="00284FD0" w:rsidRPr="00C66C24">
        <w:rPr>
          <w:rFonts w:asciiTheme="minorHAnsi" w:hAnsiTheme="minorHAnsi" w:cstheme="minorHAnsi"/>
          <w:sz w:val="22"/>
          <w:szCs w:val="22"/>
          <w:lang w:val="en-GB"/>
        </w:rPr>
        <w:t xml:space="preserve"> </w:t>
      </w:r>
      <w:r w:rsidR="0050791E" w:rsidRPr="00C66C24">
        <w:rPr>
          <w:rFonts w:asciiTheme="minorHAnsi" w:hAnsiTheme="minorHAnsi" w:cstheme="minorHAnsi"/>
          <w:sz w:val="22"/>
          <w:szCs w:val="22"/>
          <w:lang w:val="en-GB"/>
        </w:rPr>
        <w:t>provide</w:t>
      </w:r>
      <w:r w:rsidR="00983253" w:rsidRPr="00C66C24">
        <w:rPr>
          <w:rFonts w:asciiTheme="minorHAnsi" w:hAnsiTheme="minorHAnsi" w:cstheme="minorHAnsi"/>
          <w:sz w:val="22"/>
          <w:szCs w:val="22"/>
          <w:lang w:val="en-GB"/>
        </w:rPr>
        <w:t>s</w:t>
      </w:r>
      <w:r w:rsidR="00E5249B" w:rsidRPr="00C66C24">
        <w:rPr>
          <w:rFonts w:asciiTheme="minorHAnsi" w:hAnsiTheme="minorHAnsi" w:cstheme="minorHAnsi"/>
          <w:sz w:val="22"/>
          <w:szCs w:val="22"/>
          <w:lang w:val="en-GB"/>
        </w:rPr>
        <w:t xml:space="preserve"> </w:t>
      </w:r>
      <w:r w:rsidR="009258BE" w:rsidRPr="00C66C24">
        <w:rPr>
          <w:rFonts w:asciiTheme="minorHAnsi" w:hAnsiTheme="minorHAnsi" w:cstheme="minorHAnsi"/>
          <w:sz w:val="22"/>
          <w:szCs w:val="22"/>
          <w:lang w:val="en-GB"/>
        </w:rPr>
        <w:t xml:space="preserve">a </w:t>
      </w:r>
      <w:r w:rsidR="00E536D6" w:rsidRPr="00C66C24">
        <w:rPr>
          <w:rFonts w:asciiTheme="minorHAnsi" w:hAnsiTheme="minorHAnsi" w:cstheme="minorHAnsi"/>
          <w:sz w:val="22"/>
          <w:szCs w:val="22"/>
          <w:lang w:val="en-GB"/>
        </w:rPr>
        <w:t xml:space="preserve">parameter which </w:t>
      </w:r>
      <w:r w:rsidR="00731BFD" w:rsidRPr="00C66C24">
        <w:rPr>
          <w:rFonts w:asciiTheme="minorHAnsi" w:hAnsiTheme="minorHAnsi" w:cstheme="minorHAnsi"/>
          <w:sz w:val="22"/>
          <w:szCs w:val="22"/>
          <w:lang w:val="en-GB"/>
        </w:rPr>
        <w:t xml:space="preserve">is </w:t>
      </w:r>
      <w:r w:rsidR="00D7457E" w:rsidRPr="00C66C24">
        <w:rPr>
          <w:rFonts w:asciiTheme="minorHAnsi" w:hAnsiTheme="minorHAnsi" w:cstheme="minorHAnsi"/>
          <w:sz w:val="22"/>
          <w:szCs w:val="22"/>
          <w:lang w:val="en-GB"/>
        </w:rPr>
        <w:t xml:space="preserve">independent of </w:t>
      </w:r>
      <w:r w:rsidR="002F48F5" w:rsidRPr="00C66C24">
        <w:rPr>
          <w:rFonts w:asciiTheme="minorHAnsi" w:hAnsiTheme="minorHAnsi" w:cstheme="minorHAnsi"/>
          <w:sz w:val="22"/>
          <w:szCs w:val="22"/>
          <w:lang w:val="en-GB"/>
        </w:rPr>
        <w:t xml:space="preserve">the spatial </w:t>
      </w:r>
      <w:r w:rsidR="00FA0027" w:rsidRPr="00C66C24">
        <w:rPr>
          <w:rFonts w:asciiTheme="minorHAnsi" w:hAnsiTheme="minorHAnsi" w:cstheme="minorHAnsi"/>
          <w:sz w:val="22"/>
          <w:szCs w:val="22"/>
          <w:lang w:val="en-GB"/>
        </w:rPr>
        <w:t xml:space="preserve">and temporal </w:t>
      </w:r>
      <w:r w:rsidR="002F48F5" w:rsidRPr="00C66C24">
        <w:rPr>
          <w:rFonts w:asciiTheme="minorHAnsi" w:hAnsiTheme="minorHAnsi" w:cstheme="minorHAnsi"/>
          <w:sz w:val="22"/>
          <w:szCs w:val="22"/>
          <w:lang w:val="en-GB"/>
        </w:rPr>
        <w:t xml:space="preserve">observation </w:t>
      </w:r>
      <w:r w:rsidR="00FA0027" w:rsidRPr="00C66C24">
        <w:rPr>
          <w:rFonts w:asciiTheme="minorHAnsi" w:hAnsiTheme="minorHAnsi" w:cstheme="minorHAnsi"/>
          <w:sz w:val="22"/>
          <w:szCs w:val="22"/>
          <w:lang w:val="en-GB"/>
        </w:rPr>
        <w:t>window</w:t>
      </w:r>
      <w:r w:rsidR="00C266CE" w:rsidRPr="00C66C24">
        <w:rPr>
          <w:rFonts w:asciiTheme="minorHAnsi" w:hAnsiTheme="minorHAnsi" w:cstheme="minorHAnsi"/>
          <w:sz w:val="22"/>
          <w:szCs w:val="22"/>
          <w:lang w:val="en-GB"/>
        </w:rPr>
        <w:t xml:space="preserve">, </w:t>
      </w:r>
      <w:r w:rsidR="00E536D6" w:rsidRPr="00C66C24">
        <w:rPr>
          <w:rFonts w:asciiTheme="minorHAnsi" w:hAnsiTheme="minorHAnsi" w:cstheme="minorHAnsi"/>
          <w:sz w:val="22"/>
          <w:szCs w:val="22"/>
          <w:lang w:val="en-GB"/>
        </w:rPr>
        <w:t xml:space="preserve">and hence may be used to compare </w:t>
      </w:r>
      <w:r w:rsidR="00C902D2" w:rsidRPr="00C66C24">
        <w:rPr>
          <w:rFonts w:asciiTheme="minorHAnsi" w:hAnsiTheme="minorHAnsi" w:cstheme="minorHAnsi"/>
          <w:sz w:val="22"/>
          <w:szCs w:val="22"/>
          <w:lang w:val="en-GB"/>
        </w:rPr>
        <w:t xml:space="preserve">URN </w:t>
      </w:r>
      <w:r w:rsidR="004F0717" w:rsidRPr="00C66C24">
        <w:rPr>
          <w:rFonts w:asciiTheme="minorHAnsi" w:hAnsiTheme="minorHAnsi" w:cstheme="minorHAnsi"/>
          <w:sz w:val="22"/>
          <w:szCs w:val="22"/>
          <w:lang w:val="en-GB"/>
        </w:rPr>
        <w:t>between</w:t>
      </w:r>
      <w:r w:rsidR="00C902D2" w:rsidRPr="00C66C24">
        <w:rPr>
          <w:rFonts w:asciiTheme="minorHAnsi" w:hAnsiTheme="minorHAnsi" w:cstheme="minorHAnsi"/>
          <w:sz w:val="22"/>
          <w:szCs w:val="22"/>
          <w:lang w:val="en-GB"/>
        </w:rPr>
        <w:t xml:space="preserve"> </w:t>
      </w:r>
      <w:r w:rsidR="00F12218" w:rsidRPr="00C66C24">
        <w:rPr>
          <w:rFonts w:asciiTheme="minorHAnsi" w:hAnsiTheme="minorHAnsi" w:cstheme="minorHAnsi"/>
          <w:sz w:val="22"/>
          <w:szCs w:val="22"/>
          <w:lang w:val="en-GB"/>
        </w:rPr>
        <w:t>regions</w:t>
      </w:r>
      <w:r w:rsidR="00ED0160" w:rsidRPr="00C66C24">
        <w:rPr>
          <w:rFonts w:asciiTheme="minorHAnsi" w:hAnsiTheme="minorHAnsi" w:cstheme="minorHAnsi"/>
          <w:sz w:val="22"/>
          <w:szCs w:val="22"/>
          <w:lang w:val="en-GB"/>
        </w:rPr>
        <w:t>.</w:t>
      </w:r>
    </w:p>
    <w:p w14:paraId="0355ACDF" w14:textId="02F02D59" w:rsidR="007505E3" w:rsidRPr="00C66C24" w:rsidRDefault="000F3112" w:rsidP="005B00B3">
      <w:pPr>
        <w:pStyle w:val="paragraph"/>
        <w:spacing w:before="0" w:beforeAutospacing="0" w:after="120" w:afterAutospacing="0" w:line="257" w:lineRule="auto"/>
        <w:textAlignment w:val="baseline"/>
        <w:rPr>
          <w:rFonts w:asciiTheme="minorHAnsi" w:hAnsiTheme="minorHAnsi" w:cstheme="minorHAnsi"/>
          <w:sz w:val="22"/>
          <w:szCs w:val="22"/>
          <w:lang w:val="en-GB"/>
        </w:rPr>
      </w:pPr>
      <w:r w:rsidRPr="00C66C24">
        <w:rPr>
          <w:rFonts w:asciiTheme="minorHAnsi" w:hAnsiTheme="minorHAnsi" w:cstheme="minorHAnsi"/>
          <w:sz w:val="22"/>
          <w:szCs w:val="22"/>
          <w:lang w:val="en-GB"/>
        </w:rPr>
        <w:fldChar w:fldCharType="begin"/>
      </w:r>
      <w:r w:rsidRPr="00C66C24">
        <w:rPr>
          <w:rFonts w:asciiTheme="minorHAnsi" w:hAnsiTheme="minorHAnsi" w:cstheme="minorHAnsi"/>
          <w:sz w:val="22"/>
          <w:szCs w:val="22"/>
          <w:lang w:val="en-GB"/>
        </w:rPr>
        <w:instrText xml:space="preserve"> REF _Ref157611883 \h  \* MERGEFORMAT </w:instrText>
      </w:r>
      <w:r w:rsidRPr="00C66C24">
        <w:rPr>
          <w:rFonts w:asciiTheme="minorHAnsi" w:hAnsiTheme="minorHAnsi" w:cstheme="minorHAnsi"/>
          <w:sz w:val="22"/>
          <w:szCs w:val="22"/>
          <w:lang w:val="en-GB"/>
        </w:rPr>
      </w:r>
      <w:r w:rsidRPr="00C66C24">
        <w:rPr>
          <w:rFonts w:asciiTheme="minorHAnsi" w:hAnsiTheme="minorHAnsi" w:cstheme="minorHAnsi"/>
          <w:sz w:val="22"/>
          <w:szCs w:val="22"/>
          <w:lang w:val="en-GB"/>
        </w:rPr>
        <w:fldChar w:fldCharType="separate"/>
      </w:r>
      <w:r w:rsidRPr="00C66C24">
        <w:rPr>
          <w:rFonts w:asciiTheme="minorHAnsi" w:hAnsiTheme="minorHAnsi" w:cstheme="minorHAnsi"/>
          <w:sz w:val="22"/>
          <w:szCs w:val="22"/>
          <w:lang w:val="en-GB"/>
        </w:rPr>
        <w:t>Map 2.8</w:t>
      </w:r>
      <w:r w:rsidRPr="00C66C24">
        <w:rPr>
          <w:rFonts w:asciiTheme="minorHAnsi" w:hAnsiTheme="minorHAnsi" w:cstheme="minorHAnsi"/>
          <w:sz w:val="22"/>
          <w:szCs w:val="22"/>
          <w:lang w:val="en-GB"/>
        </w:rPr>
        <w:fldChar w:fldCharType="end"/>
      </w:r>
      <w:r w:rsidR="00211C23" w:rsidRPr="00C66C24">
        <w:rPr>
          <w:rFonts w:asciiTheme="minorHAnsi" w:hAnsiTheme="minorHAnsi" w:cstheme="minorHAnsi"/>
          <w:sz w:val="22"/>
          <w:szCs w:val="22"/>
          <w:lang w:val="en-GB"/>
        </w:rPr>
        <w:t xml:space="preserve"> shows the </w:t>
      </w:r>
      <w:r w:rsidR="00B41FD5">
        <w:rPr>
          <w:rFonts w:asciiTheme="minorHAnsi" w:hAnsiTheme="minorHAnsi" w:cstheme="minorHAnsi"/>
          <w:sz w:val="22"/>
          <w:szCs w:val="22"/>
          <w:lang w:val="en-GB"/>
        </w:rPr>
        <w:t xml:space="preserve">modelled </w:t>
      </w:r>
      <w:r w:rsidR="00163533" w:rsidRPr="00C66C24">
        <w:rPr>
          <w:rFonts w:asciiTheme="minorHAnsi" w:hAnsiTheme="minorHAnsi" w:cstheme="minorHAnsi"/>
          <w:sz w:val="22"/>
          <w:szCs w:val="22"/>
          <w:lang w:val="en-GB"/>
        </w:rPr>
        <w:t xml:space="preserve">sound pressure level for </w:t>
      </w:r>
      <w:r w:rsidR="005669EC" w:rsidRPr="00C66C24">
        <w:rPr>
          <w:rFonts w:asciiTheme="minorHAnsi" w:hAnsiTheme="minorHAnsi" w:cstheme="minorHAnsi"/>
          <w:sz w:val="22"/>
          <w:szCs w:val="22"/>
          <w:lang w:val="en-GB"/>
        </w:rPr>
        <w:t xml:space="preserve">the European sea in 2022, at both </w:t>
      </w:r>
      <w:r w:rsidR="00474C3E" w:rsidRPr="00C66C24">
        <w:rPr>
          <w:rFonts w:asciiTheme="minorHAnsi" w:hAnsiTheme="minorHAnsi" w:cstheme="minorHAnsi"/>
          <w:sz w:val="22"/>
          <w:szCs w:val="22"/>
          <w:lang w:val="en-GB"/>
        </w:rPr>
        <w:t>63</w:t>
      </w:r>
      <w:r w:rsidR="0067793A">
        <w:rPr>
          <w:rFonts w:asciiTheme="minorHAnsi" w:hAnsiTheme="minorHAnsi" w:cstheme="minorHAnsi"/>
          <w:sz w:val="22"/>
          <w:szCs w:val="22"/>
          <w:lang w:val="en-GB"/>
        </w:rPr>
        <w:t xml:space="preserve"> </w:t>
      </w:r>
      <w:r w:rsidR="00474C3E" w:rsidRPr="00C66C24">
        <w:rPr>
          <w:rFonts w:asciiTheme="minorHAnsi" w:hAnsiTheme="minorHAnsi" w:cstheme="minorHAnsi"/>
          <w:sz w:val="22"/>
          <w:szCs w:val="22"/>
          <w:lang w:val="en-GB"/>
        </w:rPr>
        <w:t>Hz and 125</w:t>
      </w:r>
      <w:r w:rsidR="0067793A">
        <w:rPr>
          <w:rFonts w:asciiTheme="minorHAnsi" w:hAnsiTheme="minorHAnsi" w:cstheme="minorHAnsi"/>
          <w:sz w:val="22"/>
          <w:szCs w:val="22"/>
          <w:lang w:val="en-GB"/>
        </w:rPr>
        <w:t xml:space="preserve"> </w:t>
      </w:r>
      <w:r w:rsidR="00474C3E" w:rsidRPr="00C66C24">
        <w:rPr>
          <w:rFonts w:asciiTheme="minorHAnsi" w:hAnsiTheme="minorHAnsi" w:cstheme="minorHAnsi"/>
          <w:sz w:val="22"/>
          <w:szCs w:val="22"/>
          <w:lang w:val="en-GB"/>
        </w:rPr>
        <w:t>Hz</w:t>
      </w:r>
      <w:r w:rsidR="00DD6FB8" w:rsidRPr="00C66C24">
        <w:rPr>
          <w:rFonts w:asciiTheme="minorHAnsi" w:hAnsiTheme="minorHAnsi" w:cstheme="minorHAnsi"/>
          <w:sz w:val="22"/>
          <w:szCs w:val="22"/>
          <w:lang w:val="en-GB"/>
        </w:rPr>
        <w:t xml:space="preserve"> (SPL was calculated </w:t>
      </w:r>
      <w:r w:rsidR="00D97ECD" w:rsidRPr="00C66C24">
        <w:rPr>
          <w:rFonts w:asciiTheme="minorHAnsi" w:hAnsiTheme="minorHAnsi" w:cstheme="minorHAnsi"/>
          <w:sz w:val="22"/>
          <w:szCs w:val="22"/>
          <w:lang w:val="en-GB"/>
        </w:rPr>
        <w:t>for each quarter and the</w:t>
      </w:r>
      <w:r w:rsidR="00B41FD5">
        <w:rPr>
          <w:rFonts w:asciiTheme="minorHAnsi" w:hAnsiTheme="minorHAnsi" w:cstheme="minorHAnsi"/>
          <w:sz w:val="22"/>
          <w:szCs w:val="22"/>
          <w:lang w:val="en-GB"/>
        </w:rPr>
        <w:t>n</w:t>
      </w:r>
      <w:r w:rsidR="00D97ECD" w:rsidRPr="00C66C24">
        <w:rPr>
          <w:rFonts w:asciiTheme="minorHAnsi" w:hAnsiTheme="minorHAnsi" w:cstheme="minorHAnsi"/>
          <w:sz w:val="22"/>
          <w:szCs w:val="22"/>
          <w:lang w:val="en-GB"/>
        </w:rPr>
        <w:t xml:space="preserve"> integrated)</w:t>
      </w:r>
      <w:r w:rsidR="00474C3E" w:rsidRPr="00C66C24">
        <w:rPr>
          <w:rFonts w:asciiTheme="minorHAnsi" w:hAnsiTheme="minorHAnsi" w:cstheme="minorHAnsi"/>
          <w:sz w:val="22"/>
          <w:szCs w:val="22"/>
          <w:lang w:val="en-GB"/>
        </w:rPr>
        <w:t>.</w:t>
      </w:r>
    </w:p>
    <w:p w14:paraId="3978CDDD" w14:textId="6EAD7E36" w:rsidR="007505E3" w:rsidRPr="00C66C24" w:rsidRDefault="00042060" w:rsidP="008C6A9C">
      <w:pPr>
        <w:pStyle w:val="paragraph"/>
        <w:spacing w:before="0" w:beforeAutospacing="0" w:after="0" w:afterAutospacing="0" w:line="257" w:lineRule="auto"/>
        <w:textAlignment w:val="baseline"/>
        <w:rPr>
          <w:rFonts w:asciiTheme="minorHAnsi" w:hAnsiTheme="minorHAnsi" w:cstheme="minorHAnsi"/>
          <w:sz w:val="22"/>
          <w:szCs w:val="22"/>
          <w:lang w:val="en-GB"/>
        </w:rPr>
      </w:pPr>
      <w:r w:rsidRPr="00C66C24">
        <w:rPr>
          <w:rFonts w:asciiTheme="minorHAnsi" w:hAnsiTheme="minorHAnsi" w:cstheme="minorHAnsi"/>
          <w:noProof/>
          <w:sz w:val="22"/>
          <w:szCs w:val="22"/>
          <w:lang w:val="en-GB"/>
        </w:rPr>
        <w:drawing>
          <wp:inline distT="0" distB="0" distL="0" distR="0" wp14:anchorId="10CFDDF9" wp14:editId="36DA274F">
            <wp:extent cx="5400040" cy="2642870"/>
            <wp:effectExtent l="0" t="0" r="0" b="5080"/>
            <wp:docPr id="136005635" name="Picture 136005635" descr="A comparison of the earth's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5635" name="Picture 136005635" descr="A comparison of the earth's water&#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400040" cy="2642870"/>
                    </a:xfrm>
                    <a:prstGeom prst="rect">
                      <a:avLst/>
                    </a:prstGeom>
                  </pic:spPr>
                </pic:pic>
              </a:graphicData>
            </a:graphic>
          </wp:inline>
        </w:drawing>
      </w:r>
    </w:p>
    <w:p w14:paraId="33E526F3" w14:textId="52FD96E8" w:rsidR="00F37272" w:rsidRPr="00C66C24" w:rsidRDefault="00F37272" w:rsidP="008C6A9C">
      <w:pPr>
        <w:pStyle w:val="Caption"/>
        <w:spacing w:after="0" w:line="257" w:lineRule="auto"/>
        <w:jc w:val="center"/>
        <w:rPr>
          <w:rFonts w:cstheme="minorHAnsi"/>
          <w:sz w:val="20"/>
          <w:szCs w:val="20"/>
        </w:rPr>
      </w:pPr>
      <w:bookmarkStart w:id="147" w:name="_Ref157611883"/>
      <w:r w:rsidRPr="00C66C24">
        <w:rPr>
          <w:sz w:val="20"/>
          <w:szCs w:val="20"/>
        </w:rPr>
        <w:t xml:space="preserve">Map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Pr="00C66C24">
        <w:rPr>
          <w:noProof/>
          <w:sz w:val="20"/>
          <w:szCs w:val="20"/>
        </w:rPr>
        <w:t>2</w:t>
      </w:r>
      <w:r w:rsidRPr="00C66C24">
        <w:rPr>
          <w:sz w:val="20"/>
          <w:szCs w:val="20"/>
        </w:rPr>
        <w:fldChar w:fldCharType="end"/>
      </w:r>
      <w:r w:rsidRPr="00C66C24">
        <w:rPr>
          <w:sz w:val="20"/>
          <w:szCs w:val="20"/>
        </w:rPr>
        <w:t>.</w:t>
      </w:r>
      <w:r w:rsidRPr="00C66C24">
        <w:rPr>
          <w:sz w:val="20"/>
          <w:szCs w:val="20"/>
        </w:rPr>
        <w:fldChar w:fldCharType="begin"/>
      </w:r>
      <w:r w:rsidRPr="00C66C24">
        <w:rPr>
          <w:sz w:val="20"/>
          <w:szCs w:val="20"/>
        </w:rPr>
        <w:instrText xml:space="preserve"> SEQ Map \* ARABIC \s 1 </w:instrText>
      </w:r>
      <w:r w:rsidRPr="00C66C24">
        <w:rPr>
          <w:sz w:val="20"/>
          <w:szCs w:val="20"/>
        </w:rPr>
        <w:fldChar w:fldCharType="separate"/>
      </w:r>
      <w:r w:rsidR="001D571B" w:rsidRPr="00C66C24">
        <w:rPr>
          <w:noProof/>
          <w:sz w:val="20"/>
          <w:szCs w:val="20"/>
        </w:rPr>
        <w:t>8</w:t>
      </w:r>
      <w:r w:rsidRPr="00C66C24">
        <w:rPr>
          <w:sz w:val="20"/>
          <w:szCs w:val="20"/>
        </w:rPr>
        <w:fldChar w:fldCharType="end"/>
      </w:r>
      <w:bookmarkEnd w:id="147"/>
      <w:r w:rsidRPr="00C66C24">
        <w:rPr>
          <w:sz w:val="20"/>
          <w:szCs w:val="20"/>
        </w:rPr>
        <w:t xml:space="preserve"> Sound pressure level </w:t>
      </w:r>
      <w:r w:rsidR="000657A1">
        <w:rPr>
          <w:sz w:val="20"/>
          <w:szCs w:val="20"/>
        </w:rPr>
        <w:t>maps</w:t>
      </w:r>
      <w:r w:rsidRPr="00C66C24">
        <w:rPr>
          <w:sz w:val="20"/>
          <w:szCs w:val="20"/>
        </w:rPr>
        <w:t xml:space="preserve"> for different years for all ship types (at </w:t>
      </w:r>
      <w:r w:rsidR="00393087" w:rsidRPr="00C66C24">
        <w:rPr>
          <w:sz w:val="20"/>
          <w:szCs w:val="20"/>
        </w:rPr>
        <w:t>63</w:t>
      </w:r>
      <w:r w:rsidR="009E601E">
        <w:rPr>
          <w:sz w:val="20"/>
          <w:szCs w:val="20"/>
        </w:rPr>
        <w:t xml:space="preserve"> </w:t>
      </w:r>
      <w:r w:rsidR="00393087" w:rsidRPr="00C66C24">
        <w:rPr>
          <w:sz w:val="20"/>
          <w:szCs w:val="20"/>
        </w:rPr>
        <w:t xml:space="preserve">Hz </w:t>
      </w:r>
      <w:r w:rsidR="002152F0" w:rsidRPr="00C66C24">
        <w:rPr>
          <w:sz w:val="20"/>
          <w:szCs w:val="20"/>
        </w:rPr>
        <w:t xml:space="preserve">left </w:t>
      </w:r>
      <w:r w:rsidR="00393087" w:rsidRPr="00C66C24">
        <w:rPr>
          <w:sz w:val="20"/>
          <w:szCs w:val="20"/>
        </w:rPr>
        <w:t xml:space="preserve">and </w:t>
      </w:r>
      <w:r w:rsidRPr="00C66C24">
        <w:rPr>
          <w:sz w:val="20"/>
          <w:szCs w:val="20"/>
        </w:rPr>
        <w:t>125</w:t>
      </w:r>
      <w:r w:rsidR="009E601E">
        <w:rPr>
          <w:sz w:val="20"/>
          <w:szCs w:val="20"/>
        </w:rPr>
        <w:t xml:space="preserve"> </w:t>
      </w:r>
      <w:r w:rsidRPr="00C66C24">
        <w:rPr>
          <w:sz w:val="20"/>
          <w:szCs w:val="20"/>
        </w:rPr>
        <w:t>Hz</w:t>
      </w:r>
      <w:r w:rsidR="002152F0" w:rsidRPr="00C66C24">
        <w:rPr>
          <w:sz w:val="20"/>
          <w:szCs w:val="20"/>
        </w:rPr>
        <w:t xml:space="preserve"> right</w:t>
      </w:r>
      <w:r w:rsidRPr="00C66C24">
        <w:rPr>
          <w:sz w:val="20"/>
          <w:szCs w:val="20"/>
        </w:rPr>
        <w:t>).</w:t>
      </w:r>
    </w:p>
    <w:p w14:paraId="791403CD" w14:textId="79F78DE8" w:rsidR="00F37272" w:rsidRPr="00C66C24" w:rsidRDefault="00F37272" w:rsidP="008C6A9C">
      <w:pPr>
        <w:pStyle w:val="paragraph"/>
        <w:spacing w:before="0" w:beforeAutospacing="0" w:after="120" w:afterAutospacing="0" w:line="257" w:lineRule="auto"/>
        <w:jc w:val="center"/>
        <w:textAlignment w:val="baseline"/>
        <w:rPr>
          <w:rStyle w:val="eop"/>
          <w:rFonts w:ascii="Calibri" w:hAnsi="Calibri" w:cs="Calibri"/>
          <w:color w:val="000000" w:themeColor="text1"/>
          <w:sz w:val="20"/>
          <w:szCs w:val="20"/>
          <w:lang w:val="en-GB"/>
        </w:rPr>
      </w:pPr>
      <w:r w:rsidRPr="00C66C24">
        <w:rPr>
          <w:rStyle w:val="eop"/>
          <w:rFonts w:asciiTheme="minorHAnsi" w:hAnsiTheme="minorHAnsi" w:cstheme="minorHAnsi"/>
          <w:color w:val="000000" w:themeColor="text1"/>
          <w:sz w:val="20"/>
          <w:szCs w:val="20"/>
          <w:lang w:val="en-GB"/>
        </w:rPr>
        <w:t>Source: EMSA, NAVISON</w:t>
      </w:r>
      <w:r w:rsidR="00295716" w:rsidRPr="00C66C24">
        <w:rPr>
          <w:rStyle w:val="eop"/>
          <w:rFonts w:asciiTheme="minorHAnsi" w:hAnsiTheme="minorHAnsi" w:cstheme="minorHAnsi"/>
          <w:color w:val="000000" w:themeColor="text1"/>
          <w:sz w:val="20"/>
          <w:szCs w:val="20"/>
          <w:lang w:val="en-GB"/>
        </w:rPr>
        <w:t xml:space="preserve"> (2024)</w:t>
      </w:r>
      <w:r w:rsidRPr="00C66C24">
        <w:rPr>
          <w:rStyle w:val="eop"/>
          <w:rFonts w:asciiTheme="minorHAnsi" w:hAnsiTheme="minorHAnsi" w:cstheme="minorHAnsi"/>
          <w:color w:val="000000" w:themeColor="text1"/>
          <w:sz w:val="20"/>
          <w:szCs w:val="20"/>
          <w:lang w:val="en-GB"/>
        </w:rPr>
        <w:t>.</w:t>
      </w:r>
    </w:p>
    <w:p w14:paraId="2EA2DF0B" w14:textId="1ED3E89D" w:rsidR="0042415B" w:rsidRPr="00C66C24" w:rsidRDefault="002C6208" w:rsidP="008C6A9C">
      <w:pPr>
        <w:pStyle w:val="paragraph"/>
        <w:spacing w:before="0" w:beforeAutospacing="0" w:after="120" w:afterAutospacing="0" w:line="257" w:lineRule="auto"/>
        <w:jc w:val="both"/>
        <w:textAlignment w:val="baseline"/>
        <w:rPr>
          <w:rFonts w:asciiTheme="minorHAnsi" w:hAnsiTheme="minorHAnsi" w:cstheme="minorHAnsi"/>
          <w:sz w:val="22"/>
          <w:szCs w:val="22"/>
          <w:lang w:val="en-GB"/>
        </w:rPr>
      </w:pPr>
      <w:r w:rsidRPr="00C66C24">
        <w:rPr>
          <w:rFonts w:asciiTheme="minorHAnsi" w:hAnsiTheme="minorHAnsi" w:cstheme="minorHAnsi"/>
          <w:sz w:val="22"/>
          <w:szCs w:val="22"/>
          <w:lang w:val="en-GB"/>
        </w:rPr>
        <w:t xml:space="preserve">To </w:t>
      </w:r>
      <w:r w:rsidR="00D84FC4" w:rsidRPr="00C66C24">
        <w:rPr>
          <w:rFonts w:asciiTheme="minorHAnsi" w:hAnsiTheme="minorHAnsi" w:cstheme="minorHAnsi"/>
          <w:sz w:val="22"/>
          <w:szCs w:val="22"/>
          <w:lang w:val="en-GB"/>
        </w:rPr>
        <w:t xml:space="preserve">better understand the </w:t>
      </w:r>
      <w:r w:rsidR="00390B5E" w:rsidRPr="00C66C24">
        <w:rPr>
          <w:rFonts w:asciiTheme="minorHAnsi" w:hAnsiTheme="minorHAnsi" w:cstheme="minorHAnsi"/>
          <w:sz w:val="22"/>
          <w:szCs w:val="22"/>
          <w:lang w:val="en-GB"/>
        </w:rPr>
        <w:t>differe</w:t>
      </w:r>
      <w:r w:rsidR="00D864C1" w:rsidRPr="00C66C24">
        <w:rPr>
          <w:rFonts w:asciiTheme="minorHAnsi" w:hAnsiTheme="minorHAnsi" w:cstheme="minorHAnsi"/>
          <w:sz w:val="22"/>
          <w:szCs w:val="22"/>
          <w:lang w:val="en-GB"/>
        </w:rPr>
        <w:t>nt regional components</w:t>
      </w:r>
      <w:r w:rsidR="00790234" w:rsidRPr="00C66C24">
        <w:rPr>
          <w:rFonts w:asciiTheme="minorHAnsi" w:hAnsiTheme="minorHAnsi" w:cstheme="minorHAnsi"/>
          <w:sz w:val="22"/>
          <w:szCs w:val="22"/>
          <w:lang w:val="en-GB"/>
        </w:rPr>
        <w:t xml:space="preserve">, </w:t>
      </w:r>
      <w:r w:rsidR="00DF1A49" w:rsidRPr="00C66C24">
        <w:rPr>
          <w:rFonts w:asciiTheme="minorHAnsi" w:hAnsiTheme="minorHAnsi" w:cstheme="minorHAnsi"/>
          <w:sz w:val="22"/>
          <w:szCs w:val="22"/>
          <w:lang w:val="en-GB"/>
        </w:rPr>
        <w:t>together with their tempor</w:t>
      </w:r>
      <w:r w:rsidR="00CC24C9" w:rsidRPr="00C66C24">
        <w:rPr>
          <w:rFonts w:asciiTheme="minorHAnsi" w:hAnsiTheme="minorHAnsi" w:cstheme="minorHAnsi"/>
          <w:sz w:val="22"/>
          <w:szCs w:val="22"/>
          <w:lang w:val="en-GB"/>
        </w:rPr>
        <w:t xml:space="preserve">al trends, </w:t>
      </w:r>
      <w:r w:rsidR="000112FD" w:rsidRPr="00C66C24">
        <w:rPr>
          <w:rFonts w:asciiTheme="minorHAnsi" w:hAnsiTheme="minorHAnsi" w:cstheme="minorHAnsi"/>
          <w:sz w:val="22"/>
          <w:szCs w:val="22"/>
          <w:lang w:val="en-GB"/>
        </w:rPr>
        <w:t xml:space="preserve">it is </w:t>
      </w:r>
      <w:r w:rsidR="00037092" w:rsidRPr="00C66C24">
        <w:rPr>
          <w:rFonts w:asciiTheme="minorHAnsi" w:hAnsiTheme="minorHAnsi" w:cstheme="minorHAnsi"/>
          <w:sz w:val="22"/>
          <w:szCs w:val="22"/>
          <w:lang w:val="en-GB"/>
        </w:rPr>
        <w:t xml:space="preserve">important to analyse </w:t>
      </w:r>
      <w:r w:rsidR="00790234" w:rsidRPr="00C66C24">
        <w:rPr>
          <w:rFonts w:asciiTheme="minorHAnsi" w:hAnsiTheme="minorHAnsi" w:cstheme="minorHAnsi"/>
          <w:sz w:val="22"/>
          <w:szCs w:val="22"/>
          <w:lang w:val="en-GB"/>
        </w:rPr>
        <w:t xml:space="preserve">the </w:t>
      </w:r>
      <w:r w:rsidR="00E22DC7" w:rsidRPr="00C66C24">
        <w:rPr>
          <w:rFonts w:asciiTheme="minorHAnsi" w:hAnsiTheme="minorHAnsi" w:cstheme="minorHAnsi"/>
          <w:sz w:val="22"/>
          <w:szCs w:val="22"/>
          <w:lang w:val="en-GB"/>
        </w:rPr>
        <w:t xml:space="preserve">different regional </w:t>
      </w:r>
      <w:r w:rsidR="005637C8" w:rsidRPr="00C66C24">
        <w:rPr>
          <w:rFonts w:asciiTheme="minorHAnsi" w:hAnsiTheme="minorHAnsi" w:cstheme="minorHAnsi"/>
          <w:sz w:val="22"/>
          <w:szCs w:val="22"/>
          <w:lang w:val="en-GB"/>
        </w:rPr>
        <w:t>sound energy densit</w:t>
      </w:r>
      <w:r w:rsidR="008A248D" w:rsidRPr="00C66C24">
        <w:rPr>
          <w:rFonts w:asciiTheme="minorHAnsi" w:hAnsiTheme="minorHAnsi" w:cstheme="minorHAnsi"/>
          <w:sz w:val="22"/>
          <w:szCs w:val="22"/>
          <w:lang w:val="en-GB"/>
        </w:rPr>
        <w:t>ies</w:t>
      </w:r>
      <w:r w:rsidR="00FB0805" w:rsidRPr="00C66C24">
        <w:rPr>
          <w:rFonts w:asciiTheme="minorHAnsi" w:hAnsiTheme="minorHAnsi" w:cstheme="minorHAnsi"/>
          <w:sz w:val="22"/>
          <w:szCs w:val="22"/>
          <w:lang w:val="en-GB"/>
        </w:rPr>
        <w:t xml:space="preserve"> (</w:t>
      </w:r>
      <w:r w:rsidR="00D90D01" w:rsidRPr="00C66C24">
        <w:rPr>
          <w:rFonts w:asciiTheme="minorHAnsi" w:hAnsiTheme="minorHAnsi" w:cstheme="minorHAnsi"/>
          <w:sz w:val="22"/>
          <w:szCs w:val="22"/>
          <w:lang w:val="en-GB"/>
        </w:rPr>
        <w:t xml:space="preserve">see </w:t>
      </w:r>
      <w:r w:rsidR="00881D6E" w:rsidRPr="00C66C24">
        <w:rPr>
          <w:rFonts w:asciiTheme="minorHAnsi" w:hAnsiTheme="minorHAnsi" w:cstheme="minorHAnsi"/>
          <w:sz w:val="22"/>
          <w:szCs w:val="22"/>
          <w:lang w:val="en-GB"/>
        </w:rPr>
        <w:fldChar w:fldCharType="begin"/>
      </w:r>
      <w:r w:rsidR="00881D6E" w:rsidRPr="00C66C24">
        <w:rPr>
          <w:rFonts w:asciiTheme="minorHAnsi" w:hAnsiTheme="minorHAnsi" w:cstheme="minorHAnsi"/>
          <w:sz w:val="22"/>
          <w:szCs w:val="22"/>
          <w:lang w:val="en-GB"/>
        </w:rPr>
        <w:instrText xml:space="preserve"> REF _Ref156902830 \h  \* MERGEFORMAT </w:instrText>
      </w:r>
      <w:r w:rsidR="00881D6E" w:rsidRPr="00C66C24">
        <w:rPr>
          <w:rFonts w:asciiTheme="minorHAnsi" w:hAnsiTheme="minorHAnsi" w:cstheme="minorHAnsi"/>
          <w:sz w:val="22"/>
          <w:szCs w:val="22"/>
          <w:lang w:val="en-GB"/>
        </w:rPr>
      </w:r>
      <w:r w:rsidR="00881D6E" w:rsidRPr="00C66C24">
        <w:rPr>
          <w:rFonts w:asciiTheme="minorHAnsi" w:hAnsiTheme="minorHAnsi" w:cstheme="minorHAnsi"/>
          <w:sz w:val="22"/>
          <w:szCs w:val="22"/>
          <w:lang w:val="en-GB"/>
        </w:rPr>
        <w:fldChar w:fldCharType="separate"/>
      </w:r>
      <w:r w:rsidR="0021064F" w:rsidRPr="00C66C24">
        <w:rPr>
          <w:rFonts w:asciiTheme="minorHAnsi" w:hAnsiTheme="minorHAnsi" w:cstheme="minorHAnsi"/>
          <w:sz w:val="22"/>
          <w:szCs w:val="22"/>
          <w:lang w:val="en-GB"/>
        </w:rPr>
        <w:t xml:space="preserve">Figure </w:t>
      </w:r>
      <w:r w:rsidR="0021064F" w:rsidRPr="00C66C24">
        <w:rPr>
          <w:rFonts w:asciiTheme="minorHAnsi" w:hAnsiTheme="minorHAnsi" w:cstheme="minorHAnsi"/>
          <w:noProof/>
          <w:sz w:val="22"/>
          <w:szCs w:val="22"/>
          <w:lang w:val="en-GB"/>
        </w:rPr>
        <w:t>2.32</w:t>
      </w:r>
      <w:r w:rsidR="00881D6E" w:rsidRPr="00C66C24">
        <w:rPr>
          <w:rFonts w:asciiTheme="minorHAnsi" w:hAnsiTheme="minorHAnsi" w:cstheme="minorHAnsi"/>
          <w:sz w:val="22"/>
          <w:szCs w:val="22"/>
          <w:lang w:val="en-GB"/>
        </w:rPr>
        <w:fldChar w:fldCharType="end"/>
      </w:r>
      <w:r w:rsidR="00FB0805" w:rsidRPr="00C66C24">
        <w:rPr>
          <w:rFonts w:asciiTheme="minorHAnsi" w:hAnsiTheme="minorHAnsi" w:cstheme="minorHAnsi"/>
          <w:sz w:val="22"/>
          <w:szCs w:val="22"/>
          <w:lang w:val="en-GB"/>
        </w:rPr>
        <w:t>)</w:t>
      </w:r>
      <w:r w:rsidR="00450C46" w:rsidRPr="00C66C24">
        <w:rPr>
          <w:rFonts w:asciiTheme="minorHAnsi" w:hAnsiTheme="minorHAnsi" w:cstheme="minorHAnsi"/>
          <w:sz w:val="22"/>
          <w:szCs w:val="22"/>
          <w:lang w:val="en-GB"/>
        </w:rPr>
        <w:t xml:space="preserve">. </w:t>
      </w:r>
      <w:r w:rsidR="005661D8" w:rsidRPr="00C66C24">
        <w:rPr>
          <w:rFonts w:asciiTheme="minorHAnsi" w:hAnsiTheme="minorHAnsi" w:cstheme="minorHAnsi"/>
          <w:sz w:val="22"/>
          <w:szCs w:val="22"/>
          <w:lang w:val="en-GB"/>
        </w:rPr>
        <w:t>When looking at the cumulative</w:t>
      </w:r>
      <w:r w:rsidR="00907248" w:rsidRPr="00C66C24">
        <w:rPr>
          <w:rFonts w:asciiTheme="minorHAnsi" w:hAnsiTheme="minorHAnsi" w:cstheme="minorHAnsi"/>
          <w:sz w:val="22"/>
          <w:szCs w:val="22"/>
          <w:lang w:val="en-GB"/>
        </w:rPr>
        <w:t xml:space="preserve"> </w:t>
      </w:r>
      <w:r w:rsidR="00AE5856" w:rsidRPr="00C66C24">
        <w:rPr>
          <w:rFonts w:asciiTheme="minorHAnsi" w:hAnsiTheme="minorHAnsi" w:cstheme="minorHAnsi"/>
          <w:sz w:val="22"/>
          <w:szCs w:val="22"/>
          <w:lang w:val="en-GB"/>
        </w:rPr>
        <w:t xml:space="preserve">sound </w:t>
      </w:r>
      <w:r w:rsidR="00907248" w:rsidRPr="00C66C24">
        <w:rPr>
          <w:rFonts w:asciiTheme="minorHAnsi" w:hAnsiTheme="minorHAnsi" w:cstheme="minorHAnsi"/>
          <w:sz w:val="22"/>
          <w:szCs w:val="22"/>
          <w:lang w:val="en-GB"/>
        </w:rPr>
        <w:t>energy densit</w:t>
      </w:r>
      <w:r w:rsidR="003D0E15" w:rsidRPr="00C66C24">
        <w:rPr>
          <w:rFonts w:asciiTheme="minorHAnsi" w:hAnsiTheme="minorHAnsi" w:cstheme="minorHAnsi"/>
          <w:sz w:val="22"/>
          <w:szCs w:val="22"/>
          <w:lang w:val="en-GB"/>
        </w:rPr>
        <w:t>ies</w:t>
      </w:r>
      <w:r w:rsidR="00907248" w:rsidRPr="00C66C24">
        <w:rPr>
          <w:rFonts w:asciiTheme="minorHAnsi" w:hAnsiTheme="minorHAnsi" w:cstheme="minorHAnsi"/>
          <w:sz w:val="22"/>
          <w:szCs w:val="22"/>
          <w:lang w:val="en-GB"/>
        </w:rPr>
        <w:t xml:space="preserve"> at European level </w:t>
      </w:r>
      <w:r w:rsidR="007A16FA" w:rsidRPr="00C66C24">
        <w:rPr>
          <w:rFonts w:asciiTheme="minorHAnsi" w:hAnsiTheme="minorHAnsi" w:cstheme="minorHAnsi"/>
          <w:sz w:val="22"/>
          <w:szCs w:val="22"/>
          <w:lang w:val="en-GB"/>
        </w:rPr>
        <w:t xml:space="preserve">one can observe an </w:t>
      </w:r>
      <w:r w:rsidR="007D0EBC" w:rsidRPr="00C66C24">
        <w:rPr>
          <w:rFonts w:asciiTheme="minorHAnsi" w:hAnsiTheme="minorHAnsi" w:cstheme="minorHAnsi"/>
          <w:sz w:val="22"/>
          <w:szCs w:val="22"/>
          <w:lang w:val="en-GB"/>
        </w:rPr>
        <w:t xml:space="preserve">increase until 2019, </w:t>
      </w:r>
      <w:r w:rsidR="00FC106F" w:rsidRPr="00C66C24">
        <w:rPr>
          <w:rFonts w:asciiTheme="minorHAnsi" w:hAnsiTheme="minorHAnsi" w:cstheme="minorHAnsi"/>
          <w:sz w:val="22"/>
          <w:szCs w:val="22"/>
          <w:lang w:val="en-GB"/>
        </w:rPr>
        <w:t xml:space="preserve">ending </w:t>
      </w:r>
      <w:r w:rsidR="008D580C" w:rsidRPr="00C66C24">
        <w:rPr>
          <w:rFonts w:asciiTheme="minorHAnsi" w:hAnsiTheme="minorHAnsi" w:cstheme="minorHAnsi"/>
          <w:sz w:val="22"/>
          <w:szCs w:val="22"/>
          <w:lang w:val="en-GB"/>
        </w:rPr>
        <w:t>abruptly in 20</w:t>
      </w:r>
      <w:r w:rsidR="00FC106F" w:rsidRPr="00C66C24">
        <w:rPr>
          <w:rFonts w:asciiTheme="minorHAnsi" w:hAnsiTheme="minorHAnsi" w:cstheme="minorHAnsi"/>
          <w:sz w:val="22"/>
          <w:szCs w:val="22"/>
          <w:lang w:val="en-GB"/>
        </w:rPr>
        <w:t>20 (COVID year)</w:t>
      </w:r>
      <w:r w:rsidR="00DB3EAF" w:rsidRPr="00C66C24">
        <w:rPr>
          <w:rFonts w:asciiTheme="minorHAnsi" w:hAnsiTheme="minorHAnsi" w:cstheme="minorHAnsi"/>
          <w:sz w:val="22"/>
          <w:szCs w:val="22"/>
          <w:lang w:val="en-GB"/>
        </w:rPr>
        <w:t>,</w:t>
      </w:r>
      <w:r w:rsidR="00FC106F" w:rsidRPr="00C66C24">
        <w:rPr>
          <w:rFonts w:asciiTheme="minorHAnsi" w:hAnsiTheme="minorHAnsi" w:cstheme="minorHAnsi"/>
          <w:sz w:val="22"/>
          <w:szCs w:val="22"/>
          <w:lang w:val="en-GB"/>
        </w:rPr>
        <w:t xml:space="preserve"> </w:t>
      </w:r>
      <w:r w:rsidR="0026600D" w:rsidRPr="00C66C24">
        <w:rPr>
          <w:rFonts w:asciiTheme="minorHAnsi" w:hAnsiTheme="minorHAnsi" w:cstheme="minorHAnsi"/>
          <w:sz w:val="22"/>
          <w:szCs w:val="22"/>
          <w:lang w:val="en-GB"/>
        </w:rPr>
        <w:t xml:space="preserve">and thereafter slightly </w:t>
      </w:r>
      <w:r w:rsidR="00A32E14" w:rsidRPr="00C66C24">
        <w:rPr>
          <w:rFonts w:asciiTheme="minorHAnsi" w:hAnsiTheme="minorHAnsi" w:cstheme="minorHAnsi"/>
          <w:sz w:val="22"/>
          <w:szCs w:val="22"/>
          <w:lang w:val="en-GB"/>
        </w:rPr>
        <w:t xml:space="preserve">but steadily </w:t>
      </w:r>
      <w:r w:rsidR="0026600D" w:rsidRPr="00C66C24">
        <w:rPr>
          <w:rFonts w:asciiTheme="minorHAnsi" w:hAnsiTheme="minorHAnsi" w:cstheme="minorHAnsi"/>
          <w:sz w:val="22"/>
          <w:szCs w:val="22"/>
          <w:lang w:val="en-GB"/>
        </w:rPr>
        <w:t>increasing</w:t>
      </w:r>
      <w:r w:rsidR="00A32E14" w:rsidRPr="00C66C24">
        <w:rPr>
          <w:rFonts w:asciiTheme="minorHAnsi" w:hAnsiTheme="minorHAnsi" w:cstheme="minorHAnsi"/>
          <w:sz w:val="22"/>
          <w:szCs w:val="22"/>
          <w:lang w:val="en-GB"/>
        </w:rPr>
        <w:t xml:space="preserve"> </w:t>
      </w:r>
      <w:r w:rsidR="00CB2E43">
        <w:rPr>
          <w:rFonts w:asciiTheme="minorHAnsi" w:hAnsiTheme="minorHAnsi" w:cstheme="minorHAnsi"/>
          <w:sz w:val="22"/>
          <w:szCs w:val="22"/>
          <w:lang w:val="en-GB"/>
        </w:rPr>
        <w:t xml:space="preserve">in the modelled sound maps </w:t>
      </w:r>
      <w:r w:rsidR="00A32E14" w:rsidRPr="00C66C24">
        <w:rPr>
          <w:rFonts w:asciiTheme="minorHAnsi" w:hAnsiTheme="minorHAnsi" w:cstheme="minorHAnsi"/>
          <w:sz w:val="22"/>
          <w:szCs w:val="22"/>
          <w:lang w:val="en-GB"/>
        </w:rPr>
        <w:t>(note that the 2019 levels have still not been reached)</w:t>
      </w:r>
      <w:r w:rsidR="00FC48E6" w:rsidRPr="00C66C24">
        <w:rPr>
          <w:rFonts w:asciiTheme="minorHAnsi" w:hAnsiTheme="minorHAnsi" w:cstheme="minorHAnsi"/>
          <w:sz w:val="22"/>
          <w:szCs w:val="22"/>
          <w:lang w:val="en-GB"/>
        </w:rPr>
        <w:t xml:space="preserve">. </w:t>
      </w:r>
      <w:r w:rsidR="000572A9" w:rsidRPr="00C66C24">
        <w:rPr>
          <w:rFonts w:asciiTheme="minorHAnsi" w:hAnsiTheme="minorHAnsi" w:cstheme="minorHAnsi"/>
          <w:sz w:val="22"/>
          <w:szCs w:val="22"/>
          <w:lang w:val="en-GB"/>
        </w:rPr>
        <w:t xml:space="preserve">The region with the highest </w:t>
      </w:r>
      <w:r w:rsidR="000B56AB" w:rsidRPr="00C66C24">
        <w:rPr>
          <w:rFonts w:asciiTheme="minorHAnsi" w:hAnsiTheme="minorHAnsi" w:cstheme="minorHAnsi"/>
          <w:sz w:val="22"/>
          <w:szCs w:val="22"/>
          <w:lang w:val="en-GB"/>
        </w:rPr>
        <w:t xml:space="preserve">sound energy density is the </w:t>
      </w:r>
      <w:r w:rsidR="0094128E" w:rsidRPr="00C66C24">
        <w:rPr>
          <w:rFonts w:asciiTheme="minorHAnsi" w:hAnsiTheme="minorHAnsi" w:cstheme="minorHAnsi"/>
          <w:sz w:val="22"/>
          <w:szCs w:val="22"/>
          <w:lang w:val="en-GB"/>
        </w:rPr>
        <w:t>Baltic Sea, due</w:t>
      </w:r>
      <w:r w:rsidR="006B793F" w:rsidRPr="00C66C24">
        <w:rPr>
          <w:rFonts w:asciiTheme="minorHAnsi" w:hAnsiTheme="minorHAnsi" w:cstheme="minorHAnsi"/>
          <w:sz w:val="22"/>
          <w:szCs w:val="22"/>
          <w:lang w:val="en-GB"/>
        </w:rPr>
        <w:t xml:space="preserve"> to its</w:t>
      </w:r>
      <w:r w:rsidR="0094128E" w:rsidRPr="00C66C24">
        <w:rPr>
          <w:rFonts w:asciiTheme="minorHAnsi" w:hAnsiTheme="minorHAnsi" w:cstheme="minorHAnsi"/>
          <w:sz w:val="22"/>
          <w:szCs w:val="22"/>
          <w:lang w:val="en-GB"/>
        </w:rPr>
        <w:t xml:space="preserve"> </w:t>
      </w:r>
      <w:r w:rsidR="0062266B" w:rsidRPr="00C66C24">
        <w:rPr>
          <w:rFonts w:asciiTheme="minorHAnsi" w:hAnsiTheme="minorHAnsi" w:cstheme="minorHAnsi"/>
          <w:sz w:val="22"/>
          <w:szCs w:val="22"/>
          <w:lang w:val="en-GB"/>
        </w:rPr>
        <w:t xml:space="preserve">shallow water and relatively high shipping density. </w:t>
      </w:r>
      <w:r w:rsidR="00B46D21" w:rsidRPr="00C66C24">
        <w:rPr>
          <w:rFonts w:asciiTheme="minorHAnsi" w:hAnsiTheme="minorHAnsi" w:cstheme="minorHAnsi"/>
          <w:sz w:val="22"/>
          <w:szCs w:val="22"/>
          <w:lang w:val="en-GB"/>
        </w:rPr>
        <w:t xml:space="preserve">There is, however, no specific </w:t>
      </w:r>
      <w:r w:rsidR="00602C1E" w:rsidRPr="00C66C24">
        <w:rPr>
          <w:rFonts w:asciiTheme="minorHAnsi" w:hAnsiTheme="minorHAnsi" w:cstheme="minorHAnsi"/>
          <w:sz w:val="22"/>
          <w:szCs w:val="22"/>
          <w:lang w:val="en-GB"/>
        </w:rPr>
        <w:t xml:space="preserve">signal (or </w:t>
      </w:r>
      <w:r w:rsidR="00B46D21" w:rsidRPr="00C66C24">
        <w:rPr>
          <w:rFonts w:asciiTheme="minorHAnsi" w:hAnsiTheme="minorHAnsi" w:cstheme="minorHAnsi"/>
          <w:sz w:val="22"/>
          <w:szCs w:val="22"/>
          <w:lang w:val="en-GB"/>
        </w:rPr>
        <w:t>trend</w:t>
      </w:r>
      <w:r w:rsidR="00602C1E" w:rsidRPr="00C66C24">
        <w:rPr>
          <w:rFonts w:asciiTheme="minorHAnsi" w:hAnsiTheme="minorHAnsi" w:cstheme="minorHAnsi"/>
          <w:sz w:val="22"/>
          <w:szCs w:val="22"/>
          <w:lang w:val="en-GB"/>
        </w:rPr>
        <w:t xml:space="preserve">) </w:t>
      </w:r>
      <w:r w:rsidR="00C72C32">
        <w:rPr>
          <w:rFonts w:asciiTheme="minorHAnsi" w:hAnsiTheme="minorHAnsi" w:cstheme="minorHAnsi"/>
          <w:sz w:val="22"/>
          <w:szCs w:val="22"/>
          <w:lang w:val="en-GB"/>
        </w:rPr>
        <w:t>that</w:t>
      </w:r>
      <w:r w:rsidR="00602C1E" w:rsidRPr="00C66C24">
        <w:rPr>
          <w:rFonts w:asciiTheme="minorHAnsi" w:hAnsiTheme="minorHAnsi" w:cstheme="minorHAnsi"/>
          <w:sz w:val="22"/>
          <w:szCs w:val="22"/>
          <w:lang w:val="en-GB"/>
        </w:rPr>
        <w:t xml:space="preserve"> may be </w:t>
      </w:r>
      <w:r w:rsidR="00D06192" w:rsidRPr="00C66C24">
        <w:rPr>
          <w:rFonts w:asciiTheme="minorHAnsi" w:hAnsiTheme="minorHAnsi" w:cstheme="minorHAnsi"/>
          <w:sz w:val="22"/>
          <w:szCs w:val="22"/>
          <w:lang w:val="en-GB"/>
        </w:rPr>
        <w:t xml:space="preserve">highlighted, </w:t>
      </w:r>
      <w:r w:rsidR="00B31820" w:rsidRPr="00C66C24">
        <w:rPr>
          <w:rFonts w:asciiTheme="minorHAnsi" w:hAnsiTheme="minorHAnsi" w:cstheme="minorHAnsi"/>
          <w:sz w:val="22"/>
          <w:szCs w:val="22"/>
          <w:lang w:val="en-GB"/>
        </w:rPr>
        <w:t xml:space="preserve">other than the </w:t>
      </w:r>
      <w:r w:rsidR="008F039E" w:rsidRPr="00C66C24">
        <w:rPr>
          <w:rFonts w:asciiTheme="minorHAnsi" w:hAnsiTheme="minorHAnsi" w:cstheme="minorHAnsi"/>
          <w:sz w:val="22"/>
          <w:szCs w:val="22"/>
          <w:lang w:val="en-GB"/>
        </w:rPr>
        <w:t xml:space="preserve">drop </w:t>
      </w:r>
      <w:r w:rsidR="00803C4B" w:rsidRPr="00C66C24">
        <w:rPr>
          <w:rFonts w:asciiTheme="minorHAnsi" w:hAnsiTheme="minorHAnsi" w:cstheme="minorHAnsi"/>
          <w:sz w:val="22"/>
          <w:szCs w:val="22"/>
          <w:lang w:val="en-GB"/>
        </w:rPr>
        <w:t>registered for the COVID</w:t>
      </w:r>
      <w:r w:rsidR="00F15385" w:rsidRPr="00C66C24">
        <w:rPr>
          <w:rFonts w:asciiTheme="minorHAnsi" w:hAnsiTheme="minorHAnsi" w:cstheme="minorHAnsi"/>
          <w:sz w:val="22"/>
          <w:szCs w:val="22"/>
          <w:lang w:val="en-GB"/>
        </w:rPr>
        <w:t xml:space="preserve"> year of 2020</w:t>
      </w:r>
      <w:r w:rsidR="004C72D5" w:rsidRPr="00C66C24">
        <w:rPr>
          <w:rFonts w:asciiTheme="minorHAnsi" w:hAnsiTheme="minorHAnsi" w:cstheme="minorHAnsi"/>
          <w:sz w:val="22"/>
          <w:szCs w:val="22"/>
          <w:lang w:val="en-GB"/>
        </w:rPr>
        <w:t>.</w:t>
      </w:r>
      <w:r w:rsidR="00B46D21" w:rsidRPr="00C66C24">
        <w:rPr>
          <w:rFonts w:asciiTheme="minorHAnsi" w:hAnsiTheme="minorHAnsi" w:cstheme="minorHAnsi"/>
          <w:sz w:val="22"/>
          <w:szCs w:val="22"/>
          <w:lang w:val="en-GB"/>
        </w:rPr>
        <w:t xml:space="preserve"> </w:t>
      </w:r>
      <w:r w:rsidR="00BB17B9" w:rsidRPr="00C66C24">
        <w:rPr>
          <w:rFonts w:asciiTheme="minorHAnsi" w:hAnsiTheme="minorHAnsi" w:cstheme="minorHAnsi"/>
          <w:sz w:val="22"/>
          <w:szCs w:val="22"/>
          <w:lang w:val="en-GB"/>
        </w:rPr>
        <w:t xml:space="preserve">In the Baltic Sea </w:t>
      </w:r>
      <w:r w:rsidR="00037D6A" w:rsidRPr="00C66C24">
        <w:rPr>
          <w:rFonts w:asciiTheme="minorHAnsi" w:hAnsiTheme="minorHAnsi" w:cstheme="minorHAnsi"/>
          <w:sz w:val="22"/>
          <w:szCs w:val="22"/>
          <w:lang w:val="en-GB"/>
        </w:rPr>
        <w:t xml:space="preserve">the </w:t>
      </w:r>
      <w:r w:rsidR="001A1416" w:rsidRPr="00C66C24">
        <w:rPr>
          <w:rFonts w:asciiTheme="minorHAnsi" w:hAnsiTheme="minorHAnsi" w:cstheme="minorHAnsi"/>
          <w:sz w:val="22"/>
          <w:szCs w:val="22"/>
          <w:lang w:val="en-GB"/>
        </w:rPr>
        <w:t>sound</w:t>
      </w:r>
      <w:r w:rsidR="00245D0E" w:rsidRPr="00C66C24">
        <w:rPr>
          <w:rFonts w:asciiTheme="minorHAnsi" w:hAnsiTheme="minorHAnsi" w:cstheme="minorHAnsi"/>
          <w:sz w:val="22"/>
          <w:szCs w:val="22"/>
          <w:lang w:val="en-GB"/>
        </w:rPr>
        <w:t xml:space="preserve"> energy </w:t>
      </w:r>
      <w:r w:rsidR="001A1416" w:rsidRPr="00C66C24">
        <w:rPr>
          <w:rFonts w:asciiTheme="minorHAnsi" w:hAnsiTheme="minorHAnsi" w:cstheme="minorHAnsi"/>
          <w:sz w:val="22"/>
          <w:szCs w:val="22"/>
          <w:lang w:val="en-GB"/>
        </w:rPr>
        <w:t>density is dominated b</w:t>
      </w:r>
      <w:r w:rsidR="00A96783" w:rsidRPr="00C66C24">
        <w:rPr>
          <w:rFonts w:asciiTheme="minorHAnsi" w:hAnsiTheme="minorHAnsi" w:cstheme="minorHAnsi"/>
          <w:sz w:val="22"/>
          <w:szCs w:val="22"/>
          <w:lang w:val="en-GB"/>
        </w:rPr>
        <w:t xml:space="preserve">y </w:t>
      </w:r>
      <w:r w:rsidR="00272D0C" w:rsidRPr="00C66C24">
        <w:rPr>
          <w:rFonts w:asciiTheme="minorHAnsi" w:hAnsiTheme="minorHAnsi" w:cstheme="minorHAnsi"/>
          <w:sz w:val="22"/>
          <w:szCs w:val="22"/>
          <w:lang w:val="en-GB"/>
        </w:rPr>
        <w:t xml:space="preserve">cargo vessels, </w:t>
      </w:r>
      <w:r w:rsidR="005D64EC" w:rsidRPr="00C66C24">
        <w:rPr>
          <w:rFonts w:asciiTheme="minorHAnsi" w:hAnsiTheme="minorHAnsi" w:cstheme="minorHAnsi"/>
          <w:sz w:val="22"/>
          <w:szCs w:val="22"/>
          <w:lang w:val="en-GB"/>
        </w:rPr>
        <w:t xml:space="preserve">followed by Ro-Ro </w:t>
      </w:r>
      <w:r w:rsidR="009C545A" w:rsidRPr="00C66C24">
        <w:rPr>
          <w:rFonts w:asciiTheme="minorHAnsi" w:hAnsiTheme="minorHAnsi" w:cstheme="minorHAnsi"/>
          <w:sz w:val="22"/>
          <w:szCs w:val="22"/>
          <w:lang w:val="en-GB"/>
        </w:rPr>
        <w:t>and tankers</w:t>
      </w:r>
      <w:r w:rsidR="004B3803" w:rsidRPr="00C66C24">
        <w:rPr>
          <w:rFonts w:asciiTheme="minorHAnsi" w:hAnsiTheme="minorHAnsi" w:cstheme="minorHAnsi"/>
          <w:sz w:val="22"/>
          <w:szCs w:val="22"/>
          <w:lang w:val="en-GB"/>
        </w:rPr>
        <w:t xml:space="preserve"> at 63</w:t>
      </w:r>
      <w:r w:rsidR="00B87BC9">
        <w:rPr>
          <w:rFonts w:asciiTheme="minorHAnsi" w:hAnsiTheme="minorHAnsi" w:cstheme="minorHAnsi"/>
          <w:sz w:val="22"/>
          <w:szCs w:val="22"/>
          <w:lang w:val="en-GB"/>
        </w:rPr>
        <w:t xml:space="preserve"> </w:t>
      </w:r>
      <w:r w:rsidR="004B3803" w:rsidRPr="00C66C24">
        <w:rPr>
          <w:rFonts w:asciiTheme="minorHAnsi" w:hAnsiTheme="minorHAnsi" w:cstheme="minorHAnsi"/>
          <w:sz w:val="22"/>
          <w:szCs w:val="22"/>
          <w:lang w:val="en-GB"/>
        </w:rPr>
        <w:t>Hz (Ro-Ro signal increases when looking at the 125</w:t>
      </w:r>
      <w:r w:rsidR="00B87BC9">
        <w:rPr>
          <w:rFonts w:asciiTheme="minorHAnsi" w:hAnsiTheme="minorHAnsi" w:cstheme="minorHAnsi"/>
          <w:sz w:val="22"/>
          <w:szCs w:val="22"/>
          <w:lang w:val="en-GB"/>
        </w:rPr>
        <w:t xml:space="preserve"> </w:t>
      </w:r>
      <w:r w:rsidR="004B3803" w:rsidRPr="00C66C24">
        <w:rPr>
          <w:rFonts w:asciiTheme="minorHAnsi" w:hAnsiTheme="minorHAnsi" w:cstheme="minorHAnsi"/>
          <w:sz w:val="22"/>
          <w:szCs w:val="22"/>
          <w:lang w:val="en-GB"/>
        </w:rPr>
        <w:t xml:space="preserve">Hz </w:t>
      </w:r>
      <w:r w:rsidR="00B14DBC" w:rsidRPr="00C66C24">
        <w:rPr>
          <w:rFonts w:asciiTheme="minorHAnsi" w:hAnsiTheme="minorHAnsi" w:cstheme="minorHAnsi"/>
          <w:sz w:val="22"/>
          <w:szCs w:val="22"/>
          <w:lang w:val="en-GB"/>
        </w:rPr>
        <w:t>frequency band)</w:t>
      </w:r>
      <w:r w:rsidR="009C545A" w:rsidRPr="00C66C24">
        <w:rPr>
          <w:rFonts w:asciiTheme="minorHAnsi" w:hAnsiTheme="minorHAnsi" w:cstheme="minorHAnsi"/>
          <w:sz w:val="22"/>
          <w:szCs w:val="22"/>
          <w:lang w:val="en-GB"/>
        </w:rPr>
        <w:t xml:space="preserve">. </w:t>
      </w:r>
      <w:r w:rsidR="0062266B" w:rsidRPr="00C66C24">
        <w:rPr>
          <w:rFonts w:asciiTheme="minorHAnsi" w:hAnsiTheme="minorHAnsi" w:cstheme="minorHAnsi"/>
          <w:sz w:val="22"/>
          <w:szCs w:val="22"/>
          <w:lang w:val="en-GB"/>
        </w:rPr>
        <w:t>If one compares with the North Sea, one finds this same combination of shallow water and high shipping density in the south but not in the north</w:t>
      </w:r>
      <w:r w:rsidR="008C25F5">
        <w:rPr>
          <w:rFonts w:asciiTheme="minorHAnsi" w:hAnsiTheme="minorHAnsi" w:cstheme="minorHAnsi"/>
          <w:sz w:val="22"/>
          <w:szCs w:val="22"/>
          <w:lang w:val="en-GB"/>
        </w:rPr>
        <w:t>. For this reason</w:t>
      </w:r>
      <w:r w:rsidR="00A3545F" w:rsidRPr="00C66C24">
        <w:rPr>
          <w:rFonts w:asciiTheme="minorHAnsi" w:hAnsiTheme="minorHAnsi" w:cstheme="minorHAnsi"/>
          <w:sz w:val="22"/>
          <w:szCs w:val="22"/>
          <w:lang w:val="en-GB"/>
        </w:rPr>
        <w:t xml:space="preserve"> </w:t>
      </w:r>
      <w:r w:rsidR="0062266B" w:rsidRPr="00C66C24">
        <w:rPr>
          <w:rFonts w:asciiTheme="minorHAnsi" w:hAnsiTheme="minorHAnsi" w:cstheme="minorHAnsi"/>
          <w:sz w:val="22"/>
          <w:szCs w:val="22"/>
          <w:lang w:val="en-GB"/>
        </w:rPr>
        <w:t xml:space="preserve">the average for the entire North Sea is lower because of the effect of the deeper water and </w:t>
      </w:r>
      <w:r w:rsidR="00D11328">
        <w:rPr>
          <w:rFonts w:asciiTheme="minorHAnsi" w:hAnsiTheme="minorHAnsi" w:cstheme="minorHAnsi"/>
          <w:sz w:val="22"/>
          <w:szCs w:val="22"/>
          <w:lang w:val="en-GB"/>
        </w:rPr>
        <w:t xml:space="preserve">hence </w:t>
      </w:r>
      <w:r w:rsidR="0062266B" w:rsidRPr="00C66C24">
        <w:rPr>
          <w:rFonts w:asciiTheme="minorHAnsi" w:hAnsiTheme="minorHAnsi" w:cstheme="minorHAnsi"/>
          <w:sz w:val="22"/>
          <w:szCs w:val="22"/>
          <w:lang w:val="en-GB"/>
        </w:rPr>
        <w:t>lower energy density in the north.</w:t>
      </w:r>
      <w:r w:rsidR="003440EE" w:rsidRPr="00C66C24">
        <w:rPr>
          <w:rFonts w:asciiTheme="minorHAnsi" w:hAnsiTheme="minorHAnsi" w:cstheme="minorHAnsi"/>
          <w:sz w:val="22"/>
          <w:szCs w:val="22"/>
          <w:lang w:val="en-GB"/>
        </w:rPr>
        <w:t xml:space="preserve"> Here a </w:t>
      </w:r>
      <w:r w:rsidR="002B6EA6" w:rsidRPr="00C66C24">
        <w:rPr>
          <w:rFonts w:asciiTheme="minorHAnsi" w:hAnsiTheme="minorHAnsi" w:cstheme="minorHAnsi"/>
          <w:sz w:val="22"/>
          <w:szCs w:val="22"/>
          <w:lang w:val="en-GB"/>
        </w:rPr>
        <w:t xml:space="preserve">slight increase in energy density can </w:t>
      </w:r>
      <w:r w:rsidR="00A609F2" w:rsidRPr="00C66C24">
        <w:rPr>
          <w:rFonts w:asciiTheme="minorHAnsi" w:hAnsiTheme="minorHAnsi" w:cstheme="minorHAnsi"/>
          <w:sz w:val="22"/>
          <w:szCs w:val="22"/>
          <w:lang w:val="en-GB"/>
        </w:rPr>
        <w:t xml:space="preserve">be </w:t>
      </w:r>
      <w:r w:rsidR="00592E70" w:rsidRPr="00C66C24">
        <w:rPr>
          <w:rFonts w:asciiTheme="minorHAnsi" w:hAnsiTheme="minorHAnsi" w:cstheme="minorHAnsi"/>
          <w:sz w:val="22"/>
          <w:szCs w:val="22"/>
          <w:lang w:val="en-GB"/>
        </w:rPr>
        <w:t>observed.</w:t>
      </w:r>
      <w:r w:rsidR="00BB17B9" w:rsidRPr="00C66C24">
        <w:rPr>
          <w:rFonts w:asciiTheme="minorHAnsi" w:hAnsiTheme="minorHAnsi" w:cstheme="minorHAnsi"/>
          <w:sz w:val="22"/>
          <w:szCs w:val="22"/>
          <w:lang w:val="en-GB"/>
        </w:rPr>
        <w:t xml:space="preserve"> </w:t>
      </w:r>
      <w:r w:rsidR="00F92A87" w:rsidRPr="00C66C24">
        <w:rPr>
          <w:rFonts w:asciiTheme="minorHAnsi" w:hAnsiTheme="minorHAnsi" w:cstheme="minorHAnsi"/>
          <w:sz w:val="22"/>
          <w:szCs w:val="22"/>
          <w:lang w:val="en-GB"/>
        </w:rPr>
        <w:t xml:space="preserve">In the Mediterranean Sea, the </w:t>
      </w:r>
      <w:r w:rsidR="00673A08" w:rsidRPr="00C66C24">
        <w:rPr>
          <w:rFonts w:asciiTheme="minorHAnsi" w:hAnsiTheme="minorHAnsi" w:cstheme="minorHAnsi"/>
          <w:sz w:val="22"/>
          <w:szCs w:val="22"/>
          <w:lang w:val="en-GB"/>
        </w:rPr>
        <w:t xml:space="preserve">sound energy density is dominated by </w:t>
      </w:r>
      <w:r w:rsidR="00987A86" w:rsidRPr="00C66C24">
        <w:rPr>
          <w:rFonts w:asciiTheme="minorHAnsi" w:hAnsiTheme="minorHAnsi" w:cstheme="minorHAnsi"/>
          <w:sz w:val="22"/>
          <w:szCs w:val="22"/>
          <w:lang w:val="en-GB"/>
        </w:rPr>
        <w:t>tankers</w:t>
      </w:r>
      <w:r w:rsidR="0053204B" w:rsidRPr="00C66C24">
        <w:rPr>
          <w:rFonts w:asciiTheme="minorHAnsi" w:hAnsiTheme="minorHAnsi" w:cstheme="minorHAnsi"/>
          <w:sz w:val="22"/>
          <w:szCs w:val="22"/>
          <w:lang w:val="en-GB"/>
        </w:rPr>
        <w:t>, w</w:t>
      </w:r>
      <w:r w:rsidR="006109A4" w:rsidRPr="00C66C24">
        <w:rPr>
          <w:rFonts w:asciiTheme="minorHAnsi" w:hAnsiTheme="minorHAnsi" w:cstheme="minorHAnsi"/>
          <w:sz w:val="22"/>
          <w:szCs w:val="22"/>
          <w:lang w:val="en-GB"/>
        </w:rPr>
        <w:t xml:space="preserve">hich </w:t>
      </w:r>
      <w:r w:rsidR="00575485" w:rsidRPr="00C66C24">
        <w:rPr>
          <w:rFonts w:asciiTheme="minorHAnsi" w:hAnsiTheme="minorHAnsi" w:cstheme="minorHAnsi"/>
          <w:sz w:val="22"/>
          <w:szCs w:val="22"/>
          <w:lang w:val="en-GB"/>
        </w:rPr>
        <w:t xml:space="preserve">contribute </w:t>
      </w:r>
      <w:r w:rsidR="00CC39C9" w:rsidRPr="00C66C24">
        <w:rPr>
          <w:rFonts w:asciiTheme="minorHAnsi" w:hAnsiTheme="minorHAnsi" w:cstheme="minorHAnsi"/>
          <w:sz w:val="22"/>
          <w:szCs w:val="22"/>
          <w:lang w:val="en-GB"/>
        </w:rPr>
        <w:t xml:space="preserve">more than the </w:t>
      </w:r>
      <w:r w:rsidR="00B1353E" w:rsidRPr="00C66C24">
        <w:rPr>
          <w:rFonts w:asciiTheme="minorHAnsi" w:hAnsiTheme="minorHAnsi" w:cstheme="minorHAnsi"/>
          <w:sz w:val="22"/>
          <w:szCs w:val="22"/>
          <w:lang w:val="en-GB"/>
        </w:rPr>
        <w:t xml:space="preserve">sum of the </w:t>
      </w:r>
      <w:r w:rsidR="00CC39C9" w:rsidRPr="00C66C24">
        <w:rPr>
          <w:rFonts w:asciiTheme="minorHAnsi" w:hAnsiTheme="minorHAnsi" w:cstheme="minorHAnsi"/>
          <w:sz w:val="22"/>
          <w:szCs w:val="22"/>
          <w:lang w:val="en-GB"/>
        </w:rPr>
        <w:t>remaining ship types</w:t>
      </w:r>
      <w:r w:rsidR="00B14DBC" w:rsidRPr="00C66C24">
        <w:rPr>
          <w:rFonts w:asciiTheme="minorHAnsi" w:hAnsiTheme="minorHAnsi" w:cstheme="minorHAnsi"/>
          <w:sz w:val="22"/>
          <w:szCs w:val="22"/>
          <w:lang w:val="en-GB"/>
        </w:rPr>
        <w:t xml:space="preserve"> at 63</w:t>
      </w:r>
      <w:r w:rsidR="00482602">
        <w:rPr>
          <w:rFonts w:asciiTheme="minorHAnsi" w:hAnsiTheme="minorHAnsi" w:cstheme="minorHAnsi"/>
          <w:sz w:val="22"/>
          <w:szCs w:val="22"/>
          <w:lang w:val="en-GB"/>
        </w:rPr>
        <w:t xml:space="preserve"> </w:t>
      </w:r>
      <w:r w:rsidR="00B14DBC" w:rsidRPr="00C66C24">
        <w:rPr>
          <w:rFonts w:asciiTheme="minorHAnsi" w:hAnsiTheme="minorHAnsi" w:cstheme="minorHAnsi"/>
          <w:sz w:val="22"/>
          <w:szCs w:val="22"/>
          <w:lang w:val="en-GB"/>
        </w:rPr>
        <w:t>Hz</w:t>
      </w:r>
      <w:r w:rsidR="00B1353E" w:rsidRPr="00C66C24">
        <w:rPr>
          <w:rFonts w:asciiTheme="minorHAnsi" w:hAnsiTheme="minorHAnsi" w:cstheme="minorHAnsi"/>
          <w:sz w:val="22"/>
          <w:szCs w:val="22"/>
          <w:lang w:val="en-GB"/>
        </w:rPr>
        <w:t>.</w:t>
      </w:r>
      <w:r w:rsidR="006912D9" w:rsidRPr="00C66C24">
        <w:rPr>
          <w:rFonts w:asciiTheme="minorHAnsi" w:hAnsiTheme="minorHAnsi" w:cstheme="minorHAnsi"/>
          <w:sz w:val="22"/>
          <w:szCs w:val="22"/>
          <w:lang w:val="en-GB"/>
        </w:rPr>
        <w:t xml:space="preserve"> Interestingly, </w:t>
      </w:r>
      <w:r w:rsidR="00AF3593" w:rsidRPr="00C66C24">
        <w:rPr>
          <w:rFonts w:asciiTheme="minorHAnsi" w:hAnsiTheme="minorHAnsi" w:cstheme="minorHAnsi"/>
          <w:sz w:val="22"/>
          <w:szCs w:val="22"/>
          <w:lang w:val="en-GB"/>
        </w:rPr>
        <w:t xml:space="preserve">in the Mediterranean Sea </w:t>
      </w:r>
      <w:r w:rsidR="006912D9" w:rsidRPr="00C66C24">
        <w:rPr>
          <w:rFonts w:asciiTheme="minorHAnsi" w:hAnsiTheme="minorHAnsi" w:cstheme="minorHAnsi"/>
          <w:sz w:val="22"/>
          <w:szCs w:val="22"/>
          <w:lang w:val="en-GB"/>
        </w:rPr>
        <w:t xml:space="preserve">the </w:t>
      </w:r>
      <w:r w:rsidR="00F4559A" w:rsidRPr="00C66C24">
        <w:rPr>
          <w:rFonts w:asciiTheme="minorHAnsi" w:hAnsiTheme="minorHAnsi" w:cstheme="minorHAnsi"/>
          <w:sz w:val="22"/>
          <w:szCs w:val="22"/>
          <w:lang w:val="en-GB"/>
        </w:rPr>
        <w:t>sound energy density at 125</w:t>
      </w:r>
      <w:r w:rsidR="00482602">
        <w:rPr>
          <w:rFonts w:asciiTheme="minorHAnsi" w:hAnsiTheme="minorHAnsi" w:cstheme="minorHAnsi"/>
          <w:sz w:val="22"/>
          <w:szCs w:val="22"/>
          <w:lang w:val="en-GB"/>
        </w:rPr>
        <w:t xml:space="preserve"> </w:t>
      </w:r>
      <w:r w:rsidR="00F4559A" w:rsidRPr="00C66C24">
        <w:rPr>
          <w:rFonts w:asciiTheme="minorHAnsi" w:hAnsiTheme="minorHAnsi" w:cstheme="minorHAnsi"/>
          <w:sz w:val="22"/>
          <w:szCs w:val="22"/>
          <w:lang w:val="en-GB"/>
        </w:rPr>
        <w:t xml:space="preserve">Hz </w:t>
      </w:r>
      <w:r w:rsidR="00862151" w:rsidRPr="00C66C24">
        <w:rPr>
          <w:rFonts w:asciiTheme="minorHAnsi" w:hAnsiTheme="minorHAnsi" w:cstheme="minorHAnsi"/>
          <w:sz w:val="22"/>
          <w:szCs w:val="22"/>
          <w:lang w:val="en-GB"/>
        </w:rPr>
        <w:t>is a factor of one to two less than at 63</w:t>
      </w:r>
      <w:r w:rsidR="00482602">
        <w:rPr>
          <w:rFonts w:asciiTheme="minorHAnsi" w:hAnsiTheme="minorHAnsi" w:cstheme="minorHAnsi"/>
          <w:sz w:val="22"/>
          <w:szCs w:val="22"/>
          <w:lang w:val="en-GB"/>
        </w:rPr>
        <w:t xml:space="preserve"> </w:t>
      </w:r>
      <w:r w:rsidR="00862151" w:rsidRPr="00C66C24">
        <w:rPr>
          <w:rFonts w:asciiTheme="minorHAnsi" w:hAnsiTheme="minorHAnsi" w:cstheme="minorHAnsi"/>
          <w:sz w:val="22"/>
          <w:szCs w:val="22"/>
          <w:lang w:val="en-GB"/>
        </w:rPr>
        <w:t>Hz.</w:t>
      </w:r>
    </w:p>
    <w:p w14:paraId="7140F865" w14:textId="1C360A3C" w:rsidR="0042415B" w:rsidRPr="00C66C24" w:rsidRDefault="003553FA" w:rsidP="008C6A9C">
      <w:pPr>
        <w:pStyle w:val="paragraph"/>
        <w:spacing w:before="0" w:beforeAutospacing="0" w:after="0" w:afterAutospacing="0" w:line="257" w:lineRule="auto"/>
        <w:textAlignment w:val="baseline"/>
        <w:rPr>
          <w:rFonts w:asciiTheme="minorHAnsi" w:hAnsiTheme="minorHAnsi" w:cstheme="minorHAnsi"/>
          <w:sz w:val="22"/>
          <w:szCs w:val="22"/>
          <w:lang w:val="en-GB"/>
        </w:rPr>
      </w:pPr>
      <w:r w:rsidRPr="00C66C24">
        <w:rPr>
          <w:rFonts w:ascii="Aptos" w:hAnsi="Aptos"/>
          <w:noProof/>
          <w:lang w:val="en-GB"/>
        </w:rPr>
        <w:drawing>
          <wp:inline distT="0" distB="0" distL="0" distR="0" wp14:anchorId="2725385D" wp14:editId="06B5F41B">
            <wp:extent cx="5400040" cy="244284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r:link="rId64" cstate="print">
                      <a:extLst>
                        <a:ext uri="{28A0092B-C50C-407E-A947-70E740481C1C}">
                          <a14:useLocalDpi xmlns:a14="http://schemas.microsoft.com/office/drawing/2010/main" val="0"/>
                        </a:ext>
                      </a:extLst>
                    </a:blip>
                    <a:srcRect/>
                    <a:stretch>
                      <a:fillRect/>
                    </a:stretch>
                  </pic:blipFill>
                  <pic:spPr bwMode="auto">
                    <a:xfrm>
                      <a:off x="0" y="0"/>
                      <a:ext cx="5400040" cy="2442845"/>
                    </a:xfrm>
                    <a:prstGeom prst="rect">
                      <a:avLst/>
                    </a:prstGeom>
                    <a:noFill/>
                    <a:ln>
                      <a:noFill/>
                    </a:ln>
                  </pic:spPr>
                </pic:pic>
              </a:graphicData>
            </a:graphic>
          </wp:inline>
        </w:drawing>
      </w:r>
    </w:p>
    <w:p w14:paraId="6285290E" w14:textId="2DC05C72" w:rsidR="00B776AC" w:rsidRPr="00C66C24" w:rsidRDefault="003553FA" w:rsidP="008C6A9C">
      <w:pPr>
        <w:pStyle w:val="Caption"/>
        <w:spacing w:after="0" w:line="257" w:lineRule="auto"/>
        <w:jc w:val="center"/>
        <w:rPr>
          <w:noProof/>
          <w:sz w:val="20"/>
          <w:szCs w:val="20"/>
        </w:rPr>
      </w:pPr>
      <w:bookmarkStart w:id="148" w:name="_Ref156902830"/>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161E9D" w:rsidRPr="00C66C24">
        <w:rPr>
          <w:noProof/>
          <w:sz w:val="20"/>
          <w:szCs w:val="20"/>
        </w:rPr>
        <w:t>32</w:t>
      </w:r>
      <w:r w:rsidR="00A81F61" w:rsidRPr="00C66C24">
        <w:rPr>
          <w:sz w:val="20"/>
          <w:szCs w:val="20"/>
        </w:rPr>
        <w:fldChar w:fldCharType="end"/>
      </w:r>
      <w:bookmarkEnd w:id="148"/>
      <w:r w:rsidRPr="00C66C24">
        <w:rPr>
          <w:sz w:val="20"/>
          <w:szCs w:val="20"/>
        </w:rPr>
        <w:t xml:space="preserve"> URN sound energy density</w:t>
      </w:r>
      <w:r w:rsidR="00C95FBF">
        <w:rPr>
          <w:sz w:val="20"/>
          <w:szCs w:val="20"/>
        </w:rPr>
        <w:t xml:space="preserve"> at 63 Hz</w:t>
      </w:r>
      <w:r w:rsidRPr="00C66C24">
        <w:rPr>
          <w:sz w:val="20"/>
          <w:szCs w:val="20"/>
        </w:rPr>
        <w:t xml:space="preserve"> (Europe </w:t>
      </w:r>
      <w:r w:rsidR="000B0855">
        <w:rPr>
          <w:sz w:val="20"/>
          <w:szCs w:val="20"/>
        </w:rPr>
        <w:t xml:space="preserve">leftmost chart </w:t>
      </w:r>
      <w:r w:rsidRPr="00C66C24">
        <w:rPr>
          <w:sz w:val="20"/>
          <w:szCs w:val="20"/>
        </w:rPr>
        <w:t>and regional seas)</w:t>
      </w:r>
      <w:r w:rsidRPr="00C66C24">
        <w:rPr>
          <w:noProof/>
          <w:sz w:val="20"/>
          <w:szCs w:val="20"/>
        </w:rPr>
        <w:t xml:space="preserve"> from 2016 to 2022.</w:t>
      </w:r>
    </w:p>
    <w:p w14:paraId="534DED50" w14:textId="5C673B19" w:rsidR="003553FA" w:rsidRPr="00C66C24" w:rsidRDefault="003553FA" w:rsidP="008C6A9C">
      <w:pPr>
        <w:spacing w:before="0" w:after="120" w:line="257" w:lineRule="auto"/>
        <w:jc w:val="center"/>
        <w:rPr>
          <w:sz w:val="20"/>
          <w:szCs w:val="20"/>
        </w:rPr>
      </w:pPr>
      <w:r w:rsidRPr="00C66C24">
        <w:rPr>
          <w:sz w:val="20"/>
          <w:szCs w:val="20"/>
        </w:rPr>
        <w:t>Source: EMSA, NAVISON (2024)</w:t>
      </w:r>
      <w:r w:rsidR="006F45DD" w:rsidRPr="00C66C24">
        <w:rPr>
          <w:sz w:val="20"/>
          <w:szCs w:val="20"/>
        </w:rPr>
        <w:t>.</w:t>
      </w:r>
    </w:p>
    <w:p w14:paraId="367333A7" w14:textId="428F84FC" w:rsidR="00837881" w:rsidRPr="00C66C24" w:rsidRDefault="009C31FD" w:rsidP="008C6A9C">
      <w:pPr>
        <w:spacing w:before="0" w:after="120" w:line="257" w:lineRule="auto"/>
      </w:pPr>
      <w:r w:rsidRPr="00C66C24">
        <w:t>When looking at the sound energy densities per ship type</w:t>
      </w:r>
      <w:r w:rsidR="00FE79A8" w:rsidRPr="00C66C24">
        <w:t xml:space="preserve"> </w:t>
      </w:r>
      <w:r w:rsidR="00D519EF" w:rsidRPr="00C66C24">
        <w:t xml:space="preserve">(see </w:t>
      </w:r>
      <w:r w:rsidR="00D519EF" w:rsidRPr="00C66C24">
        <w:fldChar w:fldCharType="begin"/>
      </w:r>
      <w:r w:rsidR="00D519EF" w:rsidRPr="00C66C24">
        <w:instrText xml:space="preserve"> REF _Ref157612156 \h  \* MERGEFORMAT </w:instrText>
      </w:r>
      <w:r w:rsidR="00D519EF" w:rsidRPr="00C66C24">
        <w:fldChar w:fldCharType="separate"/>
      </w:r>
      <w:r w:rsidR="00D519EF" w:rsidRPr="00C66C24">
        <w:t>Figure 2.33</w:t>
      </w:r>
      <w:r w:rsidR="00D519EF" w:rsidRPr="00C66C24">
        <w:fldChar w:fldCharType="end"/>
      </w:r>
      <w:r w:rsidR="00D519EF" w:rsidRPr="00C66C24">
        <w:t>)</w:t>
      </w:r>
      <w:r w:rsidR="00FE79A8" w:rsidRPr="00C66C24">
        <w:t xml:space="preserve"> over the whole European seas, tankers and cargo ships have the </w:t>
      </w:r>
      <w:r w:rsidR="00EB39AF" w:rsidRPr="00C66C24">
        <w:t xml:space="preserve">highest </w:t>
      </w:r>
      <w:r w:rsidR="00BD2391" w:rsidRPr="00C66C24">
        <w:t>contribution</w:t>
      </w:r>
      <w:r w:rsidR="00B14DBC" w:rsidRPr="00C66C24">
        <w:t xml:space="preserve"> at 63</w:t>
      </w:r>
      <w:r w:rsidR="004A13CA">
        <w:t xml:space="preserve"> </w:t>
      </w:r>
      <w:r w:rsidR="00B14DBC" w:rsidRPr="00C66C24">
        <w:t>Hz</w:t>
      </w:r>
      <w:r w:rsidR="00884A9F" w:rsidRPr="00C66C24">
        <w:t xml:space="preserve">. The </w:t>
      </w:r>
      <w:r w:rsidR="000B0855">
        <w:t xml:space="preserve">modelled </w:t>
      </w:r>
      <w:r w:rsidR="00884A9F" w:rsidRPr="00C66C24">
        <w:t xml:space="preserve">temporal trends are, once again, dominated </w:t>
      </w:r>
      <w:r w:rsidR="006346CC" w:rsidRPr="00C66C24">
        <w:t xml:space="preserve">by a </w:t>
      </w:r>
      <w:r w:rsidR="00806B23" w:rsidRPr="00C66C24">
        <w:t xml:space="preserve">steady increase </w:t>
      </w:r>
      <w:r w:rsidR="00754C33" w:rsidRPr="00C66C24">
        <w:t xml:space="preserve">until </w:t>
      </w:r>
      <w:r w:rsidR="00884A9F" w:rsidRPr="00C66C24">
        <w:t>the COVID</w:t>
      </w:r>
      <w:r w:rsidR="00F12199" w:rsidRPr="00C66C24">
        <w:t xml:space="preserve"> 2020 dr</w:t>
      </w:r>
      <w:r w:rsidR="00501C78" w:rsidRPr="00C66C24">
        <w:t xml:space="preserve">op, </w:t>
      </w:r>
      <w:r w:rsidR="00CB0229" w:rsidRPr="00C66C24">
        <w:t>and thereafter a smaller increase</w:t>
      </w:r>
      <w:r w:rsidR="004E77DC" w:rsidRPr="00C66C24">
        <w:t xml:space="preserve">. Interestingly, the cargo ships contribution is low </w:t>
      </w:r>
      <w:r w:rsidR="00B17491" w:rsidRPr="00C66C24">
        <w:t xml:space="preserve">given to </w:t>
      </w:r>
      <w:r w:rsidR="00054180" w:rsidRPr="00C66C24">
        <w:t xml:space="preserve">both </w:t>
      </w:r>
      <w:r w:rsidR="00B17491" w:rsidRPr="00C66C24">
        <w:t>the relatively small number</w:t>
      </w:r>
      <w:r w:rsidR="00054180" w:rsidRPr="00C66C24">
        <w:t>s</w:t>
      </w:r>
      <w:r w:rsidR="00B17491" w:rsidRPr="00C66C24">
        <w:t xml:space="preserve"> and the </w:t>
      </w:r>
      <w:r w:rsidR="00054180" w:rsidRPr="00C66C24">
        <w:t xml:space="preserve">lower frequency </w:t>
      </w:r>
      <w:r w:rsidR="00421BE8" w:rsidRPr="00C66C24">
        <w:t xml:space="preserve">of sound generation. The Ro-ro signal, however, does contribute more significantly when looking at the </w:t>
      </w:r>
      <w:r w:rsidR="00CF089F" w:rsidRPr="00C66C24">
        <w:t>sound energy densities at 125</w:t>
      </w:r>
      <w:r w:rsidR="00482602">
        <w:t xml:space="preserve"> </w:t>
      </w:r>
      <w:r w:rsidR="00CF089F" w:rsidRPr="00C66C24">
        <w:t>Hz.</w:t>
      </w:r>
    </w:p>
    <w:p w14:paraId="7139D806" w14:textId="663ED249" w:rsidR="00837881" w:rsidRPr="00C66C24" w:rsidRDefault="00837881" w:rsidP="008C6A9C">
      <w:pPr>
        <w:spacing w:line="257" w:lineRule="auto"/>
      </w:pPr>
      <w:r w:rsidRPr="00C66C24">
        <w:rPr>
          <w:rFonts w:ascii="Aptos" w:hAnsi="Aptos"/>
          <w:noProof/>
        </w:rPr>
        <w:drawing>
          <wp:inline distT="0" distB="0" distL="0" distR="0" wp14:anchorId="4D74DD3A" wp14:editId="37278D18">
            <wp:extent cx="5400040" cy="23234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65" r:link="rId66" cstate="print">
                      <a:extLst>
                        <a:ext uri="{28A0092B-C50C-407E-A947-70E740481C1C}">
                          <a14:useLocalDpi xmlns:a14="http://schemas.microsoft.com/office/drawing/2010/main" val="0"/>
                        </a:ext>
                      </a:extLst>
                    </a:blip>
                    <a:srcRect t="3938"/>
                    <a:stretch/>
                  </pic:blipFill>
                  <pic:spPr bwMode="auto">
                    <a:xfrm>
                      <a:off x="0" y="0"/>
                      <a:ext cx="5400040" cy="2323465"/>
                    </a:xfrm>
                    <a:prstGeom prst="rect">
                      <a:avLst/>
                    </a:prstGeom>
                    <a:noFill/>
                    <a:ln>
                      <a:noFill/>
                    </a:ln>
                    <a:extLst>
                      <a:ext uri="{53640926-AAD7-44D8-BBD7-CCE9431645EC}">
                        <a14:shadowObscured xmlns:a14="http://schemas.microsoft.com/office/drawing/2010/main"/>
                      </a:ext>
                    </a:extLst>
                  </pic:spPr>
                </pic:pic>
              </a:graphicData>
            </a:graphic>
          </wp:inline>
        </w:drawing>
      </w:r>
    </w:p>
    <w:p w14:paraId="7E6A46F2" w14:textId="7DDD2228" w:rsidR="00837881" w:rsidRPr="00C66C24" w:rsidRDefault="007871AE" w:rsidP="008C6A9C">
      <w:pPr>
        <w:pStyle w:val="Caption"/>
        <w:spacing w:after="0" w:line="257" w:lineRule="auto"/>
        <w:jc w:val="center"/>
        <w:rPr>
          <w:noProof/>
          <w:sz w:val="20"/>
          <w:szCs w:val="20"/>
        </w:rPr>
      </w:pPr>
      <w:bookmarkStart w:id="149" w:name="_Ref157612156"/>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33</w:t>
      </w:r>
      <w:r w:rsidR="00A81F61" w:rsidRPr="00C66C24">
        <w:rPr>
          <w:sz w:val="20"/>
          <w:szCs w:val="20"/>
        </w:rPr>
        <w:fldChar w:fldCharType="end"/>
      </w:r>
      <w:bookmarkEnd w:id="149"/>
      <w:r w:rsidRPr="00C66C24">
        <w:rPr>
          <w:sz w:val="20"/>
          <w:szCs w:val="20"/>
        </w:rPr>
        <w:t xml:space="preserve"> URN sound energy density</w:t>
      </w:r>
      <w:r w:rsidR="00737AC3">
        <w:rPr>
          <w:sz w:val="20"/>
          <w:szCs w:val="20"/>
        </w:rPr>
        <w:t xml:space="preserve"> at 63 Hz</w:t>
      </w:r>
      <w:r w:rsidRPr="00C66C24">
        <w:rPr>
          <w:sz w:val="20"/>
          <w:szCs w:val="20"/>
        </w:rPr>
        <w:t xml:space="preserve"> in Europe</w:t>
      </w:r>
      <w:r w:rsidR="009D73A4">
        <w:rPr>
          <w:sz w:val="20"/>
          <w:szCs w:val="20"/>
        </w:rPr>
        <w:t xml:space="preserve"> </w:t>
      </w:r>
      <w:r w:rsidR="00CD0FC3">
        <w:rPr>
          <w:noProof/>
          <w:sz w:val="20"/>
          <w:szCs w:val="20"/>
        </w:rPr>
        <w:t>(total</w:t>
      </w:r>
      <w:r w:rsidR="00276DAE">
        <w:rPr>
          <w:noProof/>
          <w:sz w:val="20"/>
          <w:szCs w:val="20"/>
        </w:rPr>
        <w:t xml:space="preserve"> leftmost chart and by </w:t>
      </w:r>
      <w:r w:rsidRPr="00C66C24">
        <w:rPr>
          <w:noProof/>
          <w:sz w:val="20"/>
          <w:szCs w:val="20"/>
        </w:rPr>
        <w:t>ship type</w:t>
      </w:r>
      <w:r w:rsidR="008254D4">
        <w:rPr>
          <w:noProof/>
          <w:sz w:val="20"/>
          <w:szCs w:val="20"/>
        </w:rPr>
        <w:t>s</w:t>
      </w:r>
      <w:r w:rsidR="007734B6">
        <w:rPr>
          <w:noProof/>
          <w:sz w:val="20"/>
          <w:szCs w:val="20"/>
        </w:rPr>
        <w:t>)</w:t>
      </w:r>
      <w:r w:rsidR="007D4CAE" w:rsidRPr="00C66C24">
        <w:rPr>
          <w:noProof/>
          <w:sz w:val="20"/>
          <w:szCs w:val="20"/>
        </w:rPr>
        <w:t xml:space="preserve"> from 2016 to 2022</w:t>
      </w:r>
      <w:r w:rsidRPr="00C66C24">
        <w:rPr>
          <w:noProof/>
          <w:sz w:val="20"/>
          <w:szCs w:val="20"/>
        </w:rPr>
        <w:t>.</w:t>
      </w:r>
    </w:p>
    <w:p w14:paraId="498DFD7F" w14:textId="40BBFE13" w:rsidR="007871AE" w:rsidRPr="00C66C24" w:rsidRDefault="007871AE" w:rsidP="005B00B3">
      <w:pPr>
        <w:spacing w:before="0" w:after="120" w:line="257" w:lineRule="auto"/>
        <w:jc w:val="center"/>
        <w:rPr>
          <w:sz w:val="20"/>
          <w:szCs w:val="20"/>
        </w:rPr>
      </w:pPr>
      <w:r w:rsidRPr="00C66C24">
        <w:rPr>
          <w:sz w:val="20"/>
          <w:szCs w:val="20"/>
        </w:rPr>
        <w:t>Source: EMSA, NAVISON (2024)</w:t>
      </w:r>
      <w:r w:rsidR="005B00B3" w:rsidRPr="00C66C24">
        <w:rPr>
          <w:sz w:val="20"/>
          <w:szCs w:val="20"/>
        </w:rPr>
        <w:t>.</w:t>
      </w:r>
    </w:p>
    <w:p w14:paraId="6EA481BA" w14:textId="0A2362D8" w:rsidR="0006215B" w:rsidRPr="00C66C24" w:rsidRDefault="0006215B" w:rsidP="008C6A9C">
      <w:pPr>
        <w:spacing w:before="0" w:after="0" w:line="257" w:lineRule="auto"/>
        <w:textAlignment w:val="baseline"/>
        <w:rPr>
          <w:rFonts w:ascii="Calibri" w:eastAsia="Times New Roman" w:hAnsi="Calibri" w:cs="Calibri"/>
          <w:color w:val="000000" w:themeColor="text1"/>
          <w:lang w:eastAsia="en-IE"/>
        </w:rPr>
      </w:pPr>
      <w:r w:rsidRPr="00C66C24">
        <w:rPr>
          <w:rStyle w:val="normaltextrun"/>
          <w:rFonts w:ascii="Calibri" w:hAnsi="Calibri" w:cs="Calibri"/>
          <w:b/>
          <w:bCs/>
          <w:color w:val="000000" w:themeColor="text1"/>
          <w:szCs w:val="22"/>
        </w:rPr>
        <w:t xml:space="preserve">Underwater radiated noise </w:t>
      </w:r>
      <w:r w:rsidR="008254D4">
        <w:rPr>
          <w:rStyle w:val="normaltextrun"/>
          <w:rFonts w:ascii="Calibri" w:hAnsi="Calibri" w:cs="Calibri"/>
          <w:b/>
          <w:bCs/>
          <w:color w:val="000000" w:themeColor="text1"/>
          <w:szCs w:val="22"/>
        </w:rPr>
        <w:t>forecast</w:t>
      </w:r>
    </w:p>
    <w:p w14:paraId="6036DBFC" w14:textId="213B430B" w:rsidR="00E70F49" w:rsidRPr="00C66C24" w:rsidRDefault="00E01707" w:rsidP="008C6A9C">
      <w:pPr>
        <w:spacing w:before="0" w:after="0" w:line="257" w:lineRule="auto"/>
        <w:textAlignment w:val="baseline"/>
        <w:rPr>
          <w:rFonts w:ascii="Calibri" w:eastAsia="Times New Roman" w:hAnsi="Calibri" w:cs="Calibri"/>
          <w:lang w:eastAsia="en-IE"/>
        </w:rPr>
      </w:pPr>
      <w:r w:rsidRPr="00C66C24">
        <w:rPr>
          <w:rFonts w:ascii="Calibri" w:eastAsia="Times New Roman" w:hAnsi="Calibri" w:cs="Calibri"/>
          <w:lang w:eastAsia="en-IE"/>
        </w:rPr>
        <w:t xml:space="preserve">Further to the </w:t>
      </w:r>
      <w:r w:rsidR="007D795C" w:rsidRPr="00C66C24">
        <w:rPr>
          <w:rFonts w:ascii="Calibri" w:eastAsia="Times New Roman" w:hAnsi="Calibri" w:cs="Calibri"/>
          <w:lang w:eastAsia="en-IE"/>
        </w:rPr>
        <w:t xml:space="preserve">development of </w:t>
      </w:r>
      <w:r w:rsidR="001F2A15" w:rsidRPr="00C66C24">
        <w:rPr>
          <w:rFonts w:ascii="Calibri" w:eastAsia="Times New Roman" w:hAnsi="Calibri" w:cs="Calibri"/>
          <w:lang w:eastAsia="en-IE"/>
        </w:rPr>
        <w:t xml:space="preserve">hindcasts and nowcasts of </w:t>
      </w:r>
      <w:r w:rsidR="009B697A" w:rsidRPr="00C66C24">
        <w:rPr>
          <w:rFonts w:ascii="Calibri" w:eastAsia="Times New Roman" w:hAnsi="Calibri" w:cs="Calibri"/>
          <w:lang w:eastAsia="en-IE"/>
        </w:rPr>
        <w:t>EU wide</w:t>
      </w:r>
      <w:r w:rsidR="00C32EAF" w:rsidRPr="00C66C24">
        <w:rPr>
          <w:rFonts w:ascii="Calibri" w:eastAsia="Times New Roman" w:hAnsi="Calibri" w:cs="Calibri"/>
          <w:lang w:eastAsia="en-IE"/>
        </w:rPr>
        <w:t xml:space="preserve"> </w:t>
      </w:r>
      <w:r w:rsidR="003D76DE" w:rsidRPr="00C66C24">
        <w:rPr>
          <w:rFonts w:ascii="Calibri" w:eastAsia="Times New Roman" w:hAnsi="Calibri" w:cs="Calibri"/>
          <w:lang w:eastAsia="en-IE"/>
        </w:rPr>
        <w:t xml:space="preserve">harmonised </w:t>
      </w:r>
      <w:r w:rsidR="001F2A15" w:rsidRPr="00C66C24">
        <w:rPr>
          <w:rFonts w:ascii="Calibri" w:eastAsia="Times New Roman" w:hAnsi="Calibri" w:cs="Calibri"/>
          <w:lang w:eastAsia="en-IE"/>
        </w:rPr>
        <w:t>soundscape</w:t>
      </w:r>
      <w:r w:rsidR="00904534" w:rsidRPr="00C66C24">
        <w:rPr>
          <w:rFonts w:ascii="Calibri" w:eastAsia="Times New Roman" w:hAnsi="Calibri" w:cs="Calibri"/>
          <w:lang w:eastAsia="en-IE"/>
        </w:rPr>
        <w:t xml:space="preserve"> </w:t>
      </w:r>
      <w:r w:rsidR="009B697A" w:rsidRPr="00C66C24">
        <w:rPr>
          <w:rFonts w:ascii="Calibri" w:eastAsia="Times New Roman" w:hAnsi="Calibri" w:cs="Calibri"/>
          <w:lang w:eastAsia="en-IE"/>
        </w:rPr>
        <w:t>maps</w:t>
      </w:r>
      <w:r w:rsidR="00B24F45" w:rsidRPr="00C66C24">
        <w:rPr>
          <w:rFonts w:ascii="Calibri" w:eastAsia="Times New Roman" w:hAnsi="Calibri" w:cs="Calibri"/>
          <w:lang w:eastAsia="en-IE"/>
        </w:rPr>
        <w:t xml:space="preserve">, </w:t>
      </w:r>
      <w:r w:rsidR="001E1729" w:rsidRPr="00C66C24">
        <w:rPr>
          <w:rFonts w:ascii="Calibri" w:eastAsia="Times New Roman" w:hAnsi="Calibri" w:cs="Calibri"/>
          <w:lang w:eastAsia="en-IE"/>
        </w:rPr>
        <w:t>it is important to</w:t>
      </w:r>
      <w:r w:rsidR="000B6635" w:rsidRPr="00C66C24">
        <w:rPr>
          <w:rFonts w:ascii="Calibri" w:eastAsia="Times New Roman" w:hAnsi="Calibri" w:cs="Calibri"/>
          <w:lang w:eastAsia="en-IE"/>
        </w:rPr>
        <w:t xml:space="preserve"> </w:t>
      </w:r>
      <w:r w:rsidR="00EF60E9" w:rsidRPr="00C66C24">
        <w:rPr>
          <w:rFonts w:ascii="Calibri" w:eastAsia="Times New Roman" w:hAnsi="Calibri" w:cs="Calibri"/>
          <w:lang w:eastAsia="en-IE"/>
        </w:rPr>
        <w:t xml:space="preserve">assess the impact of </w:t>
      </w:r>
      <w:r w:rsidR="00534B6E" w:rsidRPr="00C66C24">
        <w:rPr>
          <w:rFonts w:ascii="Calibri" w:eastAsia="Times New Roman" w:hAnsi="Calibri" w:cs="Calibri"/>
          <w:lang w:eastAsia="en-IE"/>
        </w:rPr>
        <w:t>different operational and technical mitigation responses for reducing under water radiated noise</w:t>
      </w:r>
      <w:r w:rsidR="00A246D2" w:rsidRPr="00C66C24">
        <w:rPr>
          <w:rFonts w:ascii="Calibri" w:eastAsia="Times New Roman" w:hAnsi="Calibri" w:cs="Calibri"/>
          <w:lang w:eastAsia="en-IE"/>
        </w:rPr>
        <w:t>, as these will</w:t>
      </w:r>
      <w:r w:rsidR="00063D8C" w:rsidRPr="00C66C24">
        <w:rPr>
          <w:rFonts w:ascii="Calibri" w:eastAsia="Times New Roman" w:hAnsi="Calibri" w:cs="Calibri"/>
          <w:lang w:eastAsia="en-IE"/>
        </w:rPr>
        <w:t xml:space="preserve"> </w:t>
      </w:r>
      <w:r w:rsidR="00E70F49" w:rsidRPr="00C66C24">
        <w:rPr>
          <w:rFonts w:ascii="Calibri" w:eastAsia="Times New Roman" w:hAnsi="Calibri" w:cs="Calibri"/>
          <w:lang w:eastAsia="en-IE"/>
        </w:rPr>
        <w:t>assist us in determining the role and magnitude of the possible URN mitigation measures</w:t>
      </w:r>
      <w:r w:rsidR="00E51857" w:rsidRPr="00C66C24">
        <w:rPr>
          <w:rFonts w:ascii="Calibri" w:eastAsia="Times New Roman" w:hAnsi="Calibri" w:cs="Calibri"/>
          <w:lang w:eastAsia="en-IE"/>
        </w:rPr>
        <w:t>.</w:t>
      </w:r>
      <w:r w:rsidR="00430323" w:rsidRPr="00C66C24">
        <w:rPr>
          <w:rFonts w:ascii="Calibri" w:eastAsia="Times New Roman" w:hAnsi="Calibri" w:cs="Calibri"/>
          <w:lang w:eastAsia="en-IE"/>
        </w:rPr>
        <w:t xml:space="preserve"> </w:t>
      </w:r>
      <w:r w:rsidR="00173767" w:rsidRPr="00C66C24">
        <w:rPr>
          <w:rFonts w:ascii="Calibri" w:eastAsia="Times New Roman" w:hAnsi="Calibri" w:cs="Calibri"/>
          <w:lang w:eastAsia="en-IE"/>
        </w:rPr>
        <w:t xml:space="preserve">To </w:t>
      </w:r>
      <w:r w:rsidR="008E7C2C" w:rsidRPr="00C66C24">
        <w:rPr>
          <w:rFonts w:ascii="Calibri" w:eastAsia="Times New Roman" w:hAnsi="Calibri" w:cs="Calibri"/>
          <w:lang w:eastAsia="en-IE"/>
        </w:rPr>
        <w:t xml:space="preserve">perform this </w:t>
      </w:r>
      <w:r w:rsidR="00A13CEC">
        <w:rPr>
          <w:rFonts w:ascii="Calibri" w:eastAsia="Times New Roman" w:hAnsi="Calibri" w:cs="Calibri"/>
          <w:lang w:eastAsia="en-IE"/>
        </w:rPr>
        <w:t>forecast</w:t>
      </w:r>
      <w:r w:rsidR="008E7C2C" w:rsidRPr="00C66C24">
        <w:rPr>
          <w:rFonts w:ascii="Calibri" w:eastAsia="Times New Roman" w:hAnsi="Calibri" w:cs="Calibri"/>
          <w:lang w:eastAsia="en-IE"/>
        </w:rPr>
        <w:t xml:space="preserve"> </w:t>
      </w:r>
      <w:r w:rsidR="007B4774" w:rsidRPr="00C66C24">
        <w:rPr>
          <w:rFonts w:ascii="Calibri" w:eastAsia="Times New Roman" w:hAnsi="Calibri" w:cs="Calibri"/>
          <w:lang w:eastAsia="en-IE"/>
        </w:rPr>
        <w:t>exercise</w:t>
      </w:r>
      <w:r w:rsidR="00173767" w:rsidRPr="00C66C24">
        <w:rPr>
          <w:rFonts w:ascii="Calibri" w:eastAsia="Times New Roman" w:hAnsi="Calibri" w:cs="Calibri"/>
          <w:lang w:eastAsia="en-IE"/>
        </w:rPr>
        <w:t xml:space="preserve">, the NAVISON project </w:t>
      </w:r>
      <w:r w:rsidR="003C3286" w:rsidRPr="00C66C24">
        <w:rPr>
          <w:rFonts w:ascii="Calibri" w:eastAsia="Times New Roman" w:hAnsi="Calibri" w:cs="Calibri"/>
          <w:lang w:eastAsia="en-IE"/>
        </w:rPr>
        <w:t>worked on f</w:t>
      </w:r>
      <w:r w:rsidR="00430323" w:rsidRPr="00C66C24">
        <w:rPr>
          <w:rFonts w:ascii="Calibri" w:eastAsia="Times New Roman" w:hAnsi="Calibri" w:cs="Calibri"/>
          <w:lang w:eastAsia="en-IE"/>
        </w:rPr>
        <w:t xml:space="preserve">our scenarios, designed for </w:t>
      </w:r>
      <w:r w:rsidR="002D4914" w:rsidRPr="00C66C24">
        <w:rPr>
          <w:rFonts w:ascii="Calibri" w:eastAsia="Times New Roman" w:hAnsi="Calibri" w:cs="Calibri"/>
          <w:lang w:eastAsia="en-IE"/>
        </w:rPr>
        <w:t xml:space="preserve">the years 2030, 2040 and 2050, </w:t>
      </w:r>
      <w:r w:rsidR="007B4774" w:rsidRPr="00C66C24">
        <w:rPr>
          <w:rFonts w:ascii="Calibri" w:eastAsia="Times New Roman" w:hAnsi="Calibri" w:cs="Calibri"/>
          <w:lang w:eastAsia="en-IE"/>
        </w:rPr>
        <w:t>looking at</w:t>
      </w:r>
      <w:r w:rsidR="005D745C" w:rsidRPr="00C66C24">
        <w:rPr>
          <w:rFonts w:ascii="Calibri" w:eastAsia="Times New Roman" w:hAnsi="Calibri" w:cs="Calibri"/>
          <w:lang w:eastAsia="en-IE"/>
        </w:rPr>
        <w:t xml:space="preserve"> how URN may evolve under the following </w:t>
      </w:r>
      <w:r w:rsidR="00B67C56" w:rsidRPr="00C66C24">
        <w:rPr>
          <w:rFonts w:ascii="Calibri" w:eastAsia="Times New Roman" w:hAnsi="Calibri" w:cs="Calibri"/>
          <w:lang w:eastAsia="en-IE"/>
        </w:rPr>
        <w:t>roadmaps</w:t>
      </w:r>
      <w:r w:rsidR="00AA704F" w:rsidRPr="00C66C24">
        <w:rPr>
          <w:rFonts w:ascii="Calibri" w:eastAsia="Times New Roman" w:hAnsi="Calibri" w:cs="Calibri"/>
          <w:lang w:eastAsia="en-IE"/>
        </w:rPr>
        <w:t>:</w:t>
      </w:r>
      <w:r w:rsidR="006F146E" w:rsidRPr="00C66C24">
        <w:rPr>
          <w:rFonts w:ascii="Calibri" w:eastAsia="Times New Roman" w:hAnsi="Calibri" w:cs="Calibri"/>
          <w:lang w:eastAsia="en-IE"/>
        </w:rPr>
        <w:t xml:space="preserve"> </w:t>
      </w:r>
      <w:r w:rsidR="00E70F49" w:rsidRPr="00C66C24">
        <w:rPr>
          <w:rFonts w:ascii="Calibri" w:eastAsia="Times New Roman" w:hAnsi="Calibri" w:cs="Calibri"/>
          <w:lang w:eastAsia="en-IE"/>
        </w:rPr>
        <w:t>1) Business as usual (BAU</w:t>
      </w:r>
      <w:r w:rsidR="00636B2E" w:rsidRPr="00C66C24">
        <w:rPr>
          <w:rFonts w:ascii="Calibri" w:eastAsia="Times New Roman" w:hAnsi="Calibri" w:cs="Calibri"/>
          <w:lang w:eastAsia="en-IE"/>
        </w:rPr>
        <w:t xml:space="preserve"> scenario</w:t>
      </w:r>
      <w:r w:rsidR="00E70F49" w:rsidRPr="00C66C24">
        <w:rPr>
          <w:rFonts w:ascii="Calibri" w:eastAsia="Times New Roman" w:hAnsi="Calibri" w:cs="Calibri"/>
          <w:lang w:eastAsia="en-IE"/>
        </w:rPr>
        <w:t xml:space="preserve">); 2) Effect of </w:t>
      </w:r>
      <w:r w:rsidR="00871711">
        <w:rPr>
          <w:rFonts w:ascii="Calibri" w:eastAsia="Times New Roman" w:hAnsi="Calibri" w:cs="Calibri"/>
          <w:lang w:eastAsia="en-IE"/>
        </w:rPr>
        <w:t xml:space="preserve">IMO </w:t>
      </w:r>
      <w:r w:rsidR="00E70F49" w:rsidRPr="00C66C24">
        <w:rPr>
          <w:rFonts w:ascii="Calibri" w:eastAsia="Times New Roman" w:hAnsi="Calibri" w:cs="Calibri"/>
          <w:lang w:eastAsia="en-IE"/>
        </w:rPr>
        <w:t xml:space="preserve">Greenhouse gas </w:t>
      </w:r>
      <w:r w:rsidR="00636907" w:rsidRPr="00C66C24">
        <w:rPr>
          <w:rFonts w:ascii="Calibri" w:eastAsia="Times New Roman" w:hAnsi="Calibri" w:cs="Calibri"/>
          <w:lang w:eastAsia="en-IE"/>
        </w:rPr>
        <w:t>e</w:t>
      </w:r>
      <w:r w:rsidR="00E70F49" w:rsidRPr="00C66C24">
        <w:rPr>
          <w:rFonts w:ascii="Calibri" w:eastAsia="Times New Roman" w:hAnsi="Calibri" w:cs="Calibri"/>
          <w:lang w:eastAsia="en-IE"/>
        </w:rPr>
        <w:t xml:space="preserve">mission </w:t>
      </w:r>
      <w:r w:rsidR="00871711">
        <w:rPr>
          <w:rFonts w:ascii="Calibri" w:eastAsia="Times New Roman" w:hAnsi="Calibri" w:cs="Calibri"/>
          <w:lang w:eastAsia="en-IE"/>
        </w:rPr>
        <w:t xml:space="preserve">reduction </w:t>
      </w:r>
      <w:r w:rsidR="00E70F49" w:rsidRPr="00C66C24">
        <w:rPr>
          <w:rFonts w:ascii="Calibri" w:eastAsia="Times New Roman" w:hAnsi="Calibri" w:cs="Calibri"/>
          <w:lang w:eastAsia="en-IE"/>
        </w:rPr>
        <w:t>roadmap on URN</w:t>
      </w:r>
      <w:r w:rsidR="006E2BBF">
        <w:rPr>
          <w:rFonts w:ascii="Calibri" w:eastAsia="Times New Roman" w:hAnsi="Calibri" w:cs="Calibri"/>
          <w:lang w:eastAsia="en-IE"/>
        </w:rPr>
        <w:t xml:space="preserve">, but </w:t>
      </w:r>
      <w:r w:rsidR="00D24857">
        <w:rPr>
          <w:rFonts w:ascii="Calibri" w:eastAsia="Times New Roman" w:hAnsi="Calibri" w:cs="Calibri"/>
          <w:lang w:eastAsia="en-IE"/>
        </w:rPr>
        <w:t>without applying URN mitigation measures</w:t>
      </w:r>
      <w:r w:rsidR="006E2BBF">
        <w:rPr>
          <w:rFonts w:ascii="Calibri" w:eastAsia="Times New Roman" w:hAnsi="Calibri" w:cs="Calibri"/>
          <w:lang w:eastAsia="en-IE"/>
        </w:rPr>
        <w:t xml:space="preserve"> (</w:t>
      </w:r>
      <w:r w:rsidR="00D24857">
        <w:rPr>
          <w:rFonts w:ascii="Calibri" w:eastAsia="Times New Roman" w:hAnsi="Calibri" w:cs="Calibri"/>
          <w:lang w:eastAsia="en-IE"/>
        </w:rPr>
        <w:t xml:space="preserve">the </w:t>
      </w:r>
      <w:r w:rsidR="00636B2E" w:rsidRPr="00C66C24">
        <w:rPr>
          <w:rFonts w:ascii="Calibri" w:eastAsia="Times New Roman" w:hAnsi="Calibri" w:cs="Calibri"/>
          <w:lang w:eastAsia="en-IE"/>
        </w:rPr>
        <w:t>GHG scenario)</w:t>
      </w:r>
      <w:r w:rsidR="00E70F49" w:rsidRPr="00C66C24">
        <w:rPr>
          <w:rFonts w:ascii="Calibri" w:eastAsia="Times New Roman" w:hAnsi="Calibri" w:cs="Calibri"/>
          <w:lang w:eastAsia="en-IE"/>
        </w:rPr>
        <w:t xml:space="preserve">; 3) URN management </w:t>
      </w:r>
      <w:r w:rsidR="00137EA2">
        <w:rPr>
          <w:rFonts w:ascii="Calibri" w:eastAsia="Times New Roman" w:hAnsi="Calibri" w:cs="Calibri"/>
          <w:lang w:eastAsia="en-IE"/>
        </w:rPr>
        <w:t xml:space="preserve">including </w:t>
      </w:r>
      <w:r w:rsidR="00176652">
        <w:rPr>
          <w:rFonts w:ascii="Calibri" w:eastAsia="Times New Roman" w:hAnsi="Calibri" w:cs="Calibri"/>
          <w:lang w:eastAsia="en-IE"/>
        </w:rPr>
        <w:t xml:space="preserve">technical and </w:t>
      </w:r>
      <w:r w:rsidR="00E23799">
        <w:rPr>
          <w:rFonts w:ascii="Calibri" w:eastAsia="Times New Roman" w:hAnsi="Calibri" w:cs="Calibri"/>
          <w:lang w:eastAsia="en-IE"/>
        </w:rPr>
        <w:t xml:space="preserve">operational </w:t>
      </w:r>
      <w:r w:rsidR="00137EA2">
        <w:rPr>
          <w:rFonts w:ascii="Calibri" w:eastAsia="Times New Roman" w:hAnsi="Calibri" w:cs="Calibri"/>
          <w:lang w:eastAsia="en-IE"/>
        </w:rPr>
        <w:t>mitigation measures</w:t>
      </w:r>
      <w:r w:rsidR="00672F65">
        <w:rPr>
          <w:rFonts w:ascii="Calibri" w:eastAsia="Times New Roman" w:hAnsi="Calibri" w:cs="Calibri"/>
          <w:lang w:eastAsia="en-IE"/>
        </w:rPr>
        <w:t>, but</w:t>
      </w:r>
      <w:r w:rsidR="00137EA2">
        <w:rPr>
          <w:rFonts w:ascii="Calibri" w:eastAsia="Times New Roman" w:hAnsi="Calibri" w:cs="Calibri"/>
          <w:lang w:eastAsia="en-IE"/>
        </w:rPr>
        <w:t xml:space="preserve"> </w:t>
      </w:r>
      <w:r w:rsidR="00E70F49" w:rsidRPr="00C66C24">
        <w:rPr>
          <w:rFonts w:ascii="Calibri" w:eastAsia="Times New Roman" w:hAnsi="Calibri" w:cs="Calibri"/>
          <w:lang w:eastAsia="en-IE"/>
        </w:rPr>
        <w:t xml:space="preserve">without considering </w:t>
      </w:r>
      <w:r w:rsidR="00EF1EF4">
        <w:rPr>
          <w:rFonts w:ascii="Calibri" w:eastAsia="Times New Roman" w:hAnsi="Calibri" w:cs="Calibri"/>
          <w:lang w:eastAsia="en-IE"/>
        </w:rPr>
        <w:t xml:space="preserve">the IMO </w:t>
      </w:r>
      <w:r w:rsidR="00E70F49" w:rsidRPr="00C66C24">
        <w:rPr>
          <w:rFonts w:ascii="Calibri" w:eastAsia="Times New Roman" w:hAnsi="Calibri" w:cs="Calibri"/>
          <w:lang w:eastAsia="en-IE"/>
        </w:rPr>
        <w:t xml:space="preserve">GHG emissions </w:t>
      </w:r>
      <w:r w:rsidR="00EF1EF4">
        <w:rPr>
          <w:rFonts w:ascii="Calibri" w:eastAsia="Times New Roman" w:hAnsi="Calibri" w:cs="Calibri"/>
          <w:lang w:eastAsia="en-IE"/>
        </w:rPr>
        <w:t xml:space="preserve">reduction </w:t>
      </w:r>
      <w:r w:rsidR="00E70F49" w:rsidRPr="00C66C24">
        <w:rPr>
          <w:rFonts w:ascii="Calibri" w:eastAsia="Times New Roman" w:hAnsi="Calibri" w:cs="Calibri"/>
          <w:lang w:eastAsia="en-IE"/>
        </w:rPr>
        <w:t>roadmap</w:t>
      </w:r>
      <w:r w:rsidR="00636B2E" w:rsidRPr="00C66C24">
        <w:rPr>
          <w:rFonts w:ascii="Calibri" w:eastAsia="Times New Roman" w:hAnsi="Calibri" w:cs="Calibri"/>
          <w:lang w:eastAsia="en-IE"/>
        </w:rPr>
        <w:t xml:space="preserve"> (</w:t>
      </w:r>
      <w:r w:rsidR="00D110B6">
        <w:rPr>
          <w:rFonts w:ascii="Calibri" w:eastAsia="Times New Roman" w:hAnsi="Calibri" w:cs="Calibri"/>
          <w:lang w:eastAsia="en-IE"/>
        </w:rPr>
        <w:t xml:space="preserve">the </w:t>
      </w:r>
      <w:r w:rsidR="00636B2E" w:rsidRPr="00C66C24">
        <w:rPr>
          <w:rFonts w:ascii="Calibri" w:eastAsia="Times New Roman" w:hAnsi="Calibri" w:cs="Calibri"/>
          <w:lang w:eastAsia="en-IE"/>
        </w:rPr>
        <w:t>URN scenario)</w:t>
      </w:r>
      <w:r w:rsidR="00E70F49" w:rsidRPr="00C66C24">
        <w:rPr>
          <w:rFonts w:ascii="Calibri" w:eastAsia="Times New Roman" w:hAnsi="Calibri" w:cs="Calibri"/>
          <w:lang w:eastAsia="en-IE"/>
        </w:rPr>
        <w:t xml:space="preserve">; 4) URN management in addition to </w:t>
      </w:r>
      <w:r w:rsidR="004D3944">
        <w:rPr>
          <w:rFonts w:ascii="Calibri" w:eastAsia="Times New Roman" w:hAnsi="Calibri" w:cs="Calibri"/>
          <w:lang w:eastAsia="en-IE"/>
        </w:rPr>
        <w:t xml:space="preserve">the IMO </w:t>
      </w:r>
      <w:r w:rsidR="00E70F49" w:rsidRPr="00C66C24">
        <w:rPr>
          <w:rFonts w:ascii="Calibri" w:eastAsia="Times New Roman" w:hAnsi="Calibri" w:cs="Calibri"/>
          <w:lang w:eastAsia="en-IE"/>
        </w:rPr>
        <w:t>GHG emissions</w:t>
      </w:r>
      <w:r w:rsidR="009C3E4F">
        <w:rPr>
          <w:rFonts w:ascii="Calibri" w:eastAsia="Times New Roman" w:hAnsi="Calibri" w:cs="Calibri"/>
          <w:lang w:eastAsia="en-IE"/>
        </w:rPr>
        <w:t xml:space="preserve"> reduction</w:t>
      </w:r>
      <w:r w:rsidR="00E70F49" w:rsidRPr="00C66C24">
        <w:rPr>
          <w:rFonts w:ascii="Calibri" w:eastAsia="Times New Roman" w:hAnsi="Calibri" w:cs="Calibri"/>
          <w:lang w:eastAsia="en-IE"/>
        </w:rPr>
        <w:t xml:space="preserve"> roadmap</w:t>
      </w:r>
      <w:r w:rsidR="00636B2E" w:rsidRPr="00C66C24">
        <w:rPr>
          <w:rFonts w:ascii="Calibri" w:eastAsia="Times New Roman" w:hAnsi="Calibri" w:cs="Calibri"/>
          <w:lang w:eastAsia="en-IE"/>
        </w:rPr>
        <w:t xml:space="preserve"> </w:t>
      </w:r>
      <w:r w:rsidR="00157A7E" w:rsidRPr="00C66C24">
        <w:rPr>
          <w:rFonts w:ascii="Calibri" w:eastAsia="Times New Roman" w:hAnsi="Calibri" w:cs="Calibri"/>
          <w:lang w:eastAsia="en-IE"/>
        </w:rPr>
        <w:t>(</w:t>
      </w:r>
      <w:r w:rsidR="009C3E4F">
        <w:rPr>
          <w:rFonts w:ascii="Calibri" w:eastAsia="Times New Roman" w:hAnsi="Calibri" w:cs="Calibri"/>
          <w:lang w:eastAsia="en-IE"/>
        </w:rPr>
        <w:t xml:space="preserve">the </w:t>
      </w:r>
      <w:r w:rsidR="00157A7E" w:rsidRPr="00C66C24">
        <w:rPr>
          <w:rFonts w:ascii="Calibri" w:eastAsia="Times New Roman" w:hAnsi="Calibri" w:cs="Calibri"/>
          <w:lang w:eastAsia="en-IE"/>
        </w:rPr>
        <w:t>GHG+URN scenario) (EMSA, in publication)</w:t>
      </w:r>
      <w:r w:rsidR="00E70F49" w:rsidRPr="00C66C24">
        <w:rPr>
          <w:rFonts w:ascii="Calibri" w:eastAsia="Times New Roman" w:hAnsi="Calibri" w:cs="Calibri"/>
          <w:lang w:eastAsia="en-IE"/>
        </w:rPr>
        <w:t>. </w:t>
      </w:r>
      <w:r w:rsidR="00C06A47" w:rsidRPr="00C66C24">
        <w:rPr>
          <w:rFonts w:ascii="Calibri" w:eastAsia="Times New Roman" w:hAnsi="Calibri" w:cs="Calibri"/>
          <w:lang w:eastAsia="en-IE"/>
        </w:rPr>
        <w:t>These sce</w:t>
      </w:r>
      <w:r w:rsidR="00F46655" w:rsidRPr="00C66C24">
        <w:rPr>
          <w:rFonts w:ascii="Calibri" w:eastAsia="Times New Roman" w:hAnsi="Calibri" w:cs="Calibri"/>
          <w:lang w:eastAsia="en-IE"/>
        </w:rPr>
        <w:t xml:space="preserve">narios are based on applying six different </w:t>
      </w:r>
      <w:r w:rsidR="00037D4A">
        <w:rPr>
          <w:rFonts w:ascii="Calibri" w:eastAsia="Times New Roman" w:hAnsi="Calibri" w:cs="Calibri"/>
          <w:lang w:eastAsia="en-IE"/>
        </w:rPr>
        <w:t xml:space="preserve">URN and GHG </w:t>
      </w:r>
      <w:r w:rsidR="00F46655" w:rsidRPr="00C66C24">
        <w:rPr>
          <w:rFonts w:ascii="Calibri" w:eastAsia="Times New Roman" w:hAnsi="Calibri" w:cs="Calibri"/>
          <w:lang w:eastAsia="en-IE"/>
        </w:rPr>
        <w:t xml:space="preserve">mitigation measures with time-varying penetration rates </w:t>
      </w:r>
      <w:r w:rsidR="007E26BD" w:rsidRPr="00C66C24">
        <w:rPr>
          <w:rFonts w:ascii="Calibri" w:eastAsia="Times New Roman" w:hAnsi="Calibri" w:cs="Calibri"/>
          <w:lang w:eastAsia="en-IE"/>
        </w:rPr>
        <w:t>within the fleet (speed reduction; more efficient propellers; quieter propellers; air injection systems</w:t>
      </w:r>
      <w:r w:rsidR="00DB5917" w:rsidRPr="00C66C24">
        <w:rPr>
          <w:rFonts w:ascii="Calibri" w:eastAsia="Times New Roman" w:hAnsi="Calibri" w:cs="Calibri"/>
          <w:lang w:eastAsia="en-IE"/>
        </w:rPr>
        <w:t>; optimised hull form, and; hull and propeller cleaning).</w:t>
      </w:r>
      <w:r w:rsidR="00F21718" w:rsidRPr="00C66C24">
        <w:rPr>
          <w:rFonts w:ascii="Calibri" w:eastAsia="Times New Roman" w:hAnsi="Calibri" w:cs="Calibri"/>
          <w:lang w:eastAsia="en-IE"/>
        </w:rPr>
        <w:t xml:space="preserve"> </w:t>
      </w:r>
      <w:r w:rsidR="00882D84">
        <w:rPr>
          <w:rFonts w:ascii="Calibri" w:eastAsia="Times New Roman" w:hAnsi="Calibri" w:cs="Calibri"/>
          <w:lang w:eastAsia="en-IE"/>
        </w:rPr>
        <w:t>T</w:t>
      </w:r>
      <w:r w:rsidR="00414D5A" w:rsidRPr="00C66C24">
        <w:rPr>
          <w:rFonts w:ascii="Calibri" w:eastAsia="Times New Roman" w:hAnsi="Calibri" w:cs="Calibri"/>
          <w:lang w:eastAsia="en-IE"/>
        </w:rPr>
        <w:t>he resulting sound map layers are determin</w:t>
      </w:r>
      <w:r w:rsidR="009762A0" w:rsidRPr="00C66C24">
        <w:rPr>
          <w:rFonts w:ascii="Calibri" w:eastAsia="Times New Roman" w:hAnsi="Calibri" w:cs="Calibri"/>
          <w:lang w:eastAsia="en-IE"/>
        </w:rPr>
        <w:t>ed</w:t>
      </w:r>
      <w:r w:rsidR="00414D5A" w:rsidRPr="00C66C24">
        <w:rPr>
          <w:rFonts w:ascii="Calibri" w:eastAsia="Times New Roman" w:hAnsi="Calibri" w:cs="Calibri"/>
          <w:lang w:eastAsia="en-IE"/>
        </w:rPr>
        <w:t xml:space="preserve"> by combining mitigation measures according to their joint </w:t>
      </w:r>
      <w:r w:rsidR="009762A0" w:rsidRPr="00C66C24">
        <w:rPr>
          <w:rFonts w:ascii="Calibri" w:eastAsia="Times New Roman" w:hAnsi="Calibri" w:cs="Calibri"/>
          <w:lang w:eastAsia="en-IE"/>
        </w:rPr>
        <w:t>probabilities (</w:t>
      </w:r>
      <w:r w:rsidR="00DD05DE" w:rsidRPr="00C66C24">
        <w:rPr>
          <w:rFonts w:ascii="Calibri" w:eastAsia="Times New Roman" w:hAnsi="Calibri" w:cs="Calibri"/>
          <w:lang w:eastAsia="en-IE"/>
        </w:rPr>
        <w:t>some measures being mutually exclusive and others independent of each other</w:t>
      </w:r>
      <w:r w:rsidR="009762A0" w:rsidRPr="00C66C24">
        <w:rPr>
          <w:rFonts w:ascii="Calibri" w:eastAsia="Times New Roman" w:hAnsi="Calibri" w:cs="Calibri"/>
          <w:lang w:eastAsia="en-IE"/>
        </w:rPr>
        <w:t>)</w:t>
      </w:r>
      <w:r w:rsidR="006D64D6" w:rsidRPr="00C66C24">
        <w:rPr>
          <w:rFonts w:ascii="Calibri" w:eastAsia="Times New Roman" w:hAnsi="Calibri" w:cs="Calibri"/>
          <w:lang w:eastAsia="en-IE"/>
        </w:rPr>
        <w:t xml:space="preserve">. These </w:t>
      </w:r>
      <w:r w:rsidR="00FB332B" w:rsidRPr="00C66C24">
        <w:rPr>
          <w:rFonts w:ascii="Calibri" w:eastAsia="Times New Roman" w:hAnsi="Calibri" w:cs="Calibri"/>
          <w:lang w:eastAsia="en-IE"/>
        </w:rPr>
        <w:t>aforementioned</w:t>
      </w:r>
      <w:r w:rsidR="004C08B6" w:rsidRPr="00C66C24">
        <w:rPr>
          <w:rFonts w:ascii="Calibri" w:eastAsia="Times New Roman" w:hAnsi="Calibri" w:cs="Calibri"/>
          <w:lang w:eastAsia="en-IE"/>
        </w:rPr>
        <w:t xml:space="preserve"> four </w:t>
      </w:r>
      <w:r w:rsidR="006D64D6" w:rsidRPr="00C66C24">
        <w:rPr>
          <w:rFonts w:ascii="Calibri" w:eastAsia="Times New Roman" w:hAnsi="Calibri" w:cs="Calibri"/>
          <w:lang w:eastAsia="en-IE"/>
        </w:rPr>
        <w:t xml:space="preserve">scenarios were run for </w:t>
      </w:r>
      <w:r w:rsidR="004C08B6" w:rsidRPr="00C66C24">
        <w:rPr>
          <w:rFonts w:ascii="Calibri" w:eastAsia="Times New Roman" w:hAnsi="Calibri" w:cs="Calibri"/>
          <w:lang w:eastAsia="en-IE"/>
        </w:rPr>
        <w:t xml:space="preserve">the </w:t>
      </w:r>
      <w:r w:rsidR="00076D60" w:rsidRPr="00C66C24">
        <w:rPr>
          <w:rFonts w:ascii="Calibri" w:eastAsia="Times New Roman" w:hAnsi="Calibri" w:cs="Calibri"/>
          <w:lang w:eastAsia="en-IE"/>
        </w:rPr>
        <w:t xml:space="preserve">five </w:t>
      </w:r>
      <w:r w:rsidR="00FB332B" w:rsidRPr="00C66C24">
        <w:rPr>
          <w:rFonts w:ascii="Calibri" w:eastAsia="Times New Roman" w:hAnsi="Calibri" w:cs="Calibri"/>
          <w:lang w:eastAsia="en-IE"/>
        </w:rPr>
        <w:t xml:space="preserve">different EU basins </w:t>
      </w:r>
      <w:r w:rsidR="004C08B6" w:rsidRPr="00C66C24">
        <w:rPr>
          <w:rFonts w:ascii="Calibri" w:eastAsia="Times New Roman" w:hAnsi="Calibri" w:cs="Calibri"/>
          <w:lang w:eastAsia="en-IE"/>
        </w:rPr>
        <w:t xml:space="preserve">and </w:t>
      </w:r>
      <w:r w:rsidR="00076D60" w:rsidRPr="00C66C24">
        <w:rPr>
          <w:rFonts w:ascii="Calibri" w:eastAsia="Times New Roman" w:hAnsi="Calibri" w:cs="Calibri"/>
          <w:lang w:eastAsia="en-IE"/>
        </w:rPr>
        <w:t xml:space="preserve">six </w:t>
      </w:r>
      <w:r w:rsidR="004C08B6" w:rsidRPr="00C66C24">
        <w:rPr>
          <w:rFonts w:ascii="Calibri" w:eastAsia="Times New Roman" w:hAnsi="Calibri" w:cs="Calibri"/>
          <w:lang w:eastAsia="en-IE"/>
        </w:rPr>
        <w:t>ship types</w:t>
      </w:r>
      <w:r w:rsidR="00076D60" w:rsidRPr="00C66C24">
        <w:rPr>
          <w:rFonts w:ascii="Calibri" w:eastAsia="Times New Roman" w:hAnsi="Calibri" w:cs="Calibri"/>
          <w:lang w:eastAsia="en-IE"/>
        </w:rPr>
        <w:t>.</w:t>
      </w:r>
    </w:p>
    <w:p w14:paraId="580090C6" w14:textId="77777777" w:rsidR="007D78DA" w:rsidRPr="00C66C24" w:rsidRDefault="00E92D19" w:rsidP="008C6A9C">
      <w:pPr>
        <w:spacing w:before="0" w:after="0" w:line="257" w:lineRule="auto"/>
        <w:textAlignment w:val="baseline"/>
        <w:rPr>
          <w:rFonts w:ascii="Calibri" w:eastAsia="Times New Roman" w:hAnsi="Calibri" w:cs="Calibri"/>
          <w:lang w:eastAsia="en-IE"/>
        </w:rPr>
      </w:pPr>
      <w:r w:rsidRPr="00C66C24">
        <w:rPr>
          <w:rFonts w:ascii="Calibri" w:eastAsia="Times New Roman" w:hAnsi="Calibri" w:cs="Calibri"/>
          <w:lang w:eastAsia="en-IE"/>
        </w:rPr>
        <w:t xml:space="preserve">Preliminary results </w:t>
      </w:r>
      <w:r w:rsidR="00B21801" w:rsidRPr="00C66C24">
        <w:rPr>
          <w:rFonts w:ascii="Calibri" w:eastAsia="Times New Roman" w:hAnsi="Calibri" w:cs="Calibri"/>
          <w:lang w:eastAsia="en-IE"/>
        </w:rPr>
        <w:t xml:space="preserve">show that </w:t>
      </w:r>
      <w:r w:rsidR="008F0C9F" w:rsidRPr="00C66C24">
        <w:rPr>
          <w:rFonts w:ascii="Calibri" w:eastAsia="Times New Roman" w:hAnsi="Calibri" w:cs="Calibri"/>
          <w:lang w:eastAsia="en-IE"/>
        </w:rPr>
        <w:t>the distribution of ship types and operational profile of the ships</w:t>
      </w:r>
      <w:r w:rsidR="00C6722A" w:rsidRPr="00C66C24">
        <w:rPr>
          <w:rFonts w:ascii="Calibri" w:eastAsia="Times New Roman" w:hAnsi="Calibri" w:cs="Calibri"/>
          <w:lang w:eastAsia="en-IE"/>
        </w:rPr>
        <w:t xml:space="preserve"> have a large impact on the </w:t>
      </w:r>
      <w:r w:rsidR="007D78DA" w:rsidRPr="00C66C24">
        <w:rPr>
          <w:rFonts w:ascii="Calibri" w:eastAsia="Times New Roman" w:hAnsi="Calibri" w:cs="Calibri"/>
          <w:lang w:eastAsia="en-IE"/>
        </w:rPr>
        <w:t>sound pressure levels under the four scenarios</w:t>
      </w:r>
      <w:r w:rsidR="00E110DA" w:rsidRPr="00C66C24">
        <w:rPr>
          <w:rFonts w:ascii="Calibri" w:eastAsia="Times New Roman" w:hAnsi="Calibri" w:cs="Calibri"/>
          <w:lang w:eastAsia="en-IE"/>
        </w:rPr>
        <w:t>.</w:t>
      </w:r>
    </w:p>
    <w:p w14:paraId="3634AF6D" w14:textId="7DDAFF8D" w:rsidR="00F004CA" w:rsidRPr="00C66C24" w:rsidRDefault="00337A48" w:rsidP="00684524">
      <w:pPr>
        <w:spacing w:before="0" w:after="120" w:line="257" w:lineRule="auto"/>
        <w:textAlignment w:val="baseline"/>
        <w:rPr>
          <w:rFonts w:ascii="Calibri" w:eastAsia="Times New Roman" w:hAnsi="Calibri" w:cs="Calibri"/>
          <w:lang w:eastAsia="en-IE"/>
        </w:rPr>
      </w:pPr>
      <w:r w:rsidRPr="00C66C24">
        <w:rPr>
          <w:rFonts w:ascii="Calibri" w:eastAsia="Times New Roman" w:hAnsi="Calibri" w:cs="Calibri"/>
          <w:lang w:eastAsia="en-IE"/>
        </w:rPr>
        <w:t xml:space="preserve">This is apparent </w:t>
      </w:r>
      <w:r w:rsidR="00FF3B86" w:rsidRPr="00C66C24">
        <w:rPr>
          <w:rFonts w:ascii="Calibri" w:eastAsia="Times New Roman" w:hAnsi="Calibri" w:cs="Calibri"/>
          <w:lang w:eastAsia="en-IE"/>
        </w:rPr>
        <w:t xml:space="preserve">when analysing the </w:t>
      </w:r>
      <w:r w:rsidR="00F910DC" w:rsidRPr="00C66C24">
        <w:rPr>
          <w:rFonts w:ascii="Calibri" w:eastAsia="Times New Roman" w:hAnsi="Calibri" w:cs="Calibri"/>
          <w:lang w:eastAsia="en-IE"/>
        </w:rPr>
        <w:t xml:space="preserve">difference in </w:t>
      </w:r>
      <w:r w:rsidR="00FF3B86" w:rsidRPr="00C66C24">
        <w:rPr>
          <w:rFonts w:ascii="Calibri" w:eastAsia="Times New Roman" w:hAnsi="Calibri" w:cs="Calibri"/>
          <w:lang w:eastAsia="en-IE"/>
        </w:rPr>
        <w:t xml:space="preserve">sound pressure level maps </w:t>
      </w:r>
      <w:r w:rsidR="00F910DC" w:rsidRPr="00C66C24">
        <w:rPr>
          <w:rFonts w:ascii="Calibri" w:eastAsia="Times New Roman" w:hAnsi="Calibri" w:cs="Calibri"/>
          <w:lang w:eastAsia="en-IE"/>
        </w:rPr>
        <w:t xml:space="preserve">between </w:t>
      </w:r>
      <w:r w:rsidR="00F004CA" w:rsidRPr="00C66C24">
        <w:rPr>
          <w:rFonts w:ascii="Calibri" w:eastAsia="Times New Roman" w:hAnsi="Calibri" w:cs="Calibri"/>
          <w:lang w:eastAsia="en-IE"/>
        </w:rPr>
        <w:t xml:space="preserve">the </w:t>
      </w:r>
      <w:r w:rsidR="00CB5379" w:rsidRPr="00C66C24">
        <w:rPr>
          <w:rFonts w:ascii="Calibri" w:eastAsia="Times New Roman" w:hAnsi="Calibri" w:cs="Calibri"/>
          <w:lang w:eastAsia="en-IE"/>
        </w:rPr>
        <w:t xml:space="preserve">BAU </w:t>
      </w:r>
      <w:r w:rsidR="00F004CA" w:rsidRPr="00C66C24">
        <w:rPr>
          <w:rFonts w:ascii="Calibri" w:eastAsia="Times New Roman" w:hAnsi="Calibri" w:cs="Calibri"/>
          <w:lang w:eastAsia="en-IE"/>
        </w:rPr>
        <w:t xml:space="preserve">scenario </w:t>
      </w:r>
      <w:r w:rsidR="00CB5379" w:rsidRPr="00C66C24">
        <w:rPr>
          <w:rFonts w:ascii="Calibri" w:eastAsia="Times New Roman" w:hAnsi="Calibri" w:cs="Calibri"/>
          <w:lang w:eastAsia="en-IE"/>
        </w:rPr>
        <w:t xml:space="preserve">and </w:t>
      </w:r>
      <w:r w:rsidR="00F004CA" w:rsidRPr="00C66C24">
        <w:rPr>
          <w:rFonts w:ascii="Calibri" w:eastAsia="Times New Roman" w:hAnsi="Calibri" w:cs="Calibri"/>
          <w:lang w:eastAsia="en-IE"/>
        </w:rPr>
        <w:t xml:space="preserve">the </w:t>
      </w:r>
      <w:r w:rsidR="00CB5379" w:rsidRPr="00C66C24">
        <w:rPr>
          <w:rFonts w:ascii="Calibri" w:eastAsia="Times New Roman" w:hAnsi="Calibri" w:cs="Calibri"/>
          <w:lang w:eastAsia="en-IE"/>
        </w:rPr>
        <w:t>GHG</w:t>
      </w:r>
      <w:r w:rsidR="00F004CA" w:rsidRPr="00C66C24">
        <w:rPr>
          <w:rFonts w:ascii="Calibri" w:eastAsia="Times New Roman" w:hAnsi="Calibri" w:cs="Calibri"/>
          <w:lang w:eastAsia="en-IE"/>
        </w:rPr>
        <w:t xml:space="preserve">, URN and </w:t>
      </w:r>
      <w:r w:rsidR="00EF52B7">
        <w:rPr>
          <w:rFonts w:ascii="Calibri" w:eastAsia="Times New Roman" w:hAnsi="Calibri" w:cs="Calibri"/>
          <w:lang w:eastAsia="en-IE"/>
        </w:rPr>
        <w:t xml:space="preserve">combined </w:t>
      </w:r>
      <w:r w:rsidR="00AD6604">
        <w:rPr>
          <w:rFonts w:ascii="Calibri" w:eastAsia="Times New Roman" w:hAnsi="Calibri" w:cs="Calibri"/>
          <w:lang w:eastAsia="en-IE"/>
        </w:rPr>
        <w:t>GH</w:t>
      </w:r>
      <w:r w:rsidR="00F004CA" w:rsidRPr="00C66C24">
        <w:rPr>
          <w:rFonts w:ascii="Calibri" w:eastAsia="Times New Roman" w:hAnsi="Calibri" w:cs="Calibri"/>
          <w:lang w:eastAsia="en-IE"/>
        </w:rPr>
        <w:t>G</w:t>
      </w:r>
      <w:r w:rsidR="00F46FDE">
        <w:rPr>
          <w:rFonts w:ascii="Calibri" w:eastAsia="Times New Roman" w:hAnsi="Calibri" w:cs="Calibri"/>
          <w:lang w:eastAsia="en-IE"/>
        </w:rPr>
        <w:t>&amp;URN</w:t>
      </w:r>
      <w:r w:rsidR="00F004CA" w:rsidRPr="00C66C24">
        <w:rPr>
          <w:rFonts w:ascii="Calibri" w:eastAsia="Times New Roman" w:hAnsi="Calibri" w:cs="Calibri"/>
          <w:lang w:eastAsia="en-IE"/>
        </w:rPr>
        <w:t xml:space="preserve"> ones</w:t>
      </w:r>
      <w:r w:rsidR="00B73C82" w:rsidRPr="00C66C24">
        <w:rPr>
          <w:rFonts w:ascii="Calibri" w:eastAsia="Times New Roman" w:hAnsi="Calibri" w:cs="Calibri"/>
          <w:lang w:eastAsia="en-IE"/>
        </w:rPr>
        <w:t>. For example</w:t>
      </w:r>
      <w:r w:rsidR="00D21596" w:rsidRPr="00C66C24">
        <w:rPr>
          <w:rFonts w:ascii="Calibri" w:eastAsia="Times New Roman" w:hAnsi="Calibri" w:cs="Calibri"/>
          <w:lang w:eastAsia="en-IE"/>
        </w:rPr>
        <w:t xml:space="preserve">, </w:t>
      </w:r>
      <w:r w:rsidR="002E591F" w:rsidRPr="00C66C24">
        <w:rPr>
          <w:rFonts w:ascii="Calibri" w:eastAsia="Times New Roman" w:hAnsi="Calibri" w:cs="Calibri"/>
          <w:lang w:eastAsia="en-IE"/>
        </w:rPr>
        <w:t xml:space="preserve">while </w:t>
      </w:r>
      <w:r w:rsidR="00D21596" w:rsidRPr="00C66C24">
        <w:rPr>
          <w:rFonts w:ascii="Calibri" w:eastAsia="Times New Roman" w:hAnsi="Calibri" w:cs="Calibri"/>
          <w:lang w:eastAsia="en-IE"/>
        </w:rPr>
        <w:t xml:space="preserve">for cargo vessels the </w:t>
      </w:r>
      <w:r w:rsidR="002E591F" w:rsidRPr="00C66C24">
        <w:rPr>
          <w:rFonts w:ascii="Calibri" w:eastAsia="Times New Roman" w:hAnsi="Calibri" w:cs="Calibri"/>
          <w:lang w:eastAsia="en-IE"/>
        </w:rPr>
        <w:t>reduction of SPL at 63</w:t>
      </w:r>
      <w:r w:rsidR="00DA3C82">
        <w:rPr>
          <w:rFonts w:ascii="Calibri" w:eastAsia="Times New Roman" w:hAnsi="Calibri" w:cs="Calibri"/>
          <w:lang w:eastAsia="en-IE"/>
        </w:rPr>
        <w:t xml:space="preserve"> </w:t>
      </w:r>
      <w:r w:rsidR="002E591F" w:rsidRPr="00C66C24">
        <w:rPr>
          <w:rFonts w:ascii="Calibri" w:eastAsia="Times New Roman" w:hAnsi="Calibri" w:cs="Calibri"/>
          <w:lang w:eastAsia="en-IE"/>
        </w:rPr>
        <w:t xml:space="preserve">Hz is </w:t>
      </w:r>
      <w:r w:rsidR="005F6636" w:rsidRPr="00C66C24">
        <w:rPr>
          <w:rFonts w:ascii="Calibri" w:eastAsia="Times New Roman" w:hAnsi="Calibri" w:cs="Calibri"/>
          <w:lang w:eastAsia="en-IE"/>
        </w:rPr>
        <w:t xml:space="preserve">relatively homogenous in </w:t>
      </w:r>
      <w:r w:rsidR="007913D4">
        <w:rPr>
          <w:rFonts w:ascii="Calibri" w:eastAsia="Times New Roman" w:hAnsi="Calibri" w:cs="Calibri"/>
          <w:lang w:eastAsia="en-IE"/>
        </w:rPr>
        <w:t xml:space="preserve">the </w:t>
      </w:r>
      <w:r w:rsidR="005F6636" w:rsidRPr="00C66C24">
        <w:rPr>
          <w:rFonts w:ascii="Calibri" w:eastAsia="Times New Roman" w:hAnsi="Calibri" w:cs="Calibri"/>
          <w:lang w:eastAsia="en-IE"/>
        </w:rPr>
        <w:t xml:space="preserve">GHG, URN and </w:t>
      </w:r>
      <w:r w:rsidR="00B17D4D">
        <w:rPr>
          <w:rFonts w:ascii="Calibri" w:eastAsia="Times New Roman" w:hAnsi="Calibri" w:cs="Calibri"/>
          <w:lang w:eastAsia="en-IE"/>
        </w:rPr>
        <w:t>GHG&amp;URN</w:t>
      </w:r>
      <w:r w:rsidR="004461D9" w:rsidRPr="00C66C24">
        <w:rPr>
          <w:rFonts w:ascii="Calibri" w:eastAsia="Times New Roman" w:hAnsi="Calibri" w:cs="Calibri"/>
          <w:lang w:eastAsia="en-IE"/>
        </w:rPr>
        <w:t xml:space="preserve"> </w:t>
      </w:r>
      <w:r w:rsidR="00AB1819">
        <w:rPr>
          <w:rFonts w:ascii="Calibri" w:eastAsia="Times New Roman" w:hAnsi="Calibri" w:cs="Calibri"/>
          <w:lang w:eastAsia="en-IE"/>
        </w:rPr>
        <w:t xml:space="preserve">scenarios </w:t>
      </w:r>
      <w:r w:rsidR="004461D9" w:rsidRPr="00C66C24">
        <w:rPr>
          <w:rFonts w:ascii="Calibri" w:eastAsia="Times New Roman" w:hAnsi="Calibri" w:cs="Calibri"/>
          <w:lang w:eastAsia="en-IE"/>
        </w:rPr>
        <w:t>in 2050</w:t>
      </w:r>
      <w:r w:rsidR="005F6636" w:rsidRPr="00C66C24">
        <w:rPr>
          <w:rFonts w:ascii="Calibri" w:eastAsia="Times New Roman" w:hAnsi="Calibri" w:cs="Calibri"/>
          <w:lang w:eastAsia="en-IE"/>
        </w:rPr>
        <w:t xml:space="preserve">, for tankers </w:t>
      </w:r>
      <w:r w:rsidR="00766C25" w:rsidRPr="00C66C24">
        <w:rPr>
          <w:rFonts w:ascii="Calibri" w:eastAsia="Times New Roman" w:hAnsi="Calibri" w:cs="Calibri"/>
          <w:lang w:eastAsia="en-IE"/>
        </w:rPr>
        <w:t xml:space="preserve">and gas carriers, containers and </w:t>
      </w:r>
      <w:r w:rsidR="00280868" w:rsidRPr="00C66C24">
        <w:rPr>
          <w:rFonts w:ascii="Calibri" w:eastAsia="Times New Roman" w:hAnsi="Calibri" w:cs="Calibri"/>
          <w:lang w:eastAsia="en-IE"/>
        </w:rPr>
        <w:t xml:space="preserve">Ro-ro, the GHG scenario </w:t>
      </w:r>
      <w:r w:rsidR="0061771D" w:rsidRPr="00C66C24">
        <w:rPr>
          <w:rFonts w:ascii="Calibri" w:eastAsia="Times New Roman" w:hAnsi="Calibri" w:cs="Calibri"/>
          <w:lang w:eastAsia="en-IE"/>
        </w:rPr>
        <w:t>yields</w:t>
      </w:r>
      <w:r w:rsidR="00280868" w:rsidRPr="00C66C24">
        <w:rPr>
          <w:rFonts w:ascii="Calibri" w:eastAsia="Times New Roman" w:hAnsi="Calibri" w:cs="Calibri"/>
          <w:lang w:eastAsia="en-IE"/>
        </w:rPr>
        <w:t xml:space="preserve"> regional increases</w:t>
      </w:r>
      <w:r w:rsidR="00F004CA" w:rsidRPr="00C66C24">
        <w:rPr>
          <w:rFonts w:ascii="Calibri" w:eastAsia="Times New Roman" w:hAnsi="Calibri" w:cs="Calibri"/>
          <w:lang w:eastAsia="en-IE"/>
        </w:rPr>
        <w:t>.</w:t>
      </w:r>
      <w:r w:rsidR="00EB7EB2" w:rsidRPr="00C66C24">
        <w:rPr>
          <w:rFonts w:ascii="Calibri" w:eastAsia="Times New Roman" w:hAnsi="Calibri" w:cs="Calibri"/>
          <w:lang w:eastAsia="en-IE"/>
        </w:rPr>
        <w:t xml:space="preserve"> More specifically, </w:t>
      </w:r>
      <w:r w:rsidR="00C73D2F" w:rsidRPr="00C66C24">
        <w:rPr>
          <w:rFonts w:ascii="Calibri" w:eastAsia="Times New Roman" w:hAnsi="Calibri" w:cs="Calibri"/>
          <w:lang w:eastAsia="en-IE"/>
        </w:rPr>
        <w:t xml:space="preserve">for tankers and gas carriers, </w:t>
      </w:r>
      <w:r w:rsidR="00315EAB">
        <w:rPr>
          <w:rFonts w:ascii="Calibri" w:eastAsia="Times New Roman" w:hAnsi="Calibri" w:cs="Calibri"/>
          <w:lang w:eastAsia="en-IE"/>
        </w:rPr>
        <w:t xml:space="preserve">under </w:t>
      </w:r>
      <w:r w:rsidR="00C73D2F" w:rsidRPr="00C66C24">
        <w:rPr>
          <w:rFonts w:ascii="Calibri" w:eastAsia="Times New Roman" w:hAnsi="Calibri" w:cs="Calibri"/>
          <w:lang w:eastAsia="en-IE"/>
        </w:rPr>
        <w:t xml:space="preserve">the </w:t>
      </w:r>
      <w:r w:rsidR="00BD491B" w:rsidRPr="00C66C24">
        <w:rPr>
          <w:rFonts w:ascii="Calibri" w:eastAsia="Times New Roman" w:hAnsi="Calibri" w:cs="Calibri"/>
          <w:lang w:eastAsia="en-IE"/>
        </w:rPr>
        <w:t>GHG scenario</w:t>
      </w:r>
      <w:r w:rsidR="00AB5FFE">
        <w:rPr>
          <w:rFonts w:ascii="Calibri" w:eastAsia="Times New Roman" w:hAnsi="Calibri" w:cs="Calibri"/>
          <w:lang w:eastAsia="en-IE"/>
        </w:rPr>
        <w:t>, which disregards the application of any URN management measures,</w:t>
      </w:r>
      <w:r w:rsidR="00BD491B" w:rsidRPr="00C66C24">
        <w:rPr>
          <w:rFonts w:ascii="Calibri" w:eastAsia="Times New Roman" w:hAnsi="Calibri" w:cs="Calibri"/>
          <w:lang w:eastAsia="en-IE"/>
        </w:rPr>
        <w:t xml:space="preserve"> </w:t>
      </w:r>
      <w:r w:rsidR="0075362A">
        <w:rPr>
          <w:rFonts w:ascii="Calibri" w:eastAsia="Times New Roman" w:hAnsi="Calibri" w:cs="Calibri"/>
          <w:lang w:eastAsia="en-IE"/>
        </w:rPr>
        <w:t>the results show</w:t>
      </w:r>
      <w:r w:rsidR="00BD491B" w:rsidRPr="00C66C24">
        <w:rPr>
          <w:rFonts w:ascii="Calibri" w:eastAsia="Times New Roman" w:hAnsi="Calibri" w:cs="Calibri"/>
          <w:lang w:eastAsia="en-IE"/>
        </w:rPr>
        <w:t xml:space="preserve"> </w:t>
      </w:r>
      <w:r w:rsidR="00D060A7" w:rsidRPr="00C66C24">
        <w:rPr>
          <w:rFonts w:ascii="Calibri" w:eastAsia="Times New Roman" w:hAnsi="Calibri" w:cs="Calibri"/>
          <w:lang w:eastAsia="en-IE"/>
        </w:rPr>
        <w:t>an</w:t>
      </w:r>
      <w:r w:rsidR="00BD491B" w:rsidRPr="00C66C24">
        <w:rPr>
          <w:rFonts w:ascii="Calibri" w:eastAsia="Times New Roman" w:hAnsi="Calibri" w:cs="Calibri"/>
          <w:lang w:eastAsia="en-IE"/>
        </w:rPr>
        <w:t xml:space="preserve"> increase in the </w:t>
      </w:r>
      <w:r w:rsidR="005D04C0">
        <w:rPr>
          <w:rFonts w:ascii="Calibri" w:eastAsia="Times New Roman" w:hAnsi="Calibri" w:cs="Calibri"/>
          <w:lang w:eastAsia="en-IE"/>
        </w:rPr>
        <w:t>SPL at 63</w:t>
      </w:r>
      <w:r w:rsidR="000B4579">
        <w:rPr>
          <w:rFonts w:ascii="Calibri" w:eastAsia="Times New Roman" w:hAnsi="Calibri" w:cs="Calibri"/>
          <w:lang w:eastAsia="en-IE"/>
        </w:rPr>
        <w:t xml:space="preserve"> </w:t>
      </w:r>
      <w:r w:rsidR="005D04C0">
        <w:rPr>
          <w:rFonts w:ascii="Calibri" w:eastAsia="Times New Roman" w:hAnsi="Calibri" w:cs="Calibri"/>
          <w:lang w:eastAsia="en-IE"/>
        </w:rPr>
        <w:t xml:space="preserve">Hz in the </w:t>
      </w:r>
      <w:r w:rsidR="00BD491B" w:rsidRPr="00C66C24">
        <w:rPr>
          <w:rFonts w:ascii="Calibri" w:eastAsia="Times New Roman" w:hAnsi="Calibri" w:cs="Calibri"/>
          <w:lang w:eastAsia="en-IE"/>
        </w:rPr>
        <w:t>North Sea</w:t>
      </w:r>
      <w:r w:rsidR="005F561F" w:rsidRPr="00C66C24">
        <w:rPr>
          <w:rFonts w:ascii="Calibri" w:eastAsia="Times New Roman" w:hAnsi="Calibri" w:cs="Calibri"/>
          <w:lang w:eastAsia="en-IE"/>
        </w:rPr>
        <w:t xml:space="preserve"> and North</w:t>
      </w:r>
      <w:r w:rsidR="00C00149">
        <w:rPr>
          <w:rFonts w:ascii="Calibri" w:eastAsia="Times New Roman" w:hAnsi="Calibri" w:cs="Calibri"/>
          <w:lang w:eastAsia="en-IE"/>
        </w:rPr>
        <w:t>-</w:t>
      </w:r>
      <w:r w:rsidR="005F561F" w:rsidRPr="00C66C24">
        <w:rPr>
          <w:rFonts w:ascii="Calibri" w:eastAsia="Times New Roman" w:hAnsi="Calibri" w:cs="Calibri"/>
          <w:lang w:eastAsia="en-IE"/>
        </w:rPr>
        <w:t xml:space="preserve">East Atlantic region, probably due to the </w:t>
      </w:r>
      <w:r w:rsidR="0061586F">
        <w:rPr>
          <w:rFonts w:ascii="Calibri" w:eastAsia="Times New Roman" w:hAnsi="Calibri" w:cs="Calibri"/>
          <w:lang w:eastAsia="en-IE"/>
        </w:rPr>
        <w:t xml:space="preserve">increasing </w:t>
      </w:r>
      <w:r w:rsidR="005F561F" w:rsidRPr="00C66C24">
        <w:rPr>
          <w:rFonts w:ascii="Calibri" w:eastAsia="Times New Roman" w:hAnsi="Calibri" w:cs="Calibri"/>
          <w:lang w:eastAsia="en-IE"/>
        </w:rPr>
        <w:t>number of vessels in these area</w:t>
      </w:r>
      <w:r w:rsidR="001F00DD">
        <w:rPr>
          <w:rFonts w:ascii="Calibri" w:eastAsia="Times New Roman" w:hAnsi="Calibri" w:cs="Calibri"/>
          <w:lang w:eastAsia="en-IE"/>
        </w:rPr>
        <w:t xml:space="preserve"> and</w:t>
      </w:r>
      <w:r w:rsidR="005F561F" w:rsidRPr="00C66C24">
        <w:rPr>
          <w:rFonts w:ascii="Calibri" w:eastAsia="Times New Roman" w:hAnsi="Calibri" w:cs="Calibri"/>
          <w:lang w:eastAsia="en-IE"/>
        </w:rPr>
        <w:t xml:space="preserve"> their operational profile </w:t>
      </w:r>
      <w:r w:rsidR="00C00149">
        <w:rPr>
          <w:rFonts w:ascii="Calibri" w:eastAsia="Times New Roman" w:hAnsi="Calibri" w:cs="Calibri"/>
          <w:lang w:eastAsia="en-IE"/>
        </w:rPr>
        <w:t xml:space="preserve">(as well as possibly </w:t>
      </w:r>
      <w:r w:rsidR="005F561F" w:rsidRPr="00C66C24">
        <w:rPr>
          <w:rFonts w:ascii="Calibri" w:eastAsia="Times New Roman" w:hAnsi="Calibri" w:cs="Calibri"/>
          <w:lang w:eastAsia="en-IE"/>
        </w:rPr>
        <w:t xml:space="preserve">the mutually exclusive nature of </w:t>
      </w:r>
      <w:r w:rsidR="006C38FA">
        <w:rPr>
          <w:rFonts w:ascii="Calibri" w:eastAsia="Times New Roman" w:hAnsi="Calibri" w:cs="Calibri"/>
          <w:lang w:eastAsia="en-IE"/>
        </w:rPr>
        <w:t>some URN and GHG mitigation measures</w:t>
      </w:r>
      <w:r w:rsidR="002E4CE0">
        <w:rPr>
          <w:rFonts w:ascii="Calibri" w:eastAsia="Times New Roman" w:hAnsi="Calibri" w:cs="Calibri"/>
          <w:lang w:eastAsia="en-IE"/>
        </w:rPr>
        <w:t xml:space="preserve">, e.g. </w:t>
      </w:r>
      <w:r w:rsidR="00AA1253" w:rsidRPr="00C66C24">
        <w:rPr>
          <w:rFonts w:ascii="Calibri" w:eastAsia="Times New Roman" w:hAnsi="Calibri" w:cs="Calibri"/>
          <w:lang w:eastAsia="en-IE"/>
        </w:rPr>
        <w:t>the quieter vs more efficient propeller mitigation measures</w:t>
      </w:r>
      <w:r w:rsidR="006C38FA">
        <w:rPr>
          <w:rFonts w:ascii="Calibri" w:eastAsia="Times New Roman" w:hAnsi="Calibri" w:cs="Calibri"/>
          <w:lang w:eastAsia="en-IE"/>
        </w:rPr>
        <w:t>)</w:t>
      </w:r>
      <w:r w:rsidR="00AA1253" w:rsidRPr="00C66C24">
        <w:rPr>
          <w:rFonts w:ascii="Calibri" w:eastAsia="Times New Roman" w:hAnsi="Calibri" w:cs="Calibri"/>
          <w:lang w:eastAsia="en-IE"/>
        </w:rPr>
        <w:t>.</w:t>
      </w:r>
      <w:r w:rsidR="00051CD3" w:rsidRPr="00051CD3">
        <w:t xml:space="preserve"> </w:t>
      </w:r>
      <w:r w:rsidR="00051CD3" w:rsidRPr="00051CD3">
        <w:rPr>
          <w:rFonts w:ascii="Calibri" w:eastAsia="Times New Roman" w:hAnsi="Calibri" w:cs="Calibri"/>
          <w:lang w:eastAsia="en-IE"/>
        </w:rPr>
        <w:t>These results highlight the relevance of considering URN in the application of the GHG reduction strategy.</w:t>
      </w:r>
    </w:p>
    <w:p w14:paraId="0BD16BD7" w14:textId="05565DDC" w:rsidR="00EB7EB2" w:rsidRPr="00C66C24" w:rsidRDefault="00C279DD" w:rsidP="008C6A9C">
      <w:pPr>
        <w:spacing w:before="0" w:after="0" w:line="257" w:lineRule="auto"/>
        <w:textAlignment w:val="baseline"/>
        <w:rPr>
          <w:rFonts w:ascii="Calibri" w:eastAsia="Times New Roman" w:hAnsi="Calibri" w:cs="Calibri"/>
          <w:lang w:eastAsia="en-IE"/>
        </w:rPr>
      </w:pPr>
      <w:r w:rsidRPr="00C66C24">
        <w:rPr>
          <w:rFonts w:ascii="Calibri" w:eastAsia="Times New Roman" w:hAnsi="Calibri" w:cs="Calibri"/>
          <w:noProof/>
          <w:lang w:eastAsia="en-IE"/>
        </w:rPr>
        <w:drawing>
          <wp:inline distT="0" distB="0" distL="0" distR="0" wp14:anchorId="1B071A31" wp14:editId="665216E7">
            <wp:extent cx="5437019" cy="1875054"/>
            <wp:effectExtent l="0" t="0" r="0" b="0"/>
            <wp:docPr id="136005632" name="Picture 13600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463907" cy="1884327"/>
                    </a:xfrm>
                    <a:prstGeom prst="rect">
                      <a:avLst/>
                    </a:prstGeom>
                    <a:noFill/>
                  </pic:spPr>
                </pic:pic>
              </a:graphicData>
            </a:graphic>
          </wp:inline>
        </w:drawing>
      </w:r>
    </w:p>
    <w:p w14:paraId="3B2F0A76" w14:textId="675A345C" w:rsidR="00EB7EB2" w:rsidRPr="00BE5E44" w:rsidRDefault="00EB7EB2" w:rsidP="00EB7EB2">
      <w:pPr>
        <w:pStyle w:val="Caption"/>
        <w:spacing w:after="0" w:line="257" w:lineRule="auto"/>
        <w:jc w:val="center"/>
        <w:rPr>
          <w:sz w:val="20"/>
          <w:szCs w:val="20"/>
        </w:rPr>
      </w:pPr>
      <w:r w:rsidRPr="00BE5E44">
        <w:rPr>
          <w:sz w:val="20"/>
          <w:szCs w:val="20"/>
        </w:rPr>
        <w:t xml:space="preserve">Figure </w:t>
      </w:r>
      <w:r w:rsidRPr="00BE5E44">
        <w:rPr>
          <w:sz w:val="20"/>
          <w:szCs w:val="20"/>
        </w:rPr>
        <w:fldChar w:fldCharType="begin"/>
      </w:r>
      <w:r w:rsidRPr="00BE5E44">
        <w:rPr>
          <w:sz w:val="20"/>
          <w:szCs w:val="20"/>
        </w:rPr>
        <w:instrText xml:space="preserve"> STYLEREF 1 \s </w:instrText>
      </w:r>
      <w:r w:rsidRPr="00BE5E44">
        <w:rPr>
          <w:sz w:val="20"/>
          <w:szCs w:val="20"/>
        </w:rPr>
        <w:fldChar w:fldCharType="separate"/>
      </w:r>
      <w:r w:rsidRPr="00BE5E44">
        <w:rPr>
          <w:noProof/>
          <w:sz w:val="20"/>
          <w:szCs w:val="20"/>
        </w:rPr>
        <w:t>2</w:t>
      </w:r>
      <w:r w:rsidRPr="00BE5E44">
        <w:rPr>
          <w:sz w:val="20"/>
          <w:szCs w:val="20"/>
        </w:rPr>
        <w:fldChar w:fldCharType="end"/>
      </w:r>
      <w:r w:rsidRPr="00BE5E44">
        <w:rPr>
          <w:sz w:val="20"/>
          <w:szCs w:val="20"/>
        </w:rPr>
        <w:t>.</w:t>
      </w:r>
      <w:r w:rsidRPr="00BE5E44">
        <w:rPr>
          <w:sz w:val="20"/>
          <w:szCs w:val="20"/>
        </w:rPr>
        <w:fldChar w:fldCharType="begin"/>
      </w:r>
      <w:r w:rsidRPr="00BE5E44">
        <w:rPr>
          <w:sz w:val="20"/>
          <w:szCs w:val="20"/>
        </w:rPr>
        <w:instrText xml:space="preserve"> SEQ Figure \* ARABIC \s 1 </w:instrText>
      </w:r>
      <w:r w:rsidRPr="00BE5E44">
        <w:rPr>
          <w:sz w:val="20"/>
          <w:szCs w:val="20"/>
        </w:rPr>
        <w:fldChar w:fldCharType="separate"/>
      </w:r>
      <w:r w:rsidRPr="00BE5E44">
        <w:rPr>
          <w:noProof/>
          <w:sz w:val="20"/>
          <w:szCs w:val="20"/>
        </w:rPr>
        <w:t>34</w:t>
      </w:r>
      <w:r w:rsidRPr="00BE5E44">
        <w:rPr>
          <w:sz w:val="20"/>
          <w:szCs w:val="20"/>
        </w:rPr>
        <w:fldChar w:fldCharType="end"/>
      </w:r>
      <w:r w:rsidRPr="00BE5E44">
        <w:rPr>
          <w:sz w:val="20"/>
          <w:szCs w:val="20"/>
        </w:rPr>
        <w:t xml:space="preserve"> URN </w:t>
      </w:r>
      <w:r w:rsidR="000B4579">
        <w:rPr>
          <w:sz w:val="20"/>
          <w:szCs w:val="20"/>
        </w:rPr>
        <w:t>Forecast</w:t>
      </w:r>
      <w:r w:rsidRPr="00BE5E44">
        <w:rPr>
          <w:sz w:val="20"/>
          <w:szCs w:val="20"/>
        </w:rPr>
        <w:t xml:space="preserve"> scenarios</w:t>
      </w:r>
    </w:p>
    <w:p w14:paraId="16B11607" w14:textId="62CBE3EC" w:rsidR="00EB7EB2" w:rsidRPr="00BE5E44" w:rsidRDefault="00EB7EB2" w:rsidP="00684524">
      <w:pPr>
        <w:spacing w:before="0" w:after="120" w:line="257" w:lineRule="auto"/>
        <w:jc w:val="center"/>
        <w:rPr>
          <w:sz w:val="20"/>
          <w:szCs w:val="20"/>
        </w:rPr>
      </w:pPr>
      <w:r w:rsidRPr="00BE5E44">
        <w:rPr>
          <w:sz w:val="20"/>
          <w:szCs w:val="20"/>
        </w:rPr>
        <w:t>Source: EMSA, NAVISON (2024)</w:t>
      </w:r>
      <w:r w:rsidR="00684524" w:rsidRPr="00BE5E44">
        <w:rPr>
          <w:sz w:val="20"/>
          <w:szCs w:val="20"/>
        </w:rPr>
        <w:t>.</w:t>
      </w:r>
    </w:p>
    <w:p w14:paraId="33A23E98" w14:textId="731AF3C4" w:rsidR="00E70F49" w:rsidRPr="00C66C24" w:rsidRDefault="00FB2B42" w:rsidP="008C6A9C">
      <w:pPr>
        <w:spacing w:before="0" w:after="0" w:line="257" w:lineRule="auto"/>
        <w:textAlignment w:val="baseline"/>
        <w:rPr>
          <w:rFonts w:ascii="Calibri" w:eastAsia="Times New Roman" w:hAnsi="Calibri" w:cs="Calibri"/>
          <w:lang w:eastAsia="en-IE"/>
        </w:rPr>
      </w:pPr>
      <w:r w:rsidRPr="00C66C24">
        <w:rPr>
          <w:rFonts w:ascii="Calibri" w:eastAsia="Times New Roman" w:hAnsi="Calibri" w:cs="Calibri"/>
          <w:lang w:eastAsia="en-IE"/>
        </w:rPr>
        <w:t>T</w:t>
      </w:r>
      <w:r w:rsidR="00E110DA" w:rsidRPr="00C66C24">
        <w:rPr>
          <w:rFonts w:ascii="Calibri" w:eastAsia="Times New Roman" w:hAnsi="Calibri" w:cs="Calibri"/>
          <w:lang w:eastAsia="en-IE"/>
        </w:rPr>
        <w:t>h</w:t>
      </w:r>
      <w:r w:rsidRPr="00C66C24">
        <w:rPr>
          <w:rFonts w:ascii="Calibri" w:eastAsia="Times New Roman" w:hAnsi="Calibri" w:cs="Calibri"/>
          <w:lang w:eastAsia="en-IE"/>
        </w:rPr>
        <w:t>is</w:t>
      </w:r>
      <w:r w:rsidR="00E110DA" w:rsidRPr="00C66C24">
        <w:rPr>
          <w:rFonts w:ascii="Calibri" w:eastAsia="Times New Roman" w:hAnsi="Calibri" w:cs="Calibri"/>
          <w:lang w:eastAsia="en-IE"/>
        </w:rPr>
        <w:t xml:space="preserve"> </w:t>
      </w:r>
      <w:r w:rsidR="00676C33" w:rsidRPr="00C66C24">
        <w:rPr>
          <w:rFonts w:ascii="Calibri" w:eastAsia="Times New Roman" w:hAnsi="Calibri" w:cs="Calibri"/>
          <w:lang w:eastAsia="en-IE"/>
        </w:rPr>
        <w:t xml:space="preserve">ship </w:t>
      </w:r>
      <w:r w:rsidR="00AF2199" w:rsidRPr="00C66C24">
        <w:rPr>
          <w:rFonts w:ascii="Calibri" w:eastAsia="Times New Roman" w:hAnsi="Calibri" w:cs="Calibri"/>
          <w:lang w:eastAsia="en-IE"/>
        </w:rPr>
        <w:t xml:space="preserve">type </w:t>
      </w:r>
      <w:r w:rsidR="00676C33" w:rsidRPr="00C66C24">
        <w:rPr>
          <w:rFonts w:ascii="Calibri" w:eastAsia="Times New Roman" w:hAnsi="Calibri" w:cs="Calibri"/>
          <w:lang w:eastAsia="en-IE"/>
        </w:rPr>
        <w:t xml:space="preserve">and regional </w:t>
      </w:r>
      <w:r w:rsidRPr="00C66C24">
        <w:rPr>
          <w:rFonts w:ascii="Calibri" w:eastAsia="Times New Roman" w:hAnsi="Calibri" w:cs="Calibri"/>
          <w:lang w:eastAsia="en-IE"/>
        </w:rPr>
        <w:t xml:space="preserve">behaviour </w:t>
      </w:r>
      <w:r w:rsidR="00676C33" w:rsidRPr="00C66C24">
        <w:rPr>
          <w:rFonts w:ascii="Calibri" w:eastAsia="Times New Roman" w:hAnsi="Calibri" w:cs="Calibri"/>
          <w:lang w:eastAsia="en-IE"/>
        </w:rPr>
        <w:t xml:space="preserve">dependency </w:t>
      </w:r>
      <w:r w:rsidR="00AF2199" w:rsidRPr="00C66C24">
        <w:rPr>
          <w:rFonts w:ascii="Calibri" w:eastAsia="Times New Roman" w:hAnsi="Calibri" w:cs="Calibri"/>
          <w:lang w:eastAsia="en-IE"/>
        </w:rPr>
        <w:t xml:space="preserve">of the </w:t>
      </w:r>
      <w:r w:rsidR="00464F96" w:rsidRPr="00C66C24">
        <w:rPr>
          <w:rFonts w:ascii="Calibri" w:eastAsia="Times New Roman" w:hAnsi="Calibri" w:cs="Calibri"/>
          <w:lang w:eastAsia="en-IE"/>
        </w:rPr>
        <w:t>sce</w:t>
      </w:r>
      <w:r w:rsidR="00DF16D7" w:rsidRPr="00C66C24">
        <w:rPr>
          <w:rFonts w:ascii="Calibri" w:eastAsia="Times New Roman" w:hAnsi="Calibri" w:cs="Calibri"/>
          <w:lang w:eastAsia="en-IE"/>
        </w:rPr>
        <w:t>narios</w:t>
      </w:r>
      <w:r w:rsidR="00432FCB" w:rsidRPr="00C66C24">
        <w:rPr>
          <w:rFonts w:ascii="Calibri" w:eastAsia="Times New Roman" w:hAnsi="Calibri" w:cs="Calibri"/>
          <w:lang w:eastAsia="en-IE"/>
        </w:rPr>
        <w:t xml:space="preserve"> </w:t>
      </w:r>
      <w:r w:rsidR="00AF2199" w:rsidRPr="00C66C24">
        <w:rPr>
          <w:rFonts w:ascii="Calibri" w:eastAsia="Times New Roman" w:hAnsi="Calibri" w:cs="Calibri"/>
          <w:lang w:eastAsia="en-IE"/>
        </w:rPr>
        <w:t xml:space="preserve">output is also seen </w:t>
      </w:r>
      <w:r w:rsidR="00EB7EB2" w:rsidRPr="00C66C24">
        <w:rPr>
          <w:rFonts w:ascii="Calibri" w:eastAsia="Times New Roman" w:hAnsi="Calibri" w:cs="Calibri"/>
          <w:lang w:eastAsia="en-IE"/>
        </w:rPr>
        <w:t>when analysing the sound energy densities</w:t>
      </w:r>
      <w:r w:rsidR="00A21DFD" w:rsidRPr="00C66C24">
        <w:rPr>
          <w:rFonts w:ascii="Calibri" w:eastAsia="Times New Roman" w:hAnsi="Calibri" w:cs="Calibri"/>
          <w:lang w:eastAsia="en-IE"/>
        </w:rPr>
        <w:t>.</w:t>
      </w:r>
      <w:r w:rsidR="00005A89" w:rsidRPr="00C66C24">
        <w:rPr>
          <w:rFonts w:ascii="Calibri" w:eastAsia="Times New Roman" w:hAnsi="Calibri" w:cs="Calibri"/>
          <w:lang w:eastAsia="en-IE"/>
        </w:rPr>
        <w:t xml:space="preserve"> Results are being analysed and will be presented in the next version of the report.</w:t>
      </w:r>
    </w:p>
    <w:p w14:paraId="4276977B" w14:textId="39D57CE4" w:rsidR="00A87E59" w:rsidRPr="00C66C24" w:rsidRDefault="00A87E59" w:rsidP="008C6A9C">
      <w:pPr>
        <w:pStyle w:val="Heading2"/>
        <w:spacing w:line="257" w:lineRule="auto"/>
      </w:pPr>
      <w:bookmarkStart w:id="150" w:name="_Toc156316333"/>
      <w:bookmarkStart w:id="151" w:name="_Toc157762073"/>
      <w:r w:rsidRPr="00C66C24">
        <w:t>Marine litter and waste generation</w:t>
      </w:r>
      <w:bookmarkEnd w:id="150"/>
      <w:bookmarkEnd w:id="151"/>
    </w:p>
    <w:p w14:paraId="287774F2" w14:textId="71654D88" w:rsidR="14D4700F" w:rsidRPr="00C66C24" w:rsidRDefault="00765EEA" w:rsidP="008C6A9C">
      <w:pPr>
        <w:pStyle w:val="Heading3"/>
        <w:spacing w:line="257" w:lineRule="auto"/>
      </w:pPr>
      <w:bookmarkStart w:id="152" w:name="_Toc156316334"/>
      <w:bookmarkStart w:id="153" w:name="_Toc157762074"/>
      <w:r w:rsidRPr="00C66C24">
        <w:t xml:space="preserve">Marine litter, </w:t>
      </w:r>
      <w:r w:rsidR="0079708C" w:rsidRPr="00C66C24">
        <w:t xml:space="preserve">passively fished waste </w:t>
      </w:r>
      <w:r w:rsidR="00430291" w:rsidRPr="00C66C24">
        <w:t>and container l</w:t>
      </w:r>
      <w:r w:rsidRPr="00C66C24">
        <w:t>oss.</w:t>
      </w:r>
      <w:bookmarkEnd w:id="152"/>
      <w:bookmarkEnd w:id="153"/>
    </w:p>
    <w:p w14:paraId="608AED5F" w14:textId="76C161DC" w:rsidR="00FE0177" w:rsidRPr="00C66C24" w:rsidRDefault="00FE0177" w:rsidP="00344B1E">
      <w:pPr>
        <w:tabs>
          <w:tab w:val="left" w:pos="5505"/>
        </w:tabs>
        <w:spacing w:before="0" w:after="0" w:line="257" w:lineRule="auto"/>
        <w:textAlignment w:val="baseline"/>
        <w:rPr>
          <w:b/>
          <w:color w:val="000000" w:themeColor="text1"/>
        </w:rPr>
      </w:pPr>
      <w:r w:rsidRPr="00C66C24">
        <w:rPr>
          <w:b/>
          <w:color w:val="000000" w:themeColor="text1"/>
        </w:rPr>
        <w:t>Marine Litter</w:t>
      </w:r>
      <w:r w:rsidR="00344B1E" w:rsidRPr="00C66C24">
        <w:rPr>
          <w:b/>
          <w:color w:val="000000" w:themeColor="text1"/>
        </w:rPr>
        <w:tab/>
      </w:r>
    </w:p>
    <w:p w14:paraId="6CB5A142" w14:textId="55267965" w:rsidR="00FE0177" w:rsidRPr="00C66C24" w:rsidRDefault="00FE0177" w:rsidP="008C6A9C">
      <w:pPr>
        <w:spacing w:before="0" w:after="120" w:line="257" w:lineRule="auto"/>
        <w:rPr>
          <w:rFonts w:eastAsiaTheme="minorEastAsia" w:cstheme="minorBidi"/>
          <w:iCs w:val="0"/>
          <w:szCs w:val="22"/>
          <w:lang w:eastAsia="en-IE"/>
        </w:rPr>
      </w:pPr>
      <w:r w:rsidRPr="00C66C24">
        <w:rPr>
          <w:rFonts w:eastAsiaTheme="minorEastAsia" w:cstheme="minorBidi"/>
          <w:szCs w:val="22"/>
          <w:lang w:eastAsia="en-IE"/>
        </w:rPr>
        <w:t xml:space="preserve">Among all the </w:t>
      </w:r>
      <w:r w:rsidR="006F4CA4" w:rsidRPr="00C66C24">
        <w:rPr>
          <w:rFonts w:eastAsiaTheme="minorEastAsia" w:cstheme="minorBidi"/>
          <w:szCs w:val="22"/>
          <w:lang w:eastAsia="en-IE"/>
        </w:rPr>
        <w:t xml:space="preserve">marine </w:t>
      </w:r>
      <w:r w:rsidRPr="00C66C24">
        <w:rPr>
          <w:rFonts w:eastAsiaTheme="minorEastAsia" w:cstheme="minorBidi"/>
          <w:szCs w:val="22"/>
          <w:lang w:eastAsia="en-IE"/>
        </w:rPr>
        <w:t>litter affecting the European seas, 16% likely originate from maritime activities (</w:t>
      </w:r>
      <w:r w:rsidR="008C420D" w:rsidRPr="00C66C24">
        <w:rPr>
          <w:rFonts w:eastAsiaTheme="minorEastAsia" w:cstheme="minorBidi"/>
          <w:szCs w:val="22"/>
          <w:lang w:eastAsia="en-IE"/>
        </w:rPr>
        <w:t xml:space="preserve">see </w:t>
      </w:r>
      <w:r w:rsidR="001E0FB1" w:rsidRPr="00C66C24">
        <w:rPr>
          <w:rFonts w:eastAsiaTheme="minorEastAsia" w:cstheme="minorBidi"/>
          <w:szCs w:val="22"/>
          <w:lang w:eastAsia="en-IE"/>
        </w:rPr>
        <w:fldChar w:fldCharType="begin"/>
      </w:r>
      <w:r w:rsidR="001E0FB1" w:rsidRPr="00C66C24">
        <w:rPr>
          <w:rFonts w:eastAsiaTheme="minorEastAsia" w:cstheme="minorBidi"/>
          <w:szCs w:val="22"/>
          <w:lang w:eastAsia="en-IE"/>
        </w:rPr>
        <w:instrText xml:space="preserve"> REF _Ref156473673 \h  \* MERGEFORMAT </w:instrText>
      </w:r>
      <w:r w:rsidR="001E0FB1" w:rsidRPr="00C66C24">
        <w:rPr>
          <w:rFonts w:eastAsiaTheme="minorEastAsia" w:cstheme="minorBidi"/>
          <w:szCs w:val="22"/>
          <w:lang w:eastAsia="en-IE"/>
        </w:rPr>
      </w:r>
      <w:r w:rsidR="001E0FB1" w:rsidRPr="00C66C24">
        <w:rPr>
          <w:rFonts w:eastAsiaTheme="minorEastAsia" w:cstheme="minorBidi"/>
          <w:szCs w:val="22"/>
          <w:lang w:eastAsia="en-IE"/>
        </w:rPr>
        <w:fldChar w:fldCharType="separate"/>
      </w:r>
      <w:r w:rsidR="00390551" w:rsidRPr="00C66C24">
        <w:rPr>
          <w:szCs w:val="22"/>
        </w:rPr>
        <w:t xml:space="preserve">Figure </w:t>
      </w:r>
      <w:r w:rsidR="00390551" w:rsidRPr="00C66C24">
        <w:rPr>
          <w:noProof/>
          <w:szCs w:val="22"/>
        </w:rPr>
        <w:t>2.35</w:t>
      </w:r>
      <w:r w:rsidR="001E0FB1" w:rsidRPr="00C66C24">
        <w:rPr>
          <w:rFonts w:eastAsiaTheme="minorEastAsia" w:cstheme="minorBidi"/>
          <w:szCs w:val="22"/>
          <w:lang w:eastAsia="en-IE"/>
        </w:rPr>
        <w:fldChar w:fldCharType="end"/>
      </w:r>
      <w:r w:rsidR="00822274" w:rsidRPr="00C66C24">
        <w:rPr>
          <w:rFonts w:eastAsiaTheme="minorEastAsia" w:cstheme="minorBidi"/>
          <w:szCs w:val="22"/>
          <w:lang w:eastAsia="en-IE"/>
        </w:rPr>
        <w:fldChar w:fldCharType="begin"/>
      </w:r>
      <w:r w:rsidR="00822274" w:rsidRPr="00C66C24">
        <w:rPr>
          <w:rFonts w:eastAsiaTheme="minorEastAsia" w:cstheme="minorBidi"/>
          <w:szCs w:val="22"/>
          <w:lang w:eastAsia="en-IE"/>
        </w:rPr>
        <w:instrText xml:space="preserve"> REF _Ref156401529 \h  \* MERGEFORMAT </w:instrText>
      </w:r>
      <w:r w:rsidR="00822274" w:rsidRPr="00C66C24">
        <w:rPr>
          <w:rFonts w:eastAsiaTheme="minorEastAsia" w:cstheme="minorBidi"/>
          <w:szCs w:val="22"/>
          <w:lang w:eastAsia="en-IE"/>
        </w:rPr>
      </w:r>
      <w:r w:rsidR="00D77731" w:rsidRPr="00C66C24">
        <w:rPr>
          <w:rFonts w:eastAsiaTheme="minorEastAsia" w:cstheme="minorBidi"/>
          <w:szCs w:val="22"/>
          <w:lang w:eastAsia="en-IE"/>
        </w:rPr>
        <w:fldChar w:fldCharType="separate"/>
      </w:r>
      <w:r w:rsidR="00822274" w:rsidRPr="00C66C24">
        <w:rPr>
          <w:rFonts w:eastAsiaTheme="minorEastAsia" w:cstheme="minorBidi"/>
          <w:szCs w:val="22"/>
          <w:lang w:eastAsia="en-IE"/>
        </w:rPr>
        <w:fldChar w:fldCharType="end"/>
      </w:r>
      <w:r w:rsidRPr="00C66C24">
        <w:rPr>
          <w:rFonts w:eastAsiaTheme="minorEastAsia" w:cstheme="minorBidi"/>
          <w:iCs w:val="0"/>
          <w:szCs w:val="22"/>
          <w:lang w:eastAsia="en-IE"/>
        </w:rPr>
        <w:t>).</w:t>
      </w:r>
    </w:p>
    <w:p w14:paraId="0EF859C4" w14:textId="77777777" w:rsidR="00FE0177" w:rsidRPr="00C66C24" w:rsidRDefault="00FE0177" w:rsidP="000E3DB5">
      <w:pPr>
        <w:spacing w:after="120" w:line="257" w:lineRule="auto"/>
        <w:jc w:val="center"/>
        <w:rPr>
          <w:rFonts w:eastAsiaTheme="minorEastAsia" w:cstheme="minorBidi"/>
          <w:lang w:eastAsia="en-IE"/>
        </w:rPr>
      </w:pPr>
      <w:r w:rsidRPr="00C66C24">
        <w:rPr>
          <w:noProof/>
        </w:rPr>
        <w:drawing>
          <wp:inline distT="0" distB="0" distL="0" distR="0" wp14:anchorId="54E35325" wp14:editId="00F10960">
            <wp:extent cx="4257040" cy="2317750"/>
            <wp:effectExtent l="0" t="0" r="10160" b="6350"/>
            <wp:docPr id="2126800077" name="Chart 1">
              <a:extLst xmlns:a="http://schemas.openxmlformats.org/drawingml/2006/main">
                <a:ext uri="{FF2B5EF4-FFF2-40B4-BE49-F238E27FC236}">
                  <a16:creationId xmlns:a16="http://schemas.microsoft.com/office/drawing/2014/main" id="{DD171167-638D-4E1F-AC69-5CF72C2F8F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6898602F" w14:textId="15ED5694" w:rsidR="00FE0177" w:rsidRPr="00C66C24" w:rsidRDefault="00E76DC3" w:rsidP="008C6A9C">
      <w:pPr>
        <w:pStyle w:val="Caption"/>
        <w:spacing w:after="0" w:line="257" w:lineRule="auto"/>
        <w:jc w:val="center"/>
        <w:rPr>
          <w:sz w:val="20"/>
          <w:szCs w:val="20"/>
        </w:rPr>
      </w:pPr>
      <w:bookmarkStart w:id="154" w:name="_Ref156473673"/>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35</w:t>
      </w:r>
      <w:r w:rsidR="00A81F61" w:rsidRPr="00C66C24">
        <w:rPr>
          <w:sz w:val="20"/>
          <w:szCs w:val="20"/>
        </w:rPr>
        <w:fldChar w:fldCharType="end"/>
      </w:r>
      <w:bookmarkEnd w:id="154"/>
      <w:r w:rsidRPr="00C66C24">
        <w:rPr>
          <w:sz w:val="20"/>
          <w:szCs w:val="20"/>
        </w:rPr>
        <w:t xml:space="preserve"> Share of litter items likely originating from ‘maritime activities' in relation to the total litter recorded on beaches, by regional sea</w:t>
      </w:r>
    </w:p>
    <w:p w14:paraId="38AEDCD1" w14:textId="136A4577" w:rsidR="00FE0177" w:rsidRPr="00C66C24" w:rsidRDefault="00FE0177" w:rsidP="008C6A9C">
      <w:pPr>
        <w:spacing w:before="0" w:after="120" w:line="257" w:lineRule="auto"/>
        <w:jc w:val="center"/>
        <w:rPr>
          <w:sz w:val="20"/>
          <w:szCs w:val="20"/>
        </w:rPr>
      </w:pPr>
      <w:r w:rsidRPr="00C66C24">
        <w:rPr>
          <w:sz w:val="20"/>
          <w:szCs w:val="20"/>
        </w:rPr>
        <w:t xml:space="preserve">Source: Compiled survey data of ‘EMODnet European beach litter standardized, harmonized and validated datasets 2001/2022 v2023’ and ‘EEA </w:t>
      </w:r>
      <w:proofErr w:type="spellStart"/>
      <w:r w:rsidRPr="00C66C24">
        <w:rPr>
          <w:sz w:val="20"/>
          <w:szCs w:val="20"/>
        </w:rPr>
        <w:t>MarineLitterWatch</w:t>
      </w:r>
      <w:proofErr w:type="spellEnd"/>
      <w:r w:rsidRPr="00C66C24">
        <w:rPr>
          <w:sz w:val="20"/>
          <w:szCs w:val="20"/>
        </w:rPr>
        <w:t xml:space="preserve"> v2023’</w:t>
      </w:r>
      <w:r w:rsidR="004B02B7" w:rsidRPr="00C66C24">
        <w:rPr>
          <w:rStyle w:val="FootnoteReference"/>
        </w:rPr>
        <w:footnoteReference w:id="16"/>
      </w:r>
      <w:r w:rsidRPr="00C66C24">
        <w:rPr>
          <w:sz w:val="20"/>
          <w:szCs w:val="20"/>
        </w:rPr>
        <w:t>.</w:t>
      </w:r>
    </w:p>
    <w:p w14:paraId="51B59306" w14:textId="7E7E63AC" w:rsidR="00590B58" w:rsidRPr="00C66C24" w:rsidRDefault="00FE0177" w:rsidP="008C6A9C">
      <w:pPr>
        <w:spacing w:before="0" w:after="120" w:line="257" w:lineRule="auto"/>
        <w:rPr>
          <w:rFonts w:eastAsiaTheme="minorEastAsia" w:cstheme="minorBidi"/>
          <w:szCs w:val="22"/>
          <w:lang w:eastAsia="en-IE"/>
        </w:rPr>
      </w:pPr>
      <w:r w:rsidRPr="00C66C24">
        <w:rPr>
          <w:rFonts w:eastAsiaTheme="minorEastAsia" w:cstheme="minorBidi"/>
          <w:szCs w:val="22"/>
          <w:lang w:eastAsia="en-IE"/>
        </w:rPr>
        <w:t>Specifically for the categories of ‘shipping’ and ‘fisheries and mariculture’</w:t>
      </w:r>
      <w:r w:rsidR="00D72B86" w:rsidRPr="00C66C24">
        <w:rPr>
          <w:rFonts w:eastAsiaTheme="minorEastAsia" w:cstheme="minorBidi"/>
          <w:szCs w:val="22"/>
          <w:lang w:eastAsia="en-IE"/>
        </w:rPr>
        <w:t>,</w:t>
      </w:r>
      <w:r w:rsidRPr="00C66C24">
        <w:rPr>
          <w:rFonts w:eastAsiaTheme="minorEastAsia" w:cstheme="minorBidi"/>
          <w:szCs w:val="22"/>
          <w:lang w:eastAsia="en-IE"/>
        </w:rPr>
        <w:t xml:space="preserve"> 11% of European beach litter can be attributed to the latter and 2% to the former</w:t>
      </w:r>
      <w:r w:rsidR="00D72B86" w:rsidRPr="00C66C24">
        <w:rPr>
          <w:rFonts w:eastAsiaTheme="minorEastAsia" w:cstheme="minorBidi"/>
          <w:szCs w:val="22"/>
          <w:lang w:eastAsia="en-IE"/>
        </w:rPr>
        <w:t xml:space="preserve"> (see </w:t>
      </w:r>
      <w:r w:rsidR="00330289" w:rsidRPr="00C66C24">
        <w:rPr>
          <w:rFonts w:eastAsiaTheme="minorEastAsia" w:cstheme="minorBidi"/>
          <w:szCs w:val="22"/>
          <w:lang w:eastAsia="en-IE"/>
        </w:rPr>
        <w:fldChar w:fldCharType="begin"/>
      </w:r>
      <w:r w:rsidR="00330289" w:rsidRPr="00C66C24">
        <w:rPr>
          <w:rFonts w:eastAsiaTheme="minorEastAsia" w:cstheme="minorBidi"/>
          <w:szCs w:val="22"/>
          <w:lang w:eastAsia="en-IE"/>
        </w:rPr>
        <w:instrText xml:space="preserve"> REF _Ref156404636 \h  \* MERGEFORMAT </w:instrText>
      </w:r>
      <w:r w:rsidR="00330289" w:rsidRPr="00C66C24">
        <w:rPr>
          <w:rFonts w:eastAsiaTheme="minorEastAsia" w:cstheme="minorBidi"/>
          <w:szCs w:val="22"/>
          <w:lang w:eastAsia="en-IE"/>
        </w:rPr>
      </w:r>
      <w:r w:rsidR="00330289" w:rsidRPr="00C66C24">
        <w:rPr>
          <w:rFonts w:eastAsiaTheme="minorEastAsia" w:cstheme="minorBidi"/>
          <w:szCs w:val="22"/>
          <w:lang w:eastAsia="en-IE"/>
        </w:rPr>
        <w:fldChar w:fldCharType="separate"/>
      </w:r>
      <w:r w:rsidR="00330289" w:rsidRPr="00C66C24">
        <w:rPr>
          <w:szCs w:val="22"/>
        </w:rPr>
        <w:t xml:space="preserve">Figure </w:t>
      </w:r>
      <w:r w:rsidR="00330289" w:rsidRPr="00C66C24">
        <w:rPr>
          <w:noProof/>
          <w:szCs w:val="22"/>
        </w:rPr>
        <w:t>2</w:t>
      </w:r>
      <w:r w:rsidR="00330289" w:rsidRPr="00C66C24">
        <w:rPr>
          <w:szCs w:val="22"/>
        </w:rPr>
        <w:t>.</w:t>
      </w:r>
      <w:r w:rsidR="00330289" w:rsidRPr="00C66C24">
        <w:rPr>
          <w:noProof/>
          <w:szCs w:val="22"/>
        </w:rPr>
        <w:t>31</w:t>
      </w:r>
      <w:r w:rsidR="00330289" w:rsidRPr="00C66C24">
        <w:rPr>
          <w:rFonts w:eastAsiaTheme="minorEastAsia" w:cstheme="minorBidi"/>
          <w:szCs w:val="22"/>
          <w:lang w:eastAsia="en-IE"/>
        </w:rPr>
        <w:fldChar w:fldCharType="end"/>
      </w:r>
      <w:r w:rsidR="004E7BF8" w:rsidRPr="00C66C24">
        <w:rPr>
          <w:rFonts w:eastAsiaTheme="minorEastAsia" w:cstheme="minorBidi"/>
          <w:szCs w:val="22"/>
          <w:lang w:eastAsia="en-IE"/>
        </w:rPr>
        <w:fldChar w:fldCharType="begin"/>
      </w:r>
      <w:r w:rsidR="004E7BF8" w:rsidRPr="00C66C24">
        <w:rPr>
          <w:rFonts w:eastAsiaTheme="minorEastAsia" w:cstheme="minorBidi"/>
          <w:szCs w:val="22"/>
          <w:lang w:eastAsia="en-IE"/>
        </w:rPr>
        <w:instrText xml:space="preserve"> REF _Ref156404636 \h </w:instrText>
      </w:r>
      <w:r w:rsidR="004E7BF8" w:rsidRPr="00C66C24">
        <w:rPr>
          <w:rFonts w:eastAsiaTheme="minorEastAsia" w:cstheme="minorBidi"/>
          <w:szCs w:val="22"/>
          <w:lang w:eastAsia="en-IE"/>
        </w:rPr>
      </w:r>
      <w:r w:rsidR="00D77731" w:rsidRPr="00C66C24">
        <w:rPr>
          <w:rFonts w:eastAsiaTheme="minorEastAsia" w:cstheme="minorBidi"/>
          <w:szCs w:val="22"/>
          <w:lang w:eastAsia="en-IE"/>
        </w:rPr>
        <w:fldChar w:fldCharType="separate"/>
      </w:r>
      <w:r w:rsidR="004E7BF8" w:rsidRPr="00C66C24">
        <w:rPr>
          <w:rFonts w:eastAsiaTheme="minorEastAsia" w:cstheme="minorBidi"/>
          <w:szCs w:val="22"/>
          <w:lang w:eastAsia="en-IE"/>
        </w:rPr>
        <w:fldChar w:fldCharType="end"/>
      </w:r>
      <w:r w:rsidR="00D72B86" w:rsidRPr="00C66C24">
        <w:rPr>
          <w:rFonts w:eastAsiaTheme="minorEastAsia" w:cstheme="minorBidi"/>
          <w:szCs w:val="22"/>
          <w:lang w:eastAsia="en-IE"/>
        </w:rPr>
        <w:t>)</w:t>
      </w:r>
      <w:r w:rsidRPr="00C66C24">
        <w:rPr>
          <w:rFonts w:eastAsiaTheme="minorEastAsia" w:cstheme="minorBidi"/>
          <w:szCs w:val="22"/>
          <w:lang w:eastAsia="en-IE"/>
        </w:rPr>
        <w:t>. Shipping-originating litter varies in share between 1% (Black Sea and North-East Atlantic Ocean) and 3% (Baltic Sea). For fisheries and mariculture originating litter, it is the most abundant in the North-East Atlantic Ocean with 19% share; and the least abundant in the Black Sea with 3% share.</w:t>
      </w:r>
    </w:p>
    <w:p w14:paraId="7CE99671" w14:textId="77777777" w:rsidR="00FE0177" w:rsidRPr="00C66C24" w:rsidRDefault="00FE0177" w:rsidP="00A45637">
      <w:pPr>
        <w:spacing w:after="0" w:line="257" w:lineRule="auto"/>
        <w:jc w:val="center"/>
      </w:pPr>
      <w:r w:rsidRPr="00C66C24">
        <w:rPr>
          <w:noProof/>
        </w:rPr>
        <w:drawing>
          <wp:inline distT="0" distB="0" distL="0" distR="0" wp14:anchorId="17198EB5" wp14:editId="3A36DB22">
            <wp:extent cx="5041900" cy="2762250"/>
            <wp:effectExtent l="0" t="0" r="6350" b="0"/>
            <wp:docPr id="1205268431" name="Chart 1">
              <a:extLst xmlns:a="http://schemas.openxmlformats.org/drawingml/2006/main">
                <a:ext uri="{FF2B5EF4-FFF2-40B4-BE49-F238E27FC236}">
                  <a16:creationId xmlns:a16="http://schemas.microsoft.com/office/drawing/2014/main" id="{352CDED5-E059-4149-B113-B848D9CFE2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283D78CB" w14:textId="49A4435A" w:rsidR="00FE0177" w:rsidRPr="00C66C24" w:rsidRDefault="00FE0177" w:rsidP="008C6A9C">
      <w:pPr>
        <w:pStyle w:val="Caption"/>
        <w:spacing w:after="0" w:line="257" w:lineRule="auto"/>
        <w:jc w:val="center"/>
        <w:rPr>
          <w:rStyle w:val="eop"/>
          <w:sz w:val="20"/>
          <w:szCs w:val="20"/>
        </w:rPr>
      </w:pPr>
      <w:bookmarkStart w:id="155" w:name="_Ref156404636"/>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36</w:t>
      </w:r>
      <w:r w:rsidR="00A81F61" w:rsidRPr="00C66C24">
        <w:rPr>
          <w:sz w:val="20"/>
          <w:szCs w:val="20"/>
        </w:rPr>
        <w:fldChar w:fldCharType="end"/>
      </w:r>
      <w:bookmarkEnd w:id="155"/>
      <w:r w:rsidRPr="00C66C24">
        <w:rPr>
          <w:sz w:val="20"/>
          <w:szCs w:val="20"/>
        </w:rPr>
        <w:t xml:space="preserve"> Share of litter items likely originating from 'shipping' and ‘fisheries and mariculture' in relation to the total litter recorded on beaches, by regional sea</w:t>
      </w:r>
      <w:r w:rsidR="004E7BF8" w:rsidRPr="00C66C24">
        <w:rPr>
          <w:sz w:val="20"/>
          <w:szCs w:val="20"/>
        </w:rPr>
        <w:t>.</w:t>
      </w:r>
    </w:p>
    <w:p w14:paraId="594FD471" w14:textId="11D09963" w:rsidR="00FE0177" w:rsidRPr="00C66C24" w:rsidRDefault="00FE0177" w:rsidP="008C6A9C">
      <w:pPr>
        <w:spacing w:before="0" w:after="120" w:line="257" w:lineRule="auto"/>
        <w:jc w:val="center"/>
        <w:textAlignment w:val="baseline"/>
        <w:rPr>
          <w:iCs w:val="0"/>
          <w:sz w:val="20"/>
          <w:szCs w:val="20"/>
        </w:rPr>
      </w:pPr>
      <w:r w:rsidRPr="00C66C24">
        <w:rPr>
          <w:iCs w:val="0"/>
          <w:sz w:val="20"/>
          <w:szCs w:val="20"/>
        </w:rPr>
        <w:t xml:space="preserve">Source: Compiled survey data of ‘EMODnet European beach litter standardized, harmonized and validated datasets 2001/2022 v2023’ and ‘EEA </w:t>
      </w:r>
      <w:proofErr w:type="spellStart"/>
      <w:r w:rsidRPr="00C66C24">
        <w:rPr>
          <w:iCs w:val="0"/>
          <w:sz w:val="20"/>
          <w:szCs w:val="20"/>
        </w:rPr>
        <w:t>MarineLitterWatch</w:t>
      </w:r>
      <w:proofErr w:type="spellEnd"/>
      <w:r w:rsidRPr="00C66C24">
        <w:rPr>
          <w:iCs w:val="0"/>
          <w:sz w:val="20"/>
          <w:szCs w:val="20"/>
        </w:rPr>
        <w:t xml:space="preserve"> v2023</w:t>
      </w:r>
      <w:r w:rsidR="006132E6" w:rsidRPr="00C66C24">
        <w:rPr>
          <w:rStyle w:val="FootnoteReference"/>
        </w:rPr>
        <w:footnoteReference w:id="17"/>
      </w:r>
      <w:r w:rsidRPr="00C66C24">
        <w:rPr>
          <w:iCs w:val="0"/>
          <w:sz w:val="20"/>
          <w:szCs w:val="20"/>
        </w:rPr>
        <w:t>.</w:t>
      </w:r>
    </w:p>
    <w:p w14:paraId="39B5831C" w14:textId="58F8D5D0" w:rsidR="00590B58" w:rsidRPr="00C66C24" w:rsidRDefault="00FE0177" w:rsidP="008C6A9C">
      <w:pPr>
        <w:spacing w:before="0" w:after="120" w:line="257" w:lineRule="auto"/>
      </w:pPr>
      <w:r w:rsidRPr="00C66C24">
        <w:t>Temporal trends are detected in the abundance of beach litter originating</w:t>
      </w:r>
      <w:r w:rsidR="00E03C53" w:rsidRPr="00C66C24">
        <w:t xml:space="preserve"> from</w:t>
      </w:r>
      <w:r w:rsidRPr="00C66C24">
        <w:t xml:space="preserve"> maritime activities</w:t>
      </w:r>
      <w:r w:rsidR="0035235A" w:rsidRPr="00C66C24">
        <w:t xml:space="preserve"> (see </w:t>
      </w:r>
      <w:r w:rsidR="0035235A" w:rsidRPr="00C66C24">
        <w:fldChar w:fldCharType="begin"/>
      </w:r>
      <w:r w:rsidR="0035235A" w:rsidRPr="00C66C24">
        <w:instrText xml:space="preserve"> REF _Ref156404763 \h </w:instrText>
      </w:r>
      <w:r w:rsidR="00390F41" w:rsidRPr="00C66C24">
        <w:instrText xml:space="preserve"> \* MERGEFORMAT </w:instrText>
      </w:r>
      <w:r w:rsidR="0035235A" w:rsidRPr="00C66C24">
        <w:fldChar w:fldCharType="separate"/>
      </w:r>
      <w:r w:rsidR="00390F41" w:rsidRPr="00C66C24">
        <w:t>Figure 2.37</w:t>
      </w:r>
      <w:r w:rsidR="0035235A" w:rsidRPr="00C66C24">
        <w:fldChar w:fldCharType="end"/>
      </w:r>
      <w:r w:rsidR="007371C8" w:rsidRPr="00C66C24">
        <w:t>)</w:t>
      </w:r>
      <w:r w:rsidRPr="00C66C24">
        <w:t xml:space="preserve">. In a decade, the abundance of such litter has more than halved from 28 items per 100 m in 2013 to 14 items per 100 m in 2022. The trend of decrease has been particularly pronounced since 2018. These </w:t>
      </w:r>
      <w:r w:rsidR="002B6C61">
        <w:t>figures</w:t>
      </w:r>
      <w:r w:rsidRPr="00C66C24">
        <w:t xml:space="preserve"> follow general trends of decreasing beach litter abundance, as detected by the MSFD beach monitoring.</w:t>
      </w:r>
    </w:p>
    <w:p w14:paraId="11C8ED25" w14:textId="77777777" w:rsidR="00FE0177" w:rsidRPr="00C66C24" w:rsidRDefault="00FE0177" w:rsidP="00A45637">
      <w:pPr>
        <w:spacing w:line="257" w:lineRule="auto"/>
        <w:jc w:val="center"/>
      </w:pPr>
      <w:r w:rsidRPr="00C66C24">
        <w:rPr>
          <w:noProof/>
        </w:rPr>
        <w:drawing>
          <wp:inline distT="0" distB="0" distL="0" distR="0" wp14:anchorId="53C8D97C" wp14:editId="6F8A2D73">
            <wp:extent cx="4955540" cy="2349500"/>
            <wp:effectExtent l="0" t="0" r="16510" b="12700"/>
            <wp:docPr id="1091812966" name="Chart 1">
              <a:extLst xmlns:a="http://schemas.openxmlformats.org/drawingml/2006/main">
                <a:ext uri="{FF2B5EF4-FFF2-40B4-BE49-F238E27FC236}">
                  <a16:creationId xmlns:a16="http://schemas.microsoft.com/office/drawing/2014/main" id="{0F8D17EC-BE2B-D1C0-1F07-0D0CF52CD7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643E5E49" w14:textId="17869A6D" w:rsidR="00FE0177" w:rsidRPr="00C66C24" w:rsidRDefault="00FE0177" w:rsidP="008C6A9C">
      <w:pPr>
        <w:pStyle w:val="Caption"/>
        <w:spacing w:after="0" w:line="257" w:lineRule="auto"/>
        <w:jc w:val="center"/>
        <w:rPr>
          <w:sz w:val="20"/>
          <w:szCs w:val="20"/>
        </w:rPr>
      </w:pPr>
      <w:bookmarkStart w:id="156" w:name="_Ref156404763"/>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37</w:t>
      </w:r>
      <w:r w:rsidR="00A81F61" w:rsidRPr="00C66C24">
        <w:rPr>
          <w:sz w:val="20"/>
          <w:szCs w:val="20"/>
        </w:rPr>
        <w:fldChar w:fldCharType="end"/>
      </w:r>
      <w:bookmarkEnd w:id="156"/>
      <w:r w:rsidRPr="00C66C24">
        <w:rPr>
          <w:sz w:val="20"/>
          <w:szCs w:val="20"/>
        </w:rPr>
        <w:t xml:space="preserve"> Temporal distribution of litter items likely originating from maritime activities, 'shipping' and 'fisheries and mariculture', by year</w:t>
      </w:r>
      <w:r w:rsidR="00820A6A" w:rsidRPr="00C66C24">
        <w:rPr>
          <w:sz w:val="20"/>
          <w:szCs w:val="20"/>
        </w:rPr>
        <w:t>.</w:t>
      </w:r>
    </w:p>
    <w:p w14:paraId="220E07E6" w14:textId="58D275A1" w:rsidR="00590B58" w:rsidRPr="00C66C24" w:rsidRDefault="00FE0177" w:rsidP="00A45637">
      <w:pPr>
        <w:pStyle w:val="Caption"/>
        <w:spacing w:after="120" w:line="257" w:lineRule="auto"/>
        <w:jc w:val="center"/>
        <w:rPr>
          <w:b w:val="0"/>
          <w:bCs/>
          <w:color w:val="000000" w:themeColor="text1"/>
          <w:sz w:val="20"/>
          <w:szCs w:val="20"/>
        </w:rPr>
      </w:pPr>
      <w:r w:rsidRPr="00C66C24">
        <w:rPr>
          <w:b w:val="0"/>
          <w:bCs/>
          <w:color w:val="000000" w:themeColor="text1"/>
          <w:sz w:val="20"/>
          <w:szCs w:val="20"/>
        </w:rPr>
        <w:t xml:space="preserve">Source: Compiled survey data of ‘EMODnet European beach litter standardized, harmonized and validated datasets 2001/2022 v2023’ and ‘EEA </w:t>
      </w:r>
      <w:proofErr w:type="spellStart"/>
      <w:r w:rsidRPr="00C66C24">
        <w:rPr>
          <w:b w:val="0"/>
          <w:bCs/>
          <w:color w:val="000000" w:themeColor="text1"/>
          <w:sz w:val="20"/>
          <w:szCs w:val="20"/>
        </w:rPr>
        <w:t>MarineLitterWatch</w:t>
      </w:r>
      <w:proofErr w:type="spellEnd"/>
      <w:r w:rsidRPr="00C66C24">
        <w:rPr>
          <w:b w:val="0"/>
          <w:bCs/>
          <w:color w:val="000000" w:themeColor="text1"/>
          <w:sz w:val="20"/>
          <w:szCs w:val="20"/>
        </w:rPr>
        <w:t xml:space="preserve"> v2023’</w:t>
      </w:r>
      <w:r w:rsidR="00590B58" w:rsidRPr="00C66C24">
        <w:rPr>
          <w:rStyle w:val="FootnoteReference"/>
          <w:b w:val="0"/>
          <w:bCs/>
          <w:color w:val="000000" w:themeColor="text1"/>
        </w:rPr>
        <w:footnoteReference w:id="18"/>
      </w:r>
      <w:r w:rsidRPr="00C66C24">
        <w:rPr>
          <w:b w:val="0"/>
          <w:bCs/>
          <w:color w:val="000000" w:themeColor="text1"/>
          <w:sz w:val="20"/>
          <w:szCs w:val="20"/>
        </w:rPr>
        <w:t>.</w:t>
      </w:r>
    </w:p>
    <w:p w14:paraId="73DA31E9" w14:textId="77777777" w:rsidR="0052449A" w:rsidRDefault="0052449A" w:rsidP="05889709">
      <w:pPr>
        <w:spacing w:before="0" w:after="0" w:line="257" w:lineRule="auto"/>
        <w:rPr>
          <w:b/>
          <w:bCs/>
        </w:rPr>
      </w:pPr>
    </w:p>
    <w:p w14:paraId="0A8D1434" w14:textId="0188B025" w:rsidR="0BB0739D" w:rsidRPr="00C66C24" w:rsidRDefault="0BB0739D" w:rsidP="05889709">
      <w:pPr>
        <w:spacing w:before="0" w:after="0" w:line="257" w:lineRule="auto"/>
        <w:rPr>
          <w:b/>
          <w:bCs/>
        </w:rPr>
      </w:pPr>
      <w:r w:rsidRPr="00C66C24">
        <w:rPr>
          <w:b/>
          <w:bCs/>
        </w:rPr>
        <w:t>Microplastic pollution</w:t>
      </w:r>
    </w:p>
    <w:p w14:paraId="3AE124EB" w14:textId="506FCBEE" w:rsidR="00FE0177" w:rsidRPr="00C66C24" w:rsidRDefault="00FE0177" w:rsidP="008C6A9C">
      <w:pPr>
        <w:spacing w:before="0" w:after="0" w:line="257" w:lineRule="auto"/>
      </w:pPr>
      <w:r w:rsidRPr="00C66C24">
        <w:t xml:space="preserve">Microplastics from shipping are generated after routine ship hull cleaning, mishandling of cargo comprising plastic items or accidental spills of industrial plastic resin pellets </w:t>
      </w:r>
      <w:r w:rsidRPr="00C66C24">
        <w:fldChar w:fldCharType="begin"/>
      </w:r>
      <w:r w:rsidR="001855E3" w:rsidRPr="00C66C24">
        <w:instrText xml:space="preserve"> ADDIN ZOTERO_ITEM CSL_CITATION {"citationID":"a1m7c72s214","properties":{"formattedCitation":"(GESAMP, 2021)","plainCitation":"(GESAMP, 2021)","noteIndex":0},"citationItems":[{"id":58926,"uris":["http://zotero.org/groups/122386/items/MMA5RF7D"],"itemData":{"id":58926,"type":"webpage","title":"WG 43: Sea-based sources of marine litter | GESAMP","URL":"http://www.gesamp.org/work/groups/wg-43-on-sea-based-sources-of-marine-litter","author":[{"literal":"GESAMP"}],"accessed":{"date-parts":[["2024",1,16]]},"issued":{"date-parts":[["2021"]]}}}],"schema":"https://github.com/citation-style-language/schema/raw/master/csl-citation.json"} </w:instrText>
      </w:r>
      <w:r w:rsidRPr="00C66C24">
        <w:fldChar w:fldCharType="separate"/>
      </w:r>
      <w:r w:rsidR="001855E3" w:rsidRPr="00C66C24">
        <w:rPr>
          <w:rFonts w:ascii="Calibri" w:hAnsi="Calibri" w:cs="Calibri"/>
        </w:rPr>
        <w:t>(GESAMP, 2021)</w:t>
      </w:r>
      <w:r w:rsidRPr="00C66C24">
        <w:fldChar w:fldCharType="end"/>
      </w:r>
      <w:r w:rsidRPr="00C66C24">
        <w:t xml:space="preserve"> or plastic polymers in solution </w:t>
      </w:r>
      <w:r w:rsidRPr="00C66C24">
        <w:fldChar w:fldCharType="begin"/>
      </w:r>
      <w:r w:rsidR="001855E3" w:rsidRPr="00C66C24">
        <w:instrText xml:space="preserve"> ADDIN ZOTERO_ITEM CSL_CITATION {"citationID":"a1cioffm0fm","properties":{"formattedCitation":"(Suaria et al., 2018)","plainCitation":"(Suaria et al., 2018)","noteIndex":0},"citationItems":[{"id":58927,"uris":["http://zotero.org/groups/122386/items/52FU5IWG"],"itemData":{"id":58927,"type":"article-journal","abstract":"Among the various materials that make up marine debris, lumps of petroleum waxes such as paraffin and microcrystalline wax, are regularly found on beaches worldwide, although not included in the current definition of marine litter. Ingestion by marine organisms is occasionally documented in the scientific literature and mass beaching events are frequently reported along the European coasts, with obvious detrimental consequences to the local communities that have to manage the clean-up and disposal of this substance. According to Annex II of the MARPOL regulation, petroleum waxes are classified as “high viscosity, solidifying, and persistent floating products,” whose discharge at sea of tank-washing residues is strictly regulated, but currently permitted within certain limits. Starting from the description of a large stranding event occurred along the Italian coasts in 2017, we review the existing knowledge and regulatory framework and urge the relevant authorities to address this issue, showing that wax pollution is creating evident damages to the European coastal municipalities. Pending further investigations on the potential hazard that this kind of pollution is posing to marine ecosystems, we suggest a careful and more stringent revision of the policies regulating discharges of these products at sea.","container-title":"Frontiers in Marine Science","ISSN":"2296-7745","source":"Frontiers","title":"The Occurrence of Paraffin and Other Petroleum Waxes in the Marine Environment: A Review of the Current Legislative Framework and Shipping Operational Practices","title-short":"The Occurrence of Paraffin and Other Petroleum Waxes in the Marine Environment","URL":"https://www.frontiersin.org/articles/10.3389/fmars.2018.00094","volume":"5","author":[{"family":"Suaria","given":"Giuseppe"},{"family":"Aliani","given":"Stefano"},{"family":"Merlino","given":"Silvia"},{"family":"Abbate","given":"Marinella"}],"accessed":{"date-parts":[["2024",1,16]]},"issued":{"date-parts":[["2018"]]}}}],"schema":"https://github.com/citation-style-language/schema/raw/master/csl-citation.json"} </w:instrText>
      </w:r>
      <w:r w:rsidRPr="00C66C24">
        <w:fldChar w:fldCharType="separate"/>
      </w:r>
      <w:r w:rsidR="001855E3" w:rsidRPr="00C66C24">
        <w:rPr>
          <w:rFonts w:ascii="Calibri" w:hAnsi="Calibri" w:cs="Calibri"/>
        </w:rPr>
        <w:t>(</w:t>
      </w:r>
      <w:proofErr w:type="spellStart"/>
      <w:r w:rsidR="001855E3" w:rsidRPr="00C66C24">
        <w:rPr>
          <w:rFonts w:ascii="Calibri" w:hAnsi="Calibri" w:cs="Calibri"/>
        </w:rPr>
        <w:t>Suaria</w:t>
      </w:r>
      <w:proofErr w:type="spellEnd"/>
      <w:r w:rsidR="001855E3" w:rsidRPr="00C66C24">
        <w:rPr>
          <w:rFonts w:ascii="Calibri" w:hAnsi="Calibri" w:cs="Calibri"/>
        </w:rPr>
        <w:t xml:space="preserve"> et al., 2018)</w:t>
      </w:r>
      <w:r w:rsidRPr="00C66C24">
        <w:fldChar w:fldCharType="end"/>
      </w:r>
      <w:r w:rsidRPr="00C66C24">
        <w:t>.</w:t>
      </w:r>
    </w:p>
    <w:p w14:paraId="6A52249C" w14:textId="5DFAC93B" w:rsidR="00FE0177" w:rsidRPr="00C66C24" w:rsidRDefault="00FE0177" w:rsidP="008C6A9C">
      <w:pPr>
        <w:spacing w:before="0" w:after="0" w:line="257" w:lineRule="auto"/>
      </w:pPr>
      <w:r w:rsidRPr="00C66C24">
        <w:t xml:space="preserve">Recent findings show that the most important source of microplastics originating from shipping is from paints. In 2019, 1 374 kt of plastic were used globally to make marine paint. 66% of the total paint used in the marine sector eventually leaks into the environment, including 911 kt of plastic. Of this plastic, 816 kt would leak into oceans and waterways. 65% of the total leakage would be in the form of microplastic  </w:t>
      </w:r>
      <w:r w:rsidRPr="00C66C24">
        <w:fldChar w:fldCharType="begin"/>
      </w:r>
      <w:r w:rsidR="001855E3" w:rsidRPr="00C66C24">
        <w:instrText xml:space="preserve"> ADDIN ZOTERO_ITEM CSL_CITATION {"citationID":"avbnh38f3u","properties":{"formattedCitation":"\\uldash{(Environmental action, n.d.)}","plainCitation":"(Environmental action, n.d.)","dontUpdate":true,"noteIndex":0},"citationItems":[{"id":58924,"uris":["http://zotero.org/groups/122386/items/YYJJP2EE"],"itemData":{"id":58924,"type":"webpage","title":"The release of plastic paints in the environment","URL":"https://www.e-a.earth/plastic-paints-the-environment/","author":[{"literal":"Environmental action"}],"accessed":{"date-parts":[["2024",1,16]]},"issued":{"date-parts":[["2022"]]}}}],"schema":"https://github.com/citation-style-language/schema/raw/master/csl-citation.json"} </w:instrText>
      </w:r>
      <w:r w:rsidRPr="00C66C24">
        <w:fldChar w:fldCharType="separate"/>
      </w:r>
      <w:r w:rsidRPr="00C66C24">
        <w:rPr>
          <w:rFonts w:ascii="Calibri" w:hAnsi="Calibri" w:cs="Calibri"/>
        </w:rPr>
        <w:t>(Environmental action, 2022)</w:t>
      </w:r>
      <w:r w:rsidRPr="00C66C24">
        <w:fldChar w:fldCharType="end"/>
      </w:r>
      <w:r w:rsidRPr="00C66C24">
        <w:t>. While most leakage takes place in Asia-Pacific, where 96% of commercial ships are dismantled, the European environment is also pressured by leakages directly from the hull exteriors. Moreover, 56% of the global commercial ship fleet is owned by the European countries, thus making European enterprises contributing significantly to this type of plastic input into the sea</w:t>
      </w:r>
      <w:r w:rsidR="00150093" w:rsidRPr="00C66C24">
        <w:t xml:space="preserve"> </w:t>
      </w:r>
      <w:r w:rsidR="00150093" w:rsidRPr="00C66C24">
        <w:fldChar w:fldCharType="begin"/>
      </w:r>
      <w:r w:rsidR="001855E3" w:rsidRPr="00C66C24">
        <w:instrText xml:space="preserve"> ADDIN ZOTERO_ITEM CSL_CITATION {"citationID":"a1s5ebicmsu","properties":{"formattedCitation":"(Environmental action, 2022)","plainCitation":"(Environmental action, 2022)","noteIndex":0},"citationItems":[{"id":58924,"uris":["http://zotero.org/groups/122386/items/YYJJP2EE"],"itemData":{"id":58924,"type":"webpage","title":"The release of plastic paints in the environment","URL":"https://www.e-a.earth/plastic-paints-the-environment/","author":[{"literal":"Environmental action"}],"accessed":{"date-parts":[["2024",1,16]]},"issued":{"date-parts":[["2022"]]}}}],"schema":"https://github.com/citation-style-language/schema/raw/master/csl-citation.json"} </w:instrText>
      </w:r>
      <w:r w:rsidR="00150093" w:rsidRPr="00C66C24">
        <w:fldChar w:fldCharType="separate"/>
      </w:r>
      <w:r w:rsidR="001855E3" w:rsidRPr="00C66C24">
        <w:rPr>
          <w:rFonts w:ascii="Calibri" w:hAnsi="Calibri" w:cs="Calibri"/>
        </w:rPr>
        <w:t>(Environmental action, 2022)</w:t>
      </w:r>
      <w:r w:rsidR="00150093" w:rsidRPr="00C66C24">
        <w:fldChar w:fldCharType="end"/>
      </w:r>
      <w:r w:rsidRPr="00C66C24">
        <w:t>.</w:t>
      </w:r>
    </w:p>
    <w:p w14:paraId="69D097D8" w14:textId="5A1A289D" w:rsidR="00F775FB" w:rsidRPr="00C66C24" w:rsidRDefault="00FE0177" w:rsidP="00A45637">
      <w:pPr>
        <w:spacing w:before="0" w:after="120" w:line="257" w:lineRule="auto"/>
      </w:pPr>
      <w:r w:rsidRPr="00C66C24">
        <w:t xml:space="preserve">In addition to paint, grey water from ships can also be an important source of microplastics from shipping </w:t>
      </w:r>
      <w:r w:rsidRPr="00C66C24">
        <w:fldChar w:fldCharType="begin"/>
      </w:r>
      <w:r w:rsidR="001855E3" w:rsidRPr="00C66C24">
        <w:instrText xml:space="preserve"> ADDIN ZOTERO_ITEM CSL_CITATION {"citationID":"a2an6knilhu","properties":{"formattedCitation":"(Peng et al., 2022)","plainCitation":"(Peng et al., 2022)","noteIndex":0},"citationItems":[{"id":58923,"uris":["http://zotero.org/groups/122386/items/DCEV8R9W"],"itemData":{"id":58923,"type":"article-journal","container-title":"Environmental Science &amp; Technology","DOI":"10.1021/acs.est.1c05446","ISSN":"1520-5851","issue":"1","journalAbbreviation":"Environ Sci Technol","language":"eng","note":"PMID: 34898179","page":"4-7","source":"PubMed","title":"Gray Water from Ships: A Significant Sea-Based Source of Microplastics?","title-short":"Gray Water from Ships","volume":"56","author":[{"family":"Peng","given":"Guyu"},{"family":"Xu","given":"Baile"},{"family":"Li","given":"Daoji"}],"issued":{"date-parts":[["2022",1,4]]}}}],"schema":"https://github.com/citation-style-language/schema/raw/master/csl-citation.json"} </w:instrText>
      </w:r>
      <w:r w:rsidRPr="00C66C24">
        <w:fldChar w:fldCharType="separate"/>
      </w:r>
      <w:r w:rsidR="001855E3" w:rsidRPr="00C66C24">
        <w:rPr>
          <w:rFonts w:ascii="Calibri" w:hAnsi="Calibri" w:cs="Calibri"/>
        </w:rPr>
        <w:t>(Peng et al., 2022)</w:t>
      </w:r>
      <w:r w:rsidRPr="00C66C24">
        <w:fldChar w:fldCharType="end"/>
      </w:r>
      <w:r w:rsidRPr="00C66C24">
        <w:t>.</w:t>
      </w:r>
    </w:p>
    <w:p w14:paraId="223FB05F" w14:textId="2DA870E6" w:rsidR="00F775FB" w:rsidRPr="00C66C24" w:rsidRDefault="00F775FB" w:rsidP="008C6A9C">
      <w:pPr>
        <w:spacing w:before="0" w:after="0" w:line="257" w:lineRule="auto"/>
        <w:rPr>
          <w:rStyle w:val="eop"/>
          <w:rFonts w:cstheme="minorHAnsi"/>
          <w:color w:val="000000" w:themeColor="text1"/>
          <w:szCs w:val="22"/>
        </w:rPr>
      </w:pPr>
      <w:r w:rsidRPr="00C66C24">
        <w:rPr>
          <w:rFonts w:cstheme="minorHAnsi"/>
          <w:b/>
          <w:color w:val="000000" w:themeColor="text1"/>
          <w:szCs w:val="22"/>
        </w:rPr>
        <w:t>Passively Fished Waste</w:t>
      </w:r>
    </w:p>
    <w:p w14:paraId="58091B7C" w14:textId="3EB636AC" w:rsidR="009E43A5" w:rsidRPr="00C66C24" w:rsidRDefault="00D5748C" w:rsidP="00F31C0A">
      <w:pPr>
        <w:spacing w:before="0" w:after="120" w:line="257" w:lineRule="auto"/>
        <w:rPr>
          <w:rFonts w:eastAsiaTheme="minorEastAsia" w:cstheme="minorBidi"/>
        </w:rPr>
      </w:pPr>
      <w:r w:rsidRPr="00C66C24">
        <w:rPr>
          <w:rFonts w:eastAsiaTheme="minorEastAsia" w:cstheme="minorBidi"/>
        </w:rPr>
        <w:t xml:space="preserve">In this section data </w:t>
      </w:r>
      <w:r w:rsidR="00BA590D" w:rsidRPr="00C66C24">
        <w:rPr>
          <w:rFonts w:eastAsiaTheme="minorEastAsia" w:cstheme="minorBidi"/>
        </w:rPr>
        <w:t xml:space="preserve">is presented </w:t>
      </w:r>
      <w:r w:rsidR="00BF5C3B" w:rsidRPr="00C66C24">
        <w:rPr>
          <w:rFonts w:eastAsiaTheme="minorEastAsia" w:cstheme="minorBidi"/>
        </w:rPr>
        <w:t xml:space="preserve">on </w:t>
      </w:r>
      <w:r w:rsidR="00F072B9" w:rsidRPr="00C66C24">
        <w:rPr>
          <w:rFonts w:eastAsiaTheme="minorEastAsia" w:cstheme="minorBidi"/>
        </w:rPr>
        <w:t>marine litter and</w:t>
      </w:r>
      <w:r w:rsidR="003200E7" w:rsidRPr="00C66C24">
        <w:rPr>
          <w:rFonts w:eastAsiaTheme="minorEastAsia" w:cstheme="minorBidi"/>
        </w:rPr>
        <w:t xml:space="preserve"> waste </w:t>
      </w:r>
      <w:r w:rsidR="00A83931" w:rsidRPr="00C66C24">
        <w:rPr>
          <w:rFonts w:eastAsiaTheme="minorEastAsia" w:cstheme="minorBidi"/>
        </w:rPr>
        <w:t xml:space="preserve">collected </w:t>
      </w:r>
      <w:r w:rsidR="00492E5A" w:rsidRPr="00C66C24">
        <w:rPr>
          <w:rFonts w:eastAsiaTheme="minorEastAsia" w:cstheme="minorBidi"/>
        </w:rPr>
        <w:t xml:space="preserve">by European </w:t>
      </w:r>
      <w:r w:rsidR="00CD5095" w:rsidRPr="00C66C24">
        <w:rPr>
          <w:rFonts w:eastAsiaTheme="minorEastAsia" w:cstheme="minorBidi"/>
        </w:rPr>
        <w:t xml:space="preserve">fishers </w:t>
      </w:r>
      <w:r w:rsidR="00293787" w:rsidRPr="00C66C24">
        <w:rPr>
          <w:rFonts w:eastAsiaTheme="minorEastAsia" w:cstheme="minorBidi"/>
        </w:rPr>
        <w:t>d</w:t>
      </w:r>
      <w:r w:rsidR="00A83931" w:rsidRPr="00C66C24">
        <w:rPr>
          <w:rFonts w:eastAsiaTheme="minorEastAsia" w:cstheme="minorBidi"/>
        </w:rPr>
        <w:t xml:space="preserve">uring their fishing operations </w:t>
      </w:r>
      <w:r w:rsidR="003200E7" w:rsidRPr="00C66C24">
        <w:rPr>
          <w:rFonts w:eastAsiaTheme="minorEastAsia" w:cstheme="minorBidi"/>
        </w:rPr>
        <w:t>and deliver</w:t>
      </w:r>
      <w:r w:rsidR="00293787" w:rsidRPr="00C66C24">
        <w:rPr>
          <w:rFonts w:eastAsiaTheme="minorEastAsia" w:cstheme="minorBidi"/>
        </w:rPr>
        <w:t>ed</w:t>
      </w:r>
      <w:r w:rsidR="003200E7" w:rsidRPr="00C66C24">
        <w:rPr>
          <w:rFonts w:eastAsiaTheme="minorEastAsia" w:cstheme="minorBidi"/>
        </w:rPr>
        <w:t xml:space="preserve"> to EU ports</w:t>
      </w:r>
      <w:r w:rsidR="00AD4B0F" w:rsidRPr="00C66C24">
        <w:rPr>
          <w:rFonts w:eastAsiaTheme="minorEastAsia" w:cstheme="minorBidi"/>
        </w:rPr>
        <w:t xml:space="preserve"> under the auspices of the PRF Directive</w:t>
      </w:r>
      <w:r w:rsidR="00AD4B0F" w:rsidRPr="00C66C24">
        <w:rPr>
          <w:rStyle w:val="FootnoteReference"/>
          <w:rFonts w:eastAsiaTheme="minorEastAsia" w:cstheme="minorBidi"/>
        </w:rPr>
        <w:footnoteReference w:id="19"/>
      </w:r>
      <w:r w:rsidR="003200E7" w:rsidRPr="00C66C24">
        <w:rPr>
          <w:rFonts w:eastAsiaTheme="minorEastAsia" w:cstheme="minorBidi"/>
        </w:rPr>
        <w:t xml:space="preserve">. </w:t>
      </w:r>
      <w:r w:rsidR="00CA6F23" w:rsidRPr="00C66C24">
        <w:rPr>
          <w:rFonts w:eastAsiaTheme="minorEastAsia" w:cstheme="minorBidi"/>
        </w:rPr>
        <w:t>For 2021, a total of 1220 m</w:t>
      </w:r>
      <w:r w:rsidR="00CA6F23" w:rsidRPr="00C66C24">
        <w:rPr>
          <w:rFonts w:eastAsiaTheme="minorEastAsia" w:cstheme="minorBidi"/>
          <w:vertAlign w:val="superscript"/>
        </w:rPr>
        <w:t>3</w:t>
      </w:r>
      <w:r w:rsidR="00CA6F23" w:rsidRPr="00C66C24">
        <w:rPr>
          <w:rFonts w:eastAsiaTheme="minorEastAsia" w:cstheme="minorBidi"/>
        </w:rPr>
        <w:t xml:space="preserve"> was reported to have been collected by 10 Member States. For 2022, a total of 697 m</w:t>
      </w:r>
      <w:r w:rsidR="00CA6F23" w:rsidRPr="00C66C24">
        <w:rPr>
          <w:rFonts w:eastAsiaTheme="minorEastAsia" w:cstheme="minorBidi"/>
          <w:vertAlign w:val="superscript"/>
        </w:rPr>
        <w:t>3</w:t>
      </w:r>
      <w:r w:rsidR="00CA6F23" w:rsidRPr="00C66C24">
        <w:rPr>
          <w:rFonts w:eastAsiaTheme="minorEastAsia" w:cstheme="minorBidi"/>
        </w:rPr>
        <w:t xml:space="preserve"> was reported by 9 Member States</w:t>
      </w:r>
      <w:r w:rsidR="00CA6F23" w:rsidRPr="00C66C24">
        <w:rPr>
          <w:rStyle w:val="FootnoteReference"/>
          <w:rFonts w:eastAsiaTheme="minorEastAsia" w:cstheme="minorBidi"/>
        </w:rPr>
        <w:footnoteReference w:id="20"/>
      </w:r>
      <w:r w:rsidR="00CA6F23" w:rsidRPr="00C66C24">
        <w:rPr>
          <w:rFonts w:eastAsiaTheme="minorEastAsia" w:cstheme="minorBidi"/>
        </w:rPr>
        <w:t xml:space="preserve">. For 2022, additional information on the </w:t>
      </w:r>
      <w:r w:rsidR="00CE58AB" w:rsidRPr="00C66C24">
        <w:rPr>
          <w:rFonts w:eastAsiaTheme="minorEastAsia" w:cstheme="minorBidi"/>
        </w:rPr>
        <w:t xml:space="preserve">type of </w:t>
      </w:r>
      <w:r w:rsidR="00CA6F23" w:rsidRPr="00C66C24">
        <w:rPr>
          <w:rFonts w:eastAsiaTheme="minorEastAsia" w:cstheme="minorBidi"/>
        </w:rPr>
        <w:t>waste was provided: 6% was classified as ALDFG (Abandoned Lost and Discarded Fishing Gear), 18% as Oth</w:t>
      </w:r>
      <w:r w:rsidR="00CA6F23" w:rsidRPr="00C66C24">
        <w:rPr>
          <w:rFonts w:eastAsiaTheme="minorEastAsia" w:cstheme="minorBidi"/>
          <w:szCs w:val="22"/>
        </w:rPr>
        <w:t>er Marine Litter, and 76% was not classified in terms of origin.</w:t>
      </w:r>
      <w:r w:rsidR="00941D93" w:rsidRPr="00C66C24">
        <w:rPr>
          <w:rFonts w:eastAsiaTheme="minorEastAsia" w:cstheme="minorBidi"/>
          <w:szCs w:val="22"/>
        </w:rPr>
        <w:t xml:space="preserve"> </w:t>
      </w:r>
      <w:r w:rsidR="00527E60" w:rsidRPr="00C66C24">
        <w:rPr>
          <w:rFonts w:eastAsiaTheme="minorEastAsia" w:cstheme="minorBidi"/>
          <w:szCs w:val="22"/>
        </w:rPr>
        <w:fldChar w:fldCharType="begin"/>
      </w:r>
      <w:r w:rsidR="00527E60" w:rsidRPr="00C66C24">
        <w:rPr>
          <w:rFonts w:eastAsiaTheme="minorEastAsia" w:cstheme="minorBidi"/>
          <w:szCs w:val="22"/>
        </w:rPr>
        <w:instrText xml:space="preserve"> REF _Ref151112135 \h </w:instrText>
      </w:r>
      <w:r w:rsidR="003A7646" w:rsidRPr="00C66C24">
        <w:rPr>
          <w:rFonts w:eastAsiaTheme="minorEastAsia" w:cstheme="minorBidi"/>
          <w:szCs w:val="22"/>
        </w:rPr>
        <w:instrText xml:space="preserve"> \* MERGEFORMAT </w:instrText>
      </w:r>
      <w:r w:rsidR="00527E60" w:rsidRPr="00C66C24">
        <w:rPr>
          <w:rFonts w:eastAsiaTheme="minorEastAsia" w:cstheme="minorBidi"/>
          <w:szCs w:val="22"/>
        </w:rPr>
      </w:r>
      <w:r w:rsidR="00527E60" w:rsidRPr="00C66C24">
        <w:rPr>
          <w:rFonts w:eastAsiaTheme="minorEastAsia" w:cstheme="minorBidi"/>
          <w:szCs w:val="22"/>
        </w:rPr>
        <w:fldChar w:fldCharType="separate"/>
      </w:r>
      <w:r w:rsidR="004F788D" w:rsidRPr="00C66C24">
        <w:rPr>
          <w:szCs w:val="22"/>
        </w:rPr>
        <w:t xml:space="preserve">Figure </w:t>
      </w:r>
      <w:r w:rsidR="004F788D" w:rsidRPr="00C66C24">
        <w:rPr>
          <w:noProof/>
          <w:szCs w:val="22"/>
        </w:rPr>
        <w:t>2.38</w:t>
      </w:r>
      <w:r w:rsidR="00527E60" w:rsidRPr="00C66C24">
        <w:rPr>
          <w:rFonts w:eastAsiaTheme="minorEastAsia" w:cstheme="minorBidi"/>
          <w:szCs w:val="22"/>
        </w:rPr>
        <w:fldChar w:fldCharType="end"/>
      </w:r>
      <w:r w:rsidR="00941D93" w:rsidRPr="00C66C24">
        <w:rPr>
          <w:rFonts w:eastAsiaTheme="minorEastAsia" w:cstheme="minorBidi"/>
          <w:szCs w:val="22"/>
        </w:rPr>
        <w:t xml:space="preserve"> shows the distr</w:t>
      </w:r>
      <w:r w:rsidR="00F41778" w:rsidRPr="00C66C24">
        <w:rPr>
          <w:rFonts w:eastAsiaTheme="minorEastAsia" w:cstheme="minorBidi"/>
          <w:szCs w:val="22"/>
        </w:rPr>
        <w:t>ibution o</w:t>
      </w:r>
      <w:r w:rsidR="00F41778" w:rsidRPr="00C66C24">
        <w:rPr>
          <w:rFonts w:eastAsiaTheme="minorEastAsia" w:cstheme="minorBidi"/>
        </w:rPr>
        <w:t xml:space="preserve">f PFW </w:t>
      </w:r>
      <w:r w:rsidR="003A7646" w:rsidRPr="00C66C24">
        <w:rPr>
          <w:rFonts w:eastAsiaTheme="minorEastAsia" w:cstheme="minorBidi"/>
        </w:rPr>
        <w:t xml:space="preserve">waste type </w:t>
      </w:r>
      <w:r w:rsidR="00F41778" w:rsidRPr="00C66C24">
        <w:rPr>
          <w:rFonts w:eastAsiaTheme="minorEastAsia" w:cstheme="minorBidi"/>
        </w:rPr>
        <w:t>i</w:t>
      </w:r>
      <w:r w:rsidR="009D5E75" w:rsidRPr="00C66C24">
        <w:rPr>
          <w:rFonts w:eastAsiaTheme="minorEastAsia" w:cstheme="minorBidi"/>
        </w:rPr>
        <w:t>n</w:t>
      </w:r>
      <w:r w:rsidR="00CA6F23" w:rsidRPr="00C66C24">
        <w:rPr>
          <w:rFonts w:eastAsiaTheme="minorEastAsia" w:cstheme="minorBidi"/>
        </w:rPr>
        <w:t xml:space="preserve"> terms of classification per composition of the collected materials</w:t>
      </w:r>
      <w:r w:rsidR="003A7646" w:rsidRPr="00C66C24">
        <w:rPr>
          <w:rFonts w:eastAsiaTheme="minorEastAsia" w:cstheme="minorBidi"/>
        </w:rPr>
        <w:t xml:space="preserve"> in 2022</w:t>
      </w:r>
      <w:r w:rsidR="0067382C" w:rsidRPr="00C66C24">
        <w:rPr>
          <w:rFonts w:eastAsiaTheme="minorEastAsia" w:cstheme="minorBidi"/>
        </w:rPr>
        <w:t>.</w:t>
      </w:r>
    </w:p>
    <w:p w14:paraId="0B734A77" w14:textId="5C1075B8" w:rsidR="00F47AC5" w:rsidRPr="00C66C24" w:rsidRDefault="00D93CEF" w:rsidP="008C6A9C">
      <w:pPr>
        <w:keepNext/>
        <w:spacing w:before="0" w:after="0" w:line="257" w:lineRule="auto"/>
        <w:jc w:val="center"/>
      </w:pPr>
      <w:r w:rsidRPr="00C66C24">
        <w:rPr>
          <w:noProof/>
        </w:rPr>
        <w:drawing>
          <wp:inline distT="0" distB="0" distL="0" distR="0" wp14:anchorId="7E80F2D9" wp14:editId="2FC86ACE">
            <wp:extent cx="3674988" cy="2343150"/>
            <wp:effectExtent l="0" t="0" r="1905" b="0"/>
            <wp:docPr id="136005637" name="Picture 13600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680060" cy="2346384"/>
                    </a:xfrm>
                    <a:prstGeom prst="rect">
                      <a:avLst/>
                    </a:prstGeom>
                  </pic:spPr>
                </pic:pic>
              </a:graphicData>
            </a:graphic>
          </wp:inline>
        </w:drawing>
      </w:r>
    </w:p>
    <w:p w14:paraId="3B73C326" w14:textId="095C1339" w:rsidR="3CB1CB23" w:rsidRPr="00C66C24" w:rsidRDefault="00F47AC5" w:rsidP="008C6A9C">
      <w:pPr>
        <w:pStyle w:val="Caption"/>
        <w:spacing w:after="0" w:line="257" w:lineRule="auto"/>
        <w:jc w:val="center"/>
        <w:rPr>
          <w:sz w:val="20"/>
          <w:szCs w:val="20"/>
        </w:rPr>
      </w:pPr>
      <w:bookmarkStart w:id="157" w:name="_Ref151112135"/>
      <w:bookmarkStart w:id="158" w:name="_Ref157174086"/>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38</w:t>
      </w:r>
      <w:r w:rsidR="00A81F61" w:rsidRPr="00C66C24">
        <w:rPr>
          <w:sz w:val="20"/>
          <w:szCs w:val="20"/>
        </w:rPr>
        <w:fldChar w:fldCharType="end"/>
      </w:r>
      <w:bookmarkEnd w:id="157"/>
      <w:r w:rsidRPr="00C66C24">
        <w:rPr>
          <w:sz w:val="20"/>
          <w:szCs w:val="20"/>
        </w:rPr>
        <w:t xml:space="preserve"> Total reported </w:t>
      </w:r>
      <w:r w:rsidR="00373E01" w:rsidRPr="00C66C24">
        <w:rPr>
          <w:sz w:val="20"/>
          <w:szCs w:val="20"/>
        </w:rPr>
        <w:t xml:space="preserve">volume of passively fished waste </w:t>
      </w:r>
      <w:r w:rsidRPr="00C66C24">
        <w:rPr>
          <w:sz w:val="20"/>
          <w:szCs w:val="20"/>
        </w:rPr>
        <w:t xml:space="preserve">per </w:t>
      </w:r>
      <w:r w:rsidR="00373E01" w:rsidRPr="00C66C24">
        <w:rPr>
          <w:sz w:val="20"/>
          <w:szCs w:val="20"/>
        </w:rPr>
        <w:t>waste type</w:t>
      </w:r>
      <w:r w:rsidRPr="00C66C24">
        <w:rPr>
          <w:sz w:val="20"/>
          <w:szCs w:val="20"/>
        </w:rPr>
        <w:t xml:space="preserve"> in</w:t>
      </w:r>
      <w:r w:rsidR="00AA5EDC" w:rsidRPr="00C66C24">
        <w:rPr>
          <w:sz w:val="20"/>
          <w:szCs w:val="20"/>
        </w:rPr>
        <w:t xml:space="preserve"> </w:t>
      </w:r>
      <w:r w:rsidR="00373E01" w:rsidRPr="00C66C24">
        <w:rPr>
          <w:sz w:val="20"/>
          <w:szCs w:val="20"/>
        </w:rPr>
        <w:t>2022</w:t>
      </w:r>
      <w:r w:rsidR="00700315" w:rsidRPr="00C66C24">
        <w:rPr>
          <w:sz w:val="20"/>
          <w:szCs w:val="20"/>
        </w:rPr>
        <w:t>.</w:t>
      </w:r>
      <w:bookmarkEnd w:id="158"/>
    </w:p>
    <w:p w14:paraId="6EBA3A18" w14:textId="367F9D9B" w:rsidR="5B8799BF" w:rsidRPr="00C66C24" w:rsidRDefault="00CA2091" w:rsidP="000A06ED">
      <w:pPr>
        <w:spacing w:before="0" w:after="120" w:line="257" w:lineRule="auto"/>
        <w:jc w:val="center"/>
        <w:rPr>
          <w:rFonts w:eastAsiaTheme="minorEastAsia" w:cstheme="minorBidi"/>
          <w:sz w:val="20"/>
          <w:szCs w:val="20"/>
        </w:rPr>
      </w:pPr>
      <w:r w:rsidRPr="00C66C24">
        <w:rPr>
          <w:rFonts w:eastAsiaTheme="minorEastAsia" w:cstheme="minorBidi"/>
          <w:sz w:val="20"/>
          <w:szCs w:val="20"/>
        </w:rPr>
        <w:t xml:space="preserve">Source: </w:t>
      </w:r>
      <w:r w:rsidR="00373E01" w:rsidRPr="00C66C24">
        <w:rPr>
          <w:rFonts w:eastAsiaTheme="minorEastAsia" w:cstheme="minorBidi"/>
          <w:sz w:val="20"/>
          <w:szCs w:val="20"/>
        </w:rPr>
        <w:t>DONA and dataset of the European Commission</w:t>
      </w:r>
      <w:r w:rsidR="002544D3" w:rsidRPr="00C66C24">
        <w:rPr>
          <w:rFonts w:eastAsiaTheme="minorEastAsia" w:cstheme="minorBidi"/>
          <w:sz w:val="20"/>
          <w:szCs w:val="20"/>
        </w:rPr>
        <w:t>.</w:t>
      </w:r>
    </w:p>
    <w:p w14:paraId="7A42DCD8" w14:textId="22CF4CCD" w:rsidR="00645DCA" w:rsidRPr="00C66C24" w:rsidRDefault="00B33BCC" w:rsidP="008C6A9C">
      <w:pPr>
        <w:pStyle w:val="paragraph"/>
        <w:spacing w:before="0" w:beforeAutospacing="0" w:after="0" w:afterAutospacing="0" w:line="257" w:lineRule="auto"/>
        <w:jc w:val="both"/>
        <w:rPr>
          <w:rFonts w:asciiTheme="minorHAnsi" w:eastAsiaTheme="minorEastAsia" w:hAnsiTheme="minorHAnsi" w:cstheme="minorBidi"/>
          <w:b/>
          <w:bCs/>
          <w:color w:val="000000" w:themeColor="text1"/>
          <w:sz w:val="22"/>
          <w:szCs w:val="22"/>
          <w:lang w:val="en-GB"/>
        </w:rPr>
      </w:pPr>
      <w:r w:rsidRPr="00C66C24">
        <w:rPr>
          <w:rFonts w:asciiTheme="minorHAnsi" w:eastAsiaTheme="minorEastAsia" w:hAnsiTheme="minorHAnsi" w:cstheme="minorBidi"/>
          <w:b/>
          <w:bCs/>
          <w:color w:val="000000" w:themeColor="text1"/>
          <w:sz w:val="22"/>
          <w:szCs w:val="22"/>
          <w:lang w:val="en-GB"/>
        </w:rPr>
        <w:t>L</w:t>
      </w:r>
      <w:r w:rsidR="00DE49FD" w:rsidRPr="00C66C24">
        <w:rPr>
          <w:rFonts w:asciiTheme="minorHAnsi" w:eastAsiaTheme="minorEastAsia" w:hAnsiTheme="minorHAnsi" w:cstheme="minorBidi"/>
          <w:b/>
          <w:bCs/>
          <w:color w:val="000000" w:themeColor="text1"/>
          <w:sz w:val="22"/>
          <w:szCs w:val="22"/>
          <w:lang w:val="en-GB"/>
        </w:rPr>
        <w:t>egal discharge</w:t>
      </w:r>
      <w:r w:rsidR="00600FC5" w:rsidRPr="00C66C24">
        <w:rPr>
          <w:rFonts w:asciiTheme="minorHAnsi" w:eastAsiaTheme="minorEastAsia" w:hAnsiTheme="minorHAnsi" w:cstheme="minorBidi"/>
          <w:b/>
          <w:bCs/>
          <w:color w:val="000000" w:themeColor="text1"/>
          <w:sz w:val="22"/>
          <w:szCs w:val="22"/>
          <w:lang w:val="en-GB"/>
        </w:rPr>
        <w:t>s</w:t>
      </w:r>
      <w:r w:rsidR="00D85791" w:rsidRPr="00C66C24">
        <w:rPr>
          <w:rFonts w:asciiTheme="minorHAnsi" w:eastAsiaTheme="minorEastAsia" w:hAnsiTheme="minorHAnsi" w:cstheme="minorBidi"/>
          <w:b/>
          <w:bCs/>
          <w:color w:val="000000" w:themeColor="text1"/>
          <w:sz w:val="22"/>
          <w:szCs w:val="22"/>
          <w:lang w:val="en-GB"/>
        </w:rPr>
        <w:t xml:space="preserve"> at sea</w:t>
      </w:r>
    </w:p>
    <w:p w14:paraId="626D028F" w14:textId="6BFDB125" w:rsidR="007D1245" w:rsidRPr="00C66C24" w:rsidRDefault="00EF7F73" w:rsidP="002418EC">
      <w:pPr>
        <w:pStyle w:val="paragraph"/>
        <w:spacing w:before="0" w:beforeAutospacing="0" w:after="120" w:afterAutospacing="0" w:line="257" w:lineRule="auto"/>
        <w:jc w:val="both"/>
        <w:rPr>
          <w:rFonts w:asciiTheme="minorHAnsi" w:eastAsiaTheme="minorEastAsia" w:hAnsiTheme="minorHAnsi" w:cstheme="minorBidi"/>
          <w:sz w:val="22"/>
          <w:szCs w:val="22"/>
          <w:lang w:val="en-GB"/>
        </w:rPr>
      </w:pPr>
      <w:r w:rsidRPr="00C66C24">
        <w:rPr>
          <w:rFonts w:asciiTheme="minorHAnsi" w:eastAsiaTheme="minorEastAsia" w:hAnsiTheme="minorHAnsi" w:cstheme="minorBidi"/>
          <w:sz w:val="22"/>
          <w:szCs w:val="22"/>
          <w:lang w:val="en-GB"/>
        </w:rPr>
        <w:t>From the inspection records it is also possible to assess th</w:t>
      </w:r>
      <w:r w:rsidRPr="00C66C24">
        <w:rPr>
          <w:rFonts w:asciiTheme="minorHAnsi" w:eastAsiaTheme="minorEastAsia" w:hAnsiTheme="minorHAnsi" w:cstheme="minorHAnsi"/>
          <w:sz w:val="22"/>
          <w:szCs w:val="22"/>
          <w:lang w:val="en-GB"/>
        </w:rPr>
        <w:t>e amounts of waste that have been reported to have been legally discharged at sea.</w:t>
      </w:r>
      <w:r w:rsidR="00326D0D" w:rsidRPr="00C66C24">
        <w:rPr>
          <w:rFonts w:asciiTheme="minorHAnsi" w:eastAsiaTheme="minorEastAsia" w:hAnsiTheme="minorHAnsi" w:cstheme="minorHAnsi"/>
          <w:sz w:val="22"/>
          <w:szCs w:val="22"/>
          <w:lang w:val="en-GB"/>
        </w:rPr>
        <w:t xml:space="preserve"> </w:t>
      </w:r>
      <w:r w:rsidR="00094F73" w:rsidRPr="00C66C24">
        <w:rPr>
          <w:rFonts w:asciiTheme="minorHAnsi" w:eastAsiaTheme="minorEastAsia" w:hAnsiTheme="minorHAnsi" w:cstheme="minorHAnsi"/>
          <w:sz w:val="22"/>
          <w:szCs w:val="22"/>
          <w:lang w:val="en-GB"/>
        </w:rPr>
        <w:fldChar w:fldCharType="begin"/>
      </w:r>
      <w:r w:rsidR="00094F73" w:rsidRPr="00C66C24">
        <w:rPr>
          <w:rFonts w:asciiTheme="minorHAnsi" w:eastAsiaTheme="minorEastAsia" w:hAnsiTheme="minorHAnsi" w:cstheme="minorHAnsi"/>
          <w:sz w:val="22"/>
          <w:szCs w:val="22"/>
          <w:lang w:val="en-GB"/>
        </w:rPr>
        <w:instrText xml:space="preserve"> REF _Ref156473800 \h </w:instrText>
      </w:r>
      <w:r w:rsidR="00C36AA4" w:rsidRPr="00C66C24">
        <w:rPr>
          <w:rFonts w:asciiTheme="minorHAnsi" w:eastAsiaTheme="minorEastAsia" w:hAnsiTheme="minorHAnsi" w:cstheme="minorHAnsi"/>
          <w:sz w:val="22"/>
          <w:szCs w:val="22"/>
          <w:lang w:val="en-GB"/>
        </w:rPr>
        <w:instrText xml:space="preserve"> \* MERGEFORMAT </w:instrText>
      </w:r>
      <w:r w:rsidR="00094F73" w:rsidRPr="00C66C24">
        <w:rPr>
          <w:rFonts w:asciiTheme="minorHAnsi" w:eastAsiaTheme="minorEastAsia" w:hAnsiTheme="minorHAnsi" w:cstheme="minorHAnsi"/>
          <w:sz w:val="22"/>
          <w:szCs w:val="22"/>
          <w:lang w:val="en-GB"/>
        </w:rPr>
      </w:r>
      <w:r w:rsidR="00094F73" w:rsidRPr="00C66C24">
        <w:rPr>
          <w:rFonts w:asciiTheme="minorHAnsi" w:eastAsiaTheme="minorEastAsia" w:hAnsiTheme="minorHAnsi" w:cstheme="minorHAnsi"/>
          <w:sz w:val="22"/>
          <w:szCs w:val="22"/>
          <w:lang w:val="en-GB"/>
        </w:rPr>
        <w:fldChar w:fldCharType="separate"/>
      </w:r>
      <w:r w:rsidR="00580922" w:rsidRPr="00C66C24">
        <w:rPr>
          <w:rFonts w:asciiTheme="minorHAnsi" w:hAnsiTheme="minorHAnsi" w:cstheme="minorHAnsi"/>
          <w:sz w:val="22"/>
          <w:szCs w:val="22"/>
          <w:lang w:val="en-GB"/>
        </w:rPr>
        <w:t xml:space="preserve">Figure </w:t>
      </w:r>
      <w:r w:rsidR="00580922" w:rsidRPr="00C66C24">
        <w:rPr>
          <w:rFonts w:asciiTheme="minorHAnsi" w:hAnsiTheme="minorHAnsi" w:cstheme="minorHAnsi"/>
          <w:noProof/>
          <w:sz w:val="22"/>
          <w:szCs w:val="22"/>
          <w:lang w:val="en-GB"/>
        </w:rPr>
        <w:t>2.39</w:t>
      </w:r>
      <w:r w:rsidR="00094F73" w:rsidRPr="00C66C24">
        <w:rPr>
          <w:rFonts w:asciiTheme="minorHAnsi" w:eastAsiaTheme="minorEastAsia" w:hAnsiTheme="minorHAnsi" w:cstheme="minorHAnsi"/>
          <w:sz w:val="22"/>
          <w:szCs w:val="22"/>
          <w:lang w:val="en-GB"/>
        </w:rPr>
        <w:fldChar w:fldCharType="end"/>
      </w:r>
      <w:r w:rsidRPr="00C66C24">
        <w:rPr>
          <w:rFonts w:asciiTheme="minorHAnsi" w:eastAsiaTheme="minorEastAsia" w:hAnsiTheme="minorHAnsi" w:cstheme="minorBidi"/>
          <w:sz w:val="22"/>
          <w:szCs w:val="22"/>
          <w:lang w:val="en-GB"/>
        </w:rPr>
        <w:t xml:space="preserve"> displays these amounts, in absolute volume, as recorded in THETIS-EU since the alignment of the system with the new PRF Directive (</w:t>
      </w:r>
      <w:r w:rsidR="00CF1FAD" w:rsidRPr="00C66C24">
        <w:rPr>
          <w:rFonts w:asciiTheme="minorHAnsi" w:eastAsiaTheme="minorEastAsia" w:hAnsiTheme="minorHAnsi" w:cstheme="minorBidi"/>
          <w:sz w:val="22"/>
          <w:szCs w:val="22"/>
          <w:lang w:val="en-GB"/>
        </w:rPr>
        <w:t xml:space="preserve">i.e. </w:t>
      </w:r>
      <w:r w:rsidRPr="00C66C24">
        <w:rPr>
          <w:rFonts w:asciiTheme="minorHAnsi" w:eastAsiaTheme="minorEastAsia" w:hAnsiTheme="minorHAnsi" w:cstheme="minorBidi"/>
          <w:sz w:val="22"/>
          <w:szCs w:val="22"/>
          <w:lang w:val="en-GB"/>
        </w:rPr>
        <w:t>July 2021) for the years 2022 and 2023</w:t>
      </w:r>
      <w:r w:rsidR="00BB5B7B" w:rsidRPr="00C66C24">
        <w:rPr>
          <w:rStyle w:val="FootnoteReference"/>
          <w:rFonts w:asciiTheme="minorHAnsi" w:eastAsiaTheme="minorEastAsia" w:hAnsiTheme="minorHAnsi" w:cstheme="minorBidi"/>
          <w:sz w:val="22"/>
          <w:szCs w:val="22"/>
          <w:lang w:val="en-GB"/>
        </w:rPr>
        <w:footnoteReference w:id="21"/>
      </w:r>
      <w:r w:rsidRPr="00C66C24">
        <w:rPr>
          <w:rFonts w:asciiTheme="minorHAnsi" w:eastAsiaTheme="minorEastAsia" w:hAnsiTheme="minorHAnsi" w:cstheme="minorBidi"/>
          <w:sz w:val="22"/>
          <w:szCs w:val="22"/>
          <w:lang w:val="en-GB"/>
        </w:rPr>
        <w:t>.</w:t>
      </w:r>
    </w:p>
    <w:p w14:paraId="09CE1392" w14:textId="7A36299E" w:rsidR="00215278" w:rsidRPr="00C66C24" w:rsidRDefault="00EC1E09" w:rsidP="008C6A9C">
      <w:pPr>
        <w:pStyle w:val="paragraph"/>
        <w:spacing w:before="0" w:beforeAutospacing="0" w:after="0" w:afterAutospacing="0" w:line="257" w:lineRule="auto"/>
        <w:jc w:val="center"/>
        <w:rPr>
          <w:rFonts w:asciiTheme="minorHAnsi" w:hAnsiTheme="minorHAnsi" w:cstheme="minorBidi"/>
          <w:sz w:val="22"/>
          <w:szCs w:val="22"/>
          <w:lang w:val="en-GB"/>
        </w:rPr>
      </w:pPr>
      <w:r w:rsidRPr="00C66C24">
        <w:rPr>
          <w:noProof/>
          <w:lang w:val="en-GB"/>
        </w:rPr>
        <w:drawing>
          <wp:inline distT="0" distB="0" distL="0" distR="0" wp14:anchorId="0AE78E7C" wp14:editId="3F3AC31E">
            <wp:extent cx="4286707" cy="2783281"/>
            <wp:effectExtent l="0" t="0" r="0" b="17145"/>
            <wp:docPr id="136005638" name="Chart 136005638">
              <a:extLst xmlns:a="http://schemas.openxmlformats.org/drawingml/2006/main">
                <a:ext uri="{FF2B5EF4-FFF2-40B4-BE49-F238E27FC236}">
                  <a16:creationId xmlns:a16="http://schemas.microsoft.com/office/drawing/2014/main" id="{2CAF707E-F2EE-0457-4676-61AF3CBCF5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1E98AE26" w14:textId="0DAC069B" w:rsidR="00DA2ECC" w:rsidRPr="00C66C24" w:rsidRDefault="00DA2ECC" w:rsidP="008C6A9C">
      <w:pPr>
        <w:pStyle w:val="Caption"/>
        <w:spacing w:after="0" w:line="257" w:lineRule="auto"/>
        <w:jc w:val="center"/>
        <w:rPr>
          <w:b w:val="0"/>
          <w:sz w:val="20"/>
          <w:szCs w:val="20"/>
        </w:rPr>
      </w:pPr>
      <w:bookmarkStart w:id="159" w:name="_Ref156473800"/>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F93923" w:rsidRPr="00C66C24">
        <w:rPr>
          <w:noProof/>
          <w:sz w:val="20"/>
          <w:szCs w:val="20"/>
        </w:rPr>
        <w:t>39</w:t>
      </w:r>
      <w:r w:rsidR="00A81F61" w:rsidRPr="00C66C24">
        <w:rPr>
          <w:sz w:val="20"/>
          <w:szCs w:val="20"/>
        </w:rPr>
        <w:fldChar w:fldCharType="end"/>
      </w:r>
      <w:bookmarkEnd w:id="159"/>
      <w:r w:rsidRPr="00C66C24">
        <w:rPr>
          <w:sz w:val="20"/>
          <w:szCs w:val="20"/>
        </w:rPr>
        <w:t xml:space="preserve"> Amounts </w:t>
      </w:r>
      <w:r w:rsidR="00D91902" w:rsidRPr="00C66C24">
        <w:rPr>
          <w:sz w:val="20"/>
          <w:szCs w:val="20"/>
        </w:rPr>
        <w:t xml:space="preserve">of </w:t>
      </w:r>
      <w:r w:rsidR="003D0550" w:rsidRPr="00C66C24">
        <w:rPr>
          <w:sz w:val="20"/>
          <w:szCs w:val="20"/>
        </w:rPr>
        <w:t>w</w:t>
      </w:r>
      <w:r w:rsidR="00D91902" w:rsidRPr="00C66C24">
        <w:rPr>
          <w:sz w:val="20"/>
          <w:szCs w:val="20"/>
        </w:rPr>
        <w:t xml:space="preserve">aste </w:t>
      </w:r>
      <w:r w:rsidR="003D0550" w:rsidRPr="00C66C24">
        <w:rPr>
          <w:sz w:val="20"/>
          <w:szCs w:val="20"/>
        </w:rPr>
        <w:t>d</w:t>
      </w:r>
      <w:r w:rsidRPr="00C66C24">
        <w:rPr>
          <w:sz w:val="20"/>
          <w:szCs w:val="20"/>
        </w:rPr>
        <w:t xml:space="preserve">ischarged at </w:t>
      </w:r>
      <w:r w:rsidR="003D0550" w:rsidRPr="00C66C24">
        <w:rPr>
          <w:sz w:val="20"/>
          <w:szCs w:val="20"/>
        </w:rPr>
        <w:t>s</w:t>
      </w:r>
      <w:r w:rsidRPr="00C66C24">
        <w:rPr>
          <w:sz w:val="20"/>
          <w:szCs w:val="20"/>
        </w:rPr>
        <w:t xml:space="preserve">ea as reported by inspectors in the follow up of an inspection. </w:t>
      </w:r>
    </w:p>
    <w:p w14:paraId="37EA8F5D" w14:textId="3222ABA2" w:rsidR="00433E9C" w:rsidRPr="00C66C24" w:rsidRDefault="00DA2ECC" w:rsidP="008C6A9C">
      <w:pPr>
        <w:pStyle w:val="paragraph"/>
        <w:spacing w:before="0" w:beforeAutospacing="0" w:after="0" w:afterAutospacing="0" w:line="257" w:lineRule="auto"/>
        <w:jc w:val="center"/>
        <w:rPr>
          <w:rFonts w:asciiTheme="minorHAnsi" w:eastAsia="ヒラギノ角ゴ Pro W3" w:hAnsiTheme="minorHAnsi"/>
          <w:color w:val="000000" w:themeColor="text1"/>
          <w:sz w:val="20"/>
          <w:szCs w:val="20"/>
          <w:lang w:val="en-GB" w:eastAsia="en-US"/>
        </w:rPr>
      </w:pPr>
      <w:r w:rsidRPr="00C66C24">
        <w:rPr>
          <w:rFonts w:asciiTheme="minorHAnsi" w:eastAsia="ヒラギノ角ゴ Pro W3" w:hAnsiTheme="minorHAnsi"/>
          <w:color w:val="000000" w:themeColor="text1"/>
          <w:sz w:val="20"/>
          <w:szCs w:val="20"/>
          <w:lang w:val="en-GB" w:eastAsia="en-US"/>
        </w:rPr>
        <w:t>Source: EMSA, THETIS.</w:t>
      </w:r>
    </w:p>
    <w:p w14:paraId="5DC01696" w14:textId="115329B0" w:rsidR="00005922" w:rsidRPr="00C66C24" w:rsidRDefault="001C6A77" w:rsidP="002418EC">
      <w:pPr>
        <w:spacing w:before="0" w:after="0" w:line="257" w:lineRule="auto"/>
      </w:pPr>
      <w:r w:rsidRPr="00C66C24">
        <w:rPr>
          <w:b/>
        </w:rPr>
        <w:t>Lo</w:t>
      </w:r>
      <w:r w:rsidRPr="00C66C24">
        <w:rPr>
          <w:b/>
          <w:bCs/>
          <w:szCs w:val="18"/>
        </w:rPr>
        <w:t>st containers</w:t>
      </w:r>
    </w:p>
    <w:p w14:paraId="5159872B" w14:textId="2925C23F" w:rsidR="00991287" w:rsidRPr="00C66C24" w:rsidRDefault="00286426" w:rsidP="00384BAB">
      <w:pPr>
        <w:spacing w:before="0" w:after="0" w:line="257" w:lineRule="auto"/>
        <w:rPr>
          <w:rFonts w:eastAsia="Calibri"/>
          <w:color w:val="000000" w:themeColor="text1"/>
        </w:rPr>
      </w:pPr>
      <w:r w:rsidRPr="00C66C24">
        <w:rPr>
          <w:rStyle w:val="eop"/>
          <w:rFonts w:ascii="Calibri" w:hAnsi="Calibri" w:cs="Calibri"/>
          <w:color w:val="000000" w:themeColor="text1"/>
        </w:rPr>
        <w:fldChar w:fldCharType="begin"/>
      </w:r>
      <w:r w:rsidR="00D9530C" w:rsidRPr="00C66C24">
        <w:rPr>
          <w:rStyle w:val="eop"/>
          <w:rFonts w:ascii="Calibri" w:hAnsi="Calibri" w:cs="Calibri"/>
          <w:color w:val="000000" w:themeColor="text1"/>
          <w:szCs w:val="22"/>
        </w:rPr>
        <w:instrText xml:space="preserve"> ADDIN ZOTERO_ITEM CSL_CITATION {"citationID":"HHXOujIa","properties":{"formattedCitation":"(Jo, 2020)","plainCitation":"(Jo, 2020)","dontUpdate":true,"noteIndex":0},"citationItems":[{"id":21661,"uris":["http://zotero.org/groups/122386/items/FI4YTDMQ"],"itemData":{"id":21661,"type":"article-journal","container-title":"Journal of International Maritime Safety, Environmental Affairs, and Shipping","DOI":"10.1080/25725084.2020.1792392","ISSN":"2572-5084","issue":"3","journalAbbreviation":"Journal of International Maritime Safety, Environmental Affairs, and Shipping","language":"en","page":"80-83","source":"DOI.org (Crossref)","title":"The need for international policy regarding lost containers at sea for reducing marine plastic litter","volume":"4","author":[{"family":"Jo","given":"Gye-Wan"}],"issued":{"date-parts":[["2020",7,2]]}}}],"schema":"https://github.com/citation-style-language/schema/raw/master/csl-citation.json"} </w:instrText>
      </w:r>
      <w:r w:rsidR="00D77731" w:rsidRPr="00C66C24">
        <w:rPr>
          <w:rStyle w:val="eop"/>
          <w:rFonts w:ascii="Calibri" w:hAnsi="Calibri" w:cs="Calibri"/>
          <w:color w:val="000000" w:themeColor="text1"/>
        </w:rPr>
        <w:fldChar w:fldCharType="separate"/>
      </w:r>
      <w:r w:rsidRPr="00C66C24">
        <w:rPr>
          <w:rStyle w:val="eop"/>
          <w:rFonts w:ascii="Calibri" w:hAnsi="Calibri" w:cs="Calibri"/>
          <w:color w:val="000000" w:themeColor="text1"/>
        </w:rPr>
        <w:fldChar w:fldCharType="end"/>
      </w:r>
      <w:r w:rsidRPr="00C66C24">
        <w:rPr>
          <w:rStyle w:val="eop"/>
          <w:rFonts w:ascii="Calibri" w:hAnsi="Calibri" w:cs="Calibri"/>
          <w:color w:val="000000" w:themeColor="text1"/>
        </w:rPr>
        <w:fldChar w:fldCharType="begin"/>
      </w:r>
      <w:r w:rsidR="001855E3" w:rsidRPr="00C66C24">
        <w:rPr>
          <w:rStyle w:val="eop"/>
          <w:rFonts w:ascii="Calibri" w:hAnsi="Calibri" w:cs="Calibri"/>
          <w:color w:val="000000" w:themeColor="text1"/>
          <w:szCs w:val="22"/>
        </w:rPr>
        <w:instrText xml:space="preserve"> ADDIN ZOTERO_ITEM CSL_CITATION {"citationID":"1r06rSRw","properties":{"formattedCitation":"(Jo, 2020)","plainCitation":"(Jo, 2020)","dontUpdate":true,"noteIndex":0},"citationItems":[{"id":21661,"uris":["http://zotero.org/groups/122386/items/FI4YTDMQ"],"itemData":{"id":21661,"type":"article-journal","container-title":"Journal of International Maritime Safety, Environmental Affairs, and Shipping","DOI":"10.1080/25725084.2020.1792392","ISSN":"2572-5084","issue":"3","journalAbbreviation":"Journal of International Maritime Safety, Environmental Affairs, and Shipping","language":"en","page":"80-83","source":"DOI.org (Crossref)","title":"The need for international policy regarding lost containers at sea for reducing marine plastic litter","volume":"4","author":[{"family":"Jo","given":"Gye-Wan"}],"issued":{"date-parts":[["2020",7,2]]}}}],"schema":"https://github.com/citation-style-language/schema/raw/master/csl-citation.json"} </w:instrText>
      </w:r>
      <w:r w:rsidR="00D77731" w:rsidRPr="00C66C24">
        <w:rPr>
          <w:rStyle w:val="eop"/>
          <w:rFonts w:ascii="Calibri" w:hAnsi="Calibri" w:cs="Calibri"/>
          <w:color w:val="000000" w:themeColor="text1"/>
        </w:rPr>
        <w:fldChar w:fldCharType="separate"/>
      </w:r>
      <w:r w:rsidRPr="00C66C24">
        <w:rPr>
          <w:rStyle w:val="eop"/>
          <w:rFonts w:ascii="Calibri" w:hAnsi="Calibri" w:cs="Calibri"/>
          <w:color w:val="000000" w:themeColor="text1"/>
        </w:rPr>
        <w:fldChar w:fldCharType="end"/>
      </w:r>
      <w:r w:rsidR="05157008" w:rsidRPr="00C66C24">
        <w:rPr>
          <w:rFonts w:eastAsia="Calibri"/>
          <w:color w:val="000000" w:themeColor="text1"/>
        </w:rPr>
        <w:t xml:space="preserve">According to </w:t>
      </w:r>
      <w:r w:rsidR="00991287" w:rsidRPr="00C66C24">
        <w:rPr>
          <w:rFonts w:eastAsia="Calibri"/>
          <w:color w:val="000000" w:themeColor="text1"/>
        </w:rPr>
        <w:t xml:space="preserve">the </w:t>
      </w:r>
      <w:r w:rsidR="05157008" w:rsidRPr="00C66C24">
        <w:rPr>
          <w:rFonts w:eastAsia="Calibri"/>
          <w:color w:val="000000" w:themeColor="text1"/>
        </w:rPr>
        <w:t xml:space="preserve">World Shipping Council’s (WSC) annual survey (addressed to companies that operate more than 90% of the global containership capacity), in 2022, </w:t>
      </w:r>
      <w:r w:rsidR="00991287" w:rsidRPr="00C66C24">
        <w:rPr>
          <w:rFonts w:eastAsia="Calibri"/>
          <w:color w:val="000000" w:themeColor="text1"/>
        </w:rPr>
        <w:t xml:space="preserve">a total of </w:t>
      </w:r>
      <w:r w:rsidR="05157008" w:rsidRPr="00C66C24">
        <w:rPr>
          <w:rFonts w:eastAsia="Calibri"/>
          <w:color w:val="000000" w:themeColor="text1"/>
        </w:rPr>
        <w:t xml:space="preserve">661 containers </w:t>
      </w:r>
      <w:r w:rsidR="05157008" w:rsidRPr="00C66C24">
        <w:rPr>
          <w:rFonts w:eastAsia="Calibri"/>
          <w:color w:val="000000" w:themeColor="text1"/>
          <w:szCs w:val="22"/>
        </w:rPr>
        <w:t>were lost at sea</w:t>
      </w:r>
      <w:r w:rsidR="009A4371" w:rsidRPr="00C66C24">
        <w:rPr>
          <w:rFonts w:eastAsia="Calibri"/>
          <w:color w:val="000000" w:themeColor="text1"/>
          <w:szCs w:val="22"/>
        </w:rPr>
        <w:t xml:space="preserve"> (</w:t>
      </w:r>
      <w:r w:rsidR="00B54682" w:rsidRPr="00C66C24">
        <w:rPr>
          <w:rFonts w:eastAsia="Calibri"/>
          <w:color w:val="000000" w:themeColor="text1"/>
          <w:szCs w:val="22"/>
        </w:rPr>
        <w:fldChar w:fldCharType="begin"/>
      </w:r>
      <w:r w:rsidR="00B54682" w:rsidRPr="00C66C24">
        <w:rPr>
          <w:rFonts w:eastAsia="Calibri"/>
          <w:color w:val="000000" w:themeColor="text1"/>
          <w:szCs w:val="22"/>
        </w:rPr>
        <w:instrText xml:space="preserve"> REF _Ref151562579 \h  \* MERGEFORMAT </w:instrText>
      </w:r>
      <w:r w:rsidR="00B54682" w:rsidRPr="00C66C24">
        <w:rPr>
          <w:rFonts w:eastAsia="Calibri"/>
          <w:color w:val="000000" w:themeColor="text1"/>
          <w:szCs w:val="22"/>
        </w:rPr>
      </w:r>
      <w:r w:rsidR="00B54682" w:rsidRPr="00C66C24">
        <w:rPr>
          <w:rFonts w:eastAsia="Calibri"/>
          <w:color w:val="000000" w:themeColor="text1"/>
          <w:szCs w:val="22"/>
        </w:rPr>
        <w:fldChar w:fldCharType="separate"/>
      </w:r>
      <w:r w:rsidR="008A32F6" w:rsidRPr="00C66C24">
        <w:rPr>
          <w:szCs w:val="22"/>
        </w:rPr>
        <w:t xml:space="preserve">Figure </w:t>
      </w:r>
      <w:r w:rsidR="008A32F6" w:rsidRPr="00C66C24">
        <w:rPr>
          <w:noProof/>
          <w:szCs w:val="22"/>
        </w:rPr>
        <w:t>2.40</w:t>
      </w:r>
      <w:r w:rsidR="00B54682" w:rsidRPr="00C66C24">
        <w:rPr>
          <w:rFonts w:eastAsia="Calibri"/>
          <w:color w:val="000000" w:themeColor="text1"/>
          <w:szCs w:val="22"/>
        </w:rPr>
        <w:fldChar w:fldCharType="end"/>
      </w:r>
      <w:r w:rsidR="009A4371" w:rsidRPr="00C66C24">
        <w:rPr>
          <w:rFonts w:eastAsia="Calibri"/>
          <w:color w:val="000000" w:themeColor="text1"/>
        </w:rPr>
        <w:t>)</w:t>
      </w:r>
      <w:r w:rsidR="00991287" w:rsidRPr="00C66C24">
        <w:rPr>
          <w:rFonts w:eastAsia="Calibri"/>
          <w:color w:val="000000" w:themeColor="text1"/>
        </w:rPr>
        <w:t>. This number</w:t>
      </w:r>
      <w:r w:rsidR="05157008" w:rsidRPr="00C66C24">
        <w:rPr>
          <w:rFonts w:eastAsia="Calibri"/>
          <w:color w:val="000000" w:themeColor="text1"/>
        </w:rPr>
        <w:t xml:space="preserve"> represents 0.00048% of the 250 million packed and empty containers currently shipped each year globally </w:t>
      </w:r>
      <w:r w:rsidR="00F668EA" w:rsidRPr="00C66C24">
        <w:rPr>
          <w:rFonts w:eastAsia="Calibri"/>
          <w:color w:val="000000" w:themeColor="text1"/>
        </w:rPr>
        <w:fldChar w:fldCharType="begin"/>
      </w:r>
      <w:r w:rsidR="00D9530C" w:rsidRPr="00C66C24">
        <w:rPr>
          <w:rFonts w:eastAsia="Calibri"/>
          <w:color w:val="000000" w:themeColor="text1"/>
        </w:rPr>
        <w:instrText xml:space="preserve"> ADDIN ZOTERO_ITEM CSL_CITATION {"citationID":"uekkTOuP","properties":{"formattedCitation":"(WSC, 2023)","plainCitation":"(WSC, 2023)","noteIndex":0},"citationItems":[{"id":52073,"uris":["http://zotero.org/groups/122386/items/45Q6T6JL"],"itemData":{"id":52073,"type":"report","publisher":"World Shipping Council","title":"Containers Lost at Sea – 2023 Update","URL":"https://static1.squarespace.com/static/5ff6c5336c885a268148bdcc/t/646cf5b50ba5a260052b1b66/1684862389529/Containers_Lost_at_Sea_2023_FINAL.pdf","author":[{"literal":"WSC"}],"issued":{"date-parts":[["2023"]]}}}],"schema":"https://github.com/citation-style-language/schema/raw/master/csl-citation.json"} </w:instrText>
      </w:r>
      <w:r w:rsidR="00F668EA" w:rsidRPr="00C66C24">
        <w:rPr>
          <w:rFonts w:eastAsia="Calibri"/>
          <w:color w:val="000000" w:themeColor="text1"/>
        </w:rPr>
        <w:fldChar w:fldCharType="separate"/>
      </w:r>
      <w:r w:rsidR="00F668EA" w:rsidRPr="00C66C24">
        <w:rPr>
          <w:rFonts w:ascii="Calibri" w:hAnsi="Calibri" w:cs="Calibri"/>
        </w:rPr>
        <w:t>(WSC, 2023)</w:t>
      </w:r>
      <w:r w:rsidR="00F668EA" w:rsidRPr="00C66C24">
        <w:rPr>
          <w:rFonts w:eastAsia="Calibri"/>
          <w:color w:val="000000" w:themeColor="text1"/>
        </w:rPr>
        <w:fldChar w:fldCharType="end"/>
      </w:r>
      <w:r w:rsidR="05157008" w:rsidRPr="00C66C24">
        <w:rPr>
          <w:rFonts w:eastAsia="Calibri"/>
          <w:color w:val="000000" w:themeColor="text1"/>
        </w:rPr>
        <w:t>. </w:t>
      </w:r>
      <w:r w:rsidR="00991287" w:rsidRPr="00C66C24">
        <w:rPr>
          <w:rFonts w:eastAsia="Calibri"/>
          <w:color w:val="000000" w:themeColor="text1"/>
        </w:rPr>
        <w:t xml:space="preserve">However, since </w:t>
      </w:r>
      <w:r w:rsidR="7850830A" w:rsidRPr="00C66C24">
        <w:rPr>
          <w:rFonts w:eastAsia="Calibri"/>
          <w:color w:val="000000" w:themeColor="text1"/>
        </w:rPr>
        <w:t xml:space="preserve">2019 </w:t>
      </w:r>
      <w:r w:rsidR="00991287" w:rsidRPr="00C66C24">
        <w:rPr>
          <w:rFonts w:eastAsia="Calibri"/>
          <w:color w:val="000000" w:themeColor="text1"/>
        </w:rPr>
        <w:t xml:space="preserve">there have been a number of </w:t>
      </w:r>
      <w:r w:rsidR="00D4203B" w:rsidRPr="00C66C24">
        <w:rPr>
          <w:rFonts w:eastAsia="Calibri"/>
          <w:color w:val="000000" w:themeColor="text1"/>
        </w:rPr>
        <w:t>notable incidents involving container loss</w:t>
      </w:r>
      <w:r w:rsidR="00991287" w:rsidRPr="00C66C24">
        <w:rPr>
          <w:rFonts w:eastAsia="Calibri"/>
          <w:color w:val="000000" w:themeColor="text1"/>
        </w:rPr>
        <w:t>,</w:t>
      </w:r>
      <w:r w:rsidR="00D4203B" w:rsidRPr="00C66C24">
        <w:rPr>
          <w:rFonts w:eastAsia="Calibri"/>
          <w:color w:val="000000" w:themeColor="text1"/>
        </w:rPr>
        <w:t xml:space="preserve"> includ</w:t>
      </w:r>
      <w:r w:rsidR="00991287" w:rsidRPr="00C66C24">
        <w:rPr>
          <w:rFonts w:eastAsia="Calibri"/>
          <w:color w:val="000000" w:themeColor="text1"/>
        </w:rPr>
        <w:t>ing the following</w:t>
      </w:r>
      <w:r w:rsidR="00D4203B" w:rsidRPr="00C66C24">
        <w:rPr>
          <w:rFonts w:eastAsia="Calibri"/>
          <w:color w:val="000000" w:themeColor="text1"/>
        </w:rPr>
        <w:t xml:space="preserve"> </w:t>
      </w:r>
      <w:r w:rsidR="00991287" w:rsidRPr="00C66C24">
        <w:rPr>
          <w:rFonts w:eastAsia="Calibri"/>
          <w:color w:val="000000" w:themeColor="text1"/>
        </w:rPr>
        <w:t xml:space="preserve">three, which resulted in considerable impact on the marine environment: </w:t>
      </w:r>
    </w:p>
    <w:p w14:paraId="2A758F26" w14:textId="46C6BD50" w:rsidR="00D4203B" w:rsidRPr="00C66C24" w:rsidRDefault="00D4203B" w:rsidP="00B14BA4">
      <w:pPr>
        <w:pStyle w:val="ListParagraph"/>
        <w:numPr>
          <w:ilvl w:val="0"/>
          <w:numId w:val="13"/>
        </w:numPr>
        <w:spacing w:after="160" w:line="257" w:lineRule="auto"/>
        <w:rPr>
          <w:rFonts w:ascii="Calibri" w:eastAsia="Calibri" w:hAnsi="Calibri" w:cs="Calibri"/>
          <w:color w:val="000000" w:themeColor="text1"/>
          <w:lang w:val="en-GB"/>
        </w:rPr>
      </w:pPr>
      <w:r w:rsidRPr="00C66C24">
        <w:rPr>
          <w:rFonts w:eastAsia="Calibri"/>
          <w:iCs w:val="0"/>
          <w:color w:val="000000" w:themeColor="text1"/>
          <w:lang w:val="en-GB"/>
        </w:rPr>
        <w:t>The MSC Zoe incident in 2019, which resulted in the loss of 342 containers overboard in EU waters; </w:t>
      </w:r>
    </w:p>
    <w:p w14:paraId="7B0166D0" w14:textId="3B09E620" w:rsidR="00D4203B" w:rsidRPr="00C66C24" w:rsidRDefault="00D4203B" w:rsidP="00B14BA4">
      <w:pPr>
        <w:pStyle w:val="ListParagraph"/>
        <w:numPr>
          <w:ilvl w:val="0"/>
          <w:numId w:val="9"/>
        </w:numPr>
        <w:spacing w:after="160" w:line="257" w:lineRule="auto"/>
        <w:rPr>
          <w:rFonts w:ascii="Calibri" w:eastAsia="Calibri" w:hAnsi="Calibri" w:cs="Calibri"/>
          <w:color w:val="000000" w:themeColor="text1"/>
          <w:lang w:val="en-GB"/>
        </w:rPr>
      </w:pPr>
      <w:r w:rsidRPr="00C66C24">
        <w:rPr>
          <w:rFonts w:eastAsia="Calibri"/>
          <w:iCs w:val="0"/>
          <w:color w:val="000000" w:themeColor="text1"/>
          <w:lang w:val="en-GB"/>
        </w:rPr>
        <w:t>The ONE Apus incident in 2020 resulting in more than 1,800</w:t>
      </w:r>
      <w:r w:rsidR="00FB7735" w:rsidRPr="00C66C24">
        <w:rPr>
          <w:rFonts w:eastAsia="Calibri"/>
          <w:iCs w:val="0"/>
          <w:color w:val="000000" w:themeColor="text1"/>
          <w:lang w:val="en-GB"/>
        </w:rPr>
        <w:t xml:space="preserve"> </w:t>
      </w:r>
      <w:r w:rsidRPr="00C66C24">
        <w:rPr>
          <w:rFonts w:eastAsia="Calibri"/>
          <w:iCs w:val="0"/>
          <w:color w:val="000000" w:themeColor="text1"/>
          <w:lang w:val="en-GB"/>
        </w:rPr>
        <w:t>containers overboard</w:t>
      </w:r>
      <w:r w:rsidR="00485577" w:rsidRPr="00C66C24">
        <w:rPr>
          <w:rFonts w:eastAsia="Calibri"/>
          <w:iCs w:val="0"/>
          <w:color w:val="000000" w:themeColor="text1"/>
          <w:lang w:val="en-GB"/>
        </w:rPr>
        <w:t xml:space="preserve"> in the </w:t>
      </w:r>
      <w:r w:rsidR="00FC45FE" w:rsidRPr="00C66C24">
        <w:rPr>
          <w:rFonts w:eastAsia="Calibri"/>
          <w:iCs w:val="0"/>
          <w:color w:val="000000" w:themeColor="text1"/>
          <w:lang w:val="en-GB"/>
        </w:rPr>
        <w:t xml:space="preserve">north </w:t>
      </w:r>
      <w:r w:rsidR="00485577" w:rsidRPr="00C66C24">
        <w:rPr>
          <w:rFonts w:eastAsia="Calibri"/>
          <w:iCs w:val="0"/>
          <w:color w:val="000000" w:themeColor="text1"/>
          <w:lang w:val="en-GB"/>
        </w:rPr>
        <w:t>Pacific Ocean</w:t>
      </w:r>
      <w:r w:rsidRPr="00C66C24">
        <w:rPr>
          <w:rFonts w:eastAsia="Calibri"/>
          <w:iCs w:val="0"/>
          <w:color w:val="000000" w:themeColor="text1"/>
          <w:lang w:val="en-GB"/>
        </w:rPr>
        <w:t>, and; </w:t>
      </w:r>
    </w:p>
    <w:p w14:paraId="7FD23ABC" w14:textId="58CAF2CA" w:rsidR="00D4203B" w:rsidRPr="00C66C24" w:rsidRDefault="00D4203B" w:rsidP="00B14BA4">
      <w:pPr>
        <w:pStyle w:val="ListParagraph"/>
        <w:numPr>
          <w:ilvl w:val="0"/>
          <w:numId w:val="9"/>
        </w:numPr>
        <w:spacing w:before="0" w:after="0" w:line="257" w:lineRule="auto"/>
        <w:ind w:left="714" w:hanging="357"/>
        <w:rPr>
          <w:szCs w:val="22"/>
          <w:lang w:val="en-GB"/>
        </w:rPr>
      </w:pPr>
      <w:r w:rsidRPr="00C66C24">
        <w:rPr>
          <w:rFonts w:eastAsia="Calibri"/>
          <w:iCs w:val="0"/>
          <w:color w:val="000000" w:themeColor="text1"/>
          <w:lang w:val="en-GB"/>
        </w:rPr>
        <w:t>The Maersk Essen</w:t>
      </w:r>
      <w:r w:rsidR="008C35ED" w:rsidRPr="00C66C24">
        <w:rPr>
          <w:rFonts w:eastAsia="Calibri"/>
          <w:iCs w:val="0"/>
          <w:color w:val="000000" w:themeColor="text1"/>
          <w:lang w:val="en-GB"/>
        </w:rPr>
        <w:t>,</w:t>
      </w:r>
      <w:r w:rsidRPr="00C66C24">
        <w:rPr>
          <w:rFonts w:eastAsia="Calibri"/>
          <w:iCs w:val="0"/>
          <w:color w:val="000000" w:themeColor="text1"/>
          <w:lang w:val="en-GB"/>
        </w:rPr>
        <w:t xml:space="preserve"> in 2021 which resulted in a loss of more than 750 containers</w:t>
      </w:r>
      <w:r w:rsidR="00D414AF" w:rsidRPr="00C66C24">
        <w:rPr>
          <w:rFonts w:eastAsia="Calibri"/>
          <w:iCs w:val="0"/>
          <w:color w:val="000000" w:themeColor="text1"/>
          <w:lang w:val="en-GB"/>
        </w:rPr>
        <w:t xml:space="preserve"> in the </w:t>
      </w:r>
      <w:r w:rsidR="00FC45FE" w:rsidRPr="00C66C24">
        <w:rPr>
          <w:rFonts w:eastAsia="Calibri"/>
          <w:iCs w:val="0"/>
          <w:color w:val="000000" w:themeColor="text1"/>
          <w:lang w:val="en-GB"/>
        </w:rPr>
        <w:t xml:space="preserve">north </w:t>
      </w:r>
      <w:r w:rsidR="00D414AF" w:rsidRPr="00C66C24">
        <w:rPr>
          <w:rFonts w:eastAsia="Calibri"/>
          <w:iCs w:val="0"/>
          <w:color w:val="000000" w:themeColor="text1"/>
          <w:lang w:val="en-GB"/>
        </w:rPr>
        <w:t>Pacific Ocean</w:t>
      </w:r>
      <w:r w:rsidRPr="00C66C24">
        <w:rPr>
          <w:rFonts w:eastAsia="Calibri"/>
          <w:iCs w:val="0"/>
          <w:color w:val="000000" w:themeColor="text1"/>
          <w:lang w:val="en-GB"/>
        </w:rPr>
        <w:t>. </w:t>
      </w:r>
    </w:p>
    <w:p w14:paraId="5AE4A240" w14:textId="3706B9A8" w:rsidR="000A5117" w:rsidRPr="00C66C24" w:rsidRDefault="007C50D6" w:rsidP="008C6A9C">
      <w:pPr>
        <w:spacing w:after="160" w:line="257" w:lineRule="auto"/>
      </w:pPr>
      <w:r w:rsidRPr="00C66C24">
        <w:rPr>
          <w:szCs w:val="22"/>
        </w:rPr>
        <w:t>The outlying number of containers lost in 2013</w:t>
      </w:r>
      <w:r w:rsidR="00DD0105" w:rsidRPr="00C66C24">
        <w:rPr>
          <w:szCs w:val="22"/>
        </w:rPr>
        <w:t xml:space="preserve"> (</w:t>
      </w:r>
      <w:r w:rsidR="00DD0105" w:rsidRPr="00C66C24">
        <w:rPr>
          <w:szCs w:val="22"/>
        </w:rPr>
        <w:fldChar w:fldCharType="begin"/>
      </w:r>
      <w:r w:rsidR="00DD0105" w:rsidRPr="00C66C24">
        <w:rPr>
          <w:szCs w:val="22"/>
        </w:rPr>
        <w:instrText xml:space="preserve"> REF _Ref151562579 \h </w:instrText>
      </w:r>
      <w:r w:rsidR="005823D3" w:rsidRPr="00C66C24">
        <w:rPr>
          <w:szCs w:val="22"/>
        </w:rPr>
        <w:instrText xml:space="preserve"> \* MERGEFORMAT </w:instrText>
      </w:r>
      <w:r w:rsidR="00DD0105" w:rsidRPr="00C66C24">
        <w:rPr>
          <w:szCs w:val="22"/>
        </w:rPr>
      </w:r>
      <w:r w:rsidR="00DD0105" w:rsidRPr="00C66C24">
        <w:rPr>
          <w:szCs w:val="22"/>
        </w:rPr>
        <w:fldChar w:fldCharType="separate"/>
      </w:r>
      <w:r w:rsidR="00384BAB" w:rsidRPr="00C66C24">
        <w:rPr>
          <w:szCs w:val="22"/>
        </w:rPr>
        <w:t xml:space="preserve">Figure </w:t>
      </w:r>
      <w:r w:rsidR="00384BAB" w:rsidRPr="00C66C24">
        <w:rPr>
          <w:noProof/>
          <w:szCs w:val="22"/>
        </w:rPr>
        <w:t>2.40</w:t>
      </w:r>
      <w:r w:rsidR="00DD0105" w:rsidRPr="00C66C24">
        <w:rPr>
          <w:szCs w:val="22"/>
        </w:rPr>
        <w:fldChar w:fldCharType="end"/>
      </w:r>
      <w:r w:rsidR="00DD0105" w:rsidRPr="00C66C24">
        <w:t>)</w:t>
      </w:r>
      <w:r w:rsidRPr="00C66C24">
        <w:t xml:space="preserve"> is </w:t>
      </w:r>
      <w:r w:rsidR="003757C7" w:rsidRPr="00C66C24">
        <w:t xml:space="preserve">a result of the sinking of the MOL Comfort </w:t>
      </w:r>
      <w:r w:rsidR="007A666C" w:rsidRPr="00C66C24">
        <w:t>on the 17th of June 2013</w:t>
      </w:r>
      <w:r w:rsidR="00D17CAC" w:rsidRPr="00C66C24">
        <w:t xml:space="preserve"> in the Indian Ocean.</w:t>
      </w:r>
      <w:r w:rsidR="00EF2E01" w:rsidRPr="00C66C24">
        <w:t xml:space="preserve"> </w:t>
      </w:r>
      <w:r w:rsidR="006F5CA5" w:rsidRPr="00C66C24">
        <w:t>The</w:t>
      </w:r>
      <w:r w:rsidR="00EF2E01" w:rsidRPr="00C66C24">
        <w:t xml:space="preserve"> incident resulted in </w:t>
      </w:r>
      <w:r w:rsidR="0066167E" w:rsidRPr="00C66C24">
        <w:t xml:space="preserve">4,382 </w:t>
      </w:r>
      <w:r w:rsidR="00172240" w:rsidRPr="00C66C24">
        <w:t xml:space="preserve">container </w:t>
      </w:r>
      <w:r w:rsidR="0066167E" w:rsidRPr="00C66C24">
        <w:t>units (7,041 TEU)</w:t>
      </w:r>
      <w:r w:rsidR="00172240" w:rsidRPr="00C66C24">
        <w:t xml:space="preserve"> lost at </w:t>
      </w:r>
      <w:r w:rsidR="00F26914" w:rsidRPr="00C66C24">
        <w:t>sea</w:t>
      </w:r>
      <w:r w:rsidR="00F10D11" w:rsidRPr="00C66C24">
        <w:t>.</w:t>
      </w:r>
      <w:r w:rsidR="00F26914" w:rsidRPr="00C66C24">
        <w:t xml:space="preserve">  and</w:t>
      </w:r>
      <w:r w:rsidR="00F4297F" w:rsidRPr="00C66C24">
        <w:t xml:space="preserve"> is</w:t>
      </w:r>
      <w:r w:rsidR="00F26914" w:rsidRPr="00C66C24">
        <w:t xml:space="preserve"> still</w:t>
      </w:r>
      <w:r w:rsidR="00F4297F" w:rsidRPr="00C66C24">
        <w:t xml:space="preserve"> </w:t>
      </w:r>
      <w:r w:rsidR="002B6E55" w:rsidRPr="00C66C24">
        <w:t xml:space="preserve">considered the largest number of </w:t>
      </w:r>
      <w:r w:rsidR="00483132" w:rsidRPr="00C66C24">
        <w:t>containers lost in a single event.</w:t>
      </w:r>
    </w:p>
    <w:p w14:paraId="6A2BB3FC" w14:textId="77777777" w:rsidR="00F47AC5" w:rsidRPr="00C66C24" w:rsidRDefault="00D4203B" w:rsidP="008C6A9C">
      <w:pPr>
        <w:pStyle w:val="paragraph"/>
        <w:keepNext/>
        <w:spacing w:before="0" w:beforeAutospacing="0" w:after="0" w:afterAutospacing="0" w:line="257" w:lineRule="auto"/>
        <w:jc w:val="center"/>
        <w:textAlignment w:val="baseline"/>
        <w:rPr>
          <w:lang w:val="en-GB"/>
        </w:rPr>
      </w:pPr>
      <w:r w:rsidRPr="00C66C24">
        <w:rPr>
          <w:noProof/>
          <w:lang w:val="en-GB"/>
        </w:rPr>
        <w:drawing>
          <wp:inline distT="0" distB="0" distL="0" distR="0" wp14:anchorId="71816423" wp14:editId="337D6E4E">
            <wp:extent cx="4694400" cy="2934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73">
                      <a:extLst>
                        <a:ext uri="{28A0092B-C50C-407E-A947-70E740481C1C}">
                          <a14:useLocalDpi xmlns:a14="http://schemas.microsoft.com/office/drawing/2010/main" val="0"/>
                        </a:ext>
                      </a:extLst>
                    </a:blip>
                    <a:stretch>
                      <a:fillRect/>
                    </a:stretch>
                  </pic:blipFill>
                  <pic:spPr>
                    <a:xfrm>
                      <a:off x="0" y="0"/>
                      <a:ext cx="4694400" cy="2934000"/>
                    </a:xfrm>
                    <a:prstGeom prst="rect">
                      <a:avLst/>
                    </a:prstGeom>
                  </pic:spPr>
                </pic:pic>
              </a:graphicData>
            </a:graphic>
          </wp:inline>
        </w:drawing>
      </w:r>
    </w:p>
    <w:p w14:paraId="09D86EF0" w14:textId="4D283CCB" w:rsidR="00D4203B" w:rsidRPr="00C66C24" w:rsidRDefault="00CA2091" w:rsidP="008C6A9C">
      <w:pPr>
        <w:pStyle w:val="Caption"/>
        <w:spacing w:after="0" w:line="257" w:lineRule="auto"/>
        <w:jc w:val="center"/>
        <w:rPr>
          <w:sz w:val="20"/>
          <w:szCs w:val="20"/>
        </w:rPr>
      </w:pPr>
      <w:bookmarkStart w:id="160" w:name="_Ref151562579"/>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40</w:t>
      </w:r>
      <w:r w:rsidR="00A81F61" w:rsidRPr="00C66C24">
        <w:rPr>
          <w:sz w:val="20"/>
          <w:szCs w:val="20"/>
        </w:rPr>
        <w:fldChar w:fldCharType="end"/>
      </w:r>
      <w:bookmarkEnd w:id="160"/>
      <w:r w:rsidR="00D4203B" w:rsidRPr="00C66C24">
        <w:rPr>
          <w:sz w:val="20"/>
          <w:szCs w:val="20"/>
        </w:rPr>
        <w:t xml:space="preserve"> Total number of containers lost at sea at global level per year and 3-year moving average</w:t>
      </w:r>
      <w:r w:rsidR="00DE449B" w:rsidRPr="00C66C24">
        <w:rPr>
          <w:sz w:val="20"/>
          <w:szCs w:val="20"/>
        </w:rPr>
        <w:t>.</w:t>
      </w:r>
    </w:p>
    <w:p w14:paraId="4C59598B" w14:textId="78C3B3F3" w:rsidR="00D4203B" w:rsidRPr="00C66C24" w:rsidRDefault="00D4203B" w:rsidP="008C6A9C">
      <w:pPr>
        <w:pStyle w:val="paragraph"/>
        <w:spacing w:before="0" w:beforeAutospacing="0" w:after="120" w:afterAutospacing="0" w:line="257" w:lineRule="auto"/>
        <w:jc w:val="center"/>
        <w:textAlignment w:val="baseline"/>
        <w:rPr>
          <w:rFonts w:asciiTheme="minorHAnsi" w:hAnsiTheme="minorHAnsi" w:cstheme="minorHAnsi"/>
          <w:sz w:val="20"/>
          <w:szCs w:val="20"/>
          <w:lang w:val="en-GB"/>
        </w:rPr>
      </w:pPr>
      <w:r w:rsidRPr="00C66C24">
        <w:rPr>
          <w:rStyle w:val="normaltextrun"/>
          <w:rFonts w:asciiTheme="minorHAnsi" w:hAnsiTheme="minorHAnsi" w:cstheme="minorHAnsi"/>
          <w:sz w:val="20"/>
          <w:szCs w:val="20"/>
          <w:lang w:val="en-GB"/>
        </w:rPr>
        <w:t>Source: World Shipping Council (2023)</w:t>
      </w:r>
      <w:r w:rsidR="002544D3" w:rsidRPr="00C66C24">
        <w:rPr>
          <w:rStyle w:val="eop"/>
          <w:rFonts w:asciiTheme="minorHAnsi" w:hAnsiTheme="minorHAnsi" w:cstheme="minorHAnsi"/>
          <w:sz w:val="20"/>
          <w:szCs w:val="20"/>
          <w:lang w:val="en-GB"/>
        </w:rPr>
        <w:t>.</w:t>
      </w:r>
    </w:p>
    <w:p w14:paraId="1ACD11CD" w14:textId="03E744B6" w:rsidR="00D4203B" w:rsidRPr="00C66C24" w:rsidRDefault="00991287" w:rsidP="008C6A9C">
      <w:pPr>
        <w:pStyle w:val="paragraph"/>
        <w:spacing w:before="0" w:beforeAutospacing="0" w:after="0" w:afterAutospacing="0" w:line="257" w:lineRule="auto"/>
        <w:jc w:val="both"/>
        <w:textAlignment w:val="baseline"/>
        <w:rPr>
          <w:rFonts w:asciiTheme="minorHAnsi" w:eastAsia="Calibri" w:hAnsiTheme="minorHAnsi"/>
          <w:color w:val="000000" w:themeColor="text1"/>
          <w:sz w:val="22"/>
          <w:szCs w:val="22"/>
          <w:lang w:val="en-GB" w:eastAsia="en-US"/>
        </w:rPr>
      </w:pPr>
      <w:r w:rsidRPr="00C66C24">
        <w:rPr>
          <w:rFonts w:asciiTheme="minorHAnsi" w:eastAsia="Calibri" w:hAnsiTheme="minorHAnsi"/>
          <w:color w:val="000000" w:themeColor="text1"/>
          <w:sz w:val="22"/>
          <w:szCs w:val="22"/>
          <w:lang w:val="en-GB" w:eastAsia="en-US"/>
        </w:rPr>
        <w:t xml:space="preserve">From </w:t>
      </w:r>
      <w:r w:rsidR="000A765A" w:rsidRPr="00C66C24">
        <w:rPr>
          <w:rFonts w:asciiTheme="minorHAnsi" w:eastAsia="Calibri" w:hAnsiTheme="minorHAnsi"/>
          <w:color w:val="000000" w:themeColor="text1"/>
          <w:sz w:val="22"/>
          <w:szCs w:val="22"/>
          <w:lang w:val="en-GB" w:eastAsia="en-US"/>
        </w:rPr>
        <w:t xml:space="preserve">the </w:t>
      </w:r>
      <w:r w:rsidRPr="00C66C24">
        <w:rPr>
          <w:rFonts w:asciiTheme="minorHAnsi" w:eastAsia="Calibri" w:hAnsiTheme="minorHAnsi"/>
          <w:color w:val="000000" w:themeColor="text1"/>
          <w:sz w:val="22"/>
          <w:szCs w:val="22"/>
          <w:lang w:val="en-GB" w:eastAsia="en-US"/>
        </w:rPr>
        <w:t>European Union</w:t>
      </w:r>
      <w:r w:rsidR="000A765A" w:rsidRPr="00C66C24">
        <w:rPr>
          <w:rFonts w:asciiTheme="minorHAnsi" w:eastAsia="Calibri" w:hAnsiTheme="minorHAnsi"/>
          <w:color w:val="000000" w:themeColor="text1"/>
          <w:sz w:val="22"/>
          <w:szCs w:val="22"/>
          <w:lang w:val="en-GB" w:eastAsia="en-US"/>
        </w:rPr>
        <w:t>’s</w:t>
      </w:r>
      <w:r w:rsidRPr="00C66C24">
        <w:rPr>
          <w:rFonts w:asciiTheme="minorHAnsi" w:eastAsia="Calibri" w:hAnsiTheme="minorHAnsi"/>
          <w:color w:val="000000" w:themeColor="text1"/>
          <w:sz w:val="22"/>
          <w:szCs w:val="22"/>
          <w:lang w:val="en-GB" w:eastAsia="en-US"/>
        </w:rPr>
        <w:t xml:space="preserve"> perspective, </w:t>
      </w:r>
      <w:r w:rsidR="00D4203B" w:rsidRPr="00C66C24">
        <w:rPr>
          <w:rFonts w:asciiTheme="minorHAnsi" w:eastAsia="Calibri" w:hAnsiTheme="minorHAnsi"/>
          <w:color w:val="000000" w:themeColor="text1"/>
          <w:sz w:val="22"/>
          <w:szCs w:val="22"/>
          <w:lang w:val="en-GB" w:eastAsia="en-US"/>
        </w:rPr>
        <w:t>data from the European Marine Casualty Information Platform (EMCIP) show</w:t>
      </w:r>
      <w:r w:rsidR="000A765A" w:rsidRPr="00C66C24">
        <w:rPr>
          <w:rFonts w:asciiTheme="minorHAnsi" w:eastAsia="Calibri" w:hAnsiTheme="minorHAnsi"/>
          <w:color w:val="000000" w:themeColor="text1"/>
          <w:sz w:val="22"/>
          <w:szCs w:val="22"/>
          <w:lang w:val="en-GB" w:eastAsia="en-US"/>
        </w:rPr>
        <w:t>s</w:t>
      </w:r>
      <w:r w:rsidR="00D4203B" w:rsidRPr="00C66C24">
        <w:rPr>
          <w:rFonts w:asciiTheme="minorHAnsi" w:eastAsia="Calibri" w:hAnsiTheme="minorHAnsi"/>
          <w:color w:val="000000" w:themeColor="text1"/>
          <w:sz w:val="22"/>
          <w:szCs w:val="22"/>
          <w:lang w:val="en-GB" w:eastAsia="en-US"/>
        </w:rPr>
        <w:t xml:space="preserve"> that in the EU, for the period from 2011 until 202</w:t>
      </w:r>
      <w:r w:rsidR="00B84591" w:rsidRPr="00C66C24">
        <w:rPr>
          <w:rFonts w:asciiTheme="minorHAnsi" w:eastAsia="Calibri" w:hAnsiTheme="minorHAnsi"/>
          <w:color w:val="000000" w:themeColor="text1"/>
          <w:sz w:val="22"/>
          <w:szCs w:val="22"/>
          <w:lang w:val="en-GB" w:eastAsia="en-US"/>
        </w:rPr>
        <w:t>2</w:t>
      </w:r>
      <w:r w:rsidR="00D4203B" w:rsidRPr="00C66C24">
        <w:rPr>
          <w:rFonts w:asciiTheme="minorHAnsi" w:eastAsia="Calibri" w:hAnsiTheme="minorHAnsi"/>
          <w:color w:val="000000" w:themeColor="text1"/>
          <w:sz w:val="22"/>
          <w:szCs w:val="22"/>
          <w:lang w:val="en-GB" w:eastAsia="en-US"/>
        </w:rPr>
        <w:t xml:space="preserve">, </w:t>
      </w:r>
      <w:r w:rsidR="0F0FD11F" w:rsidRPr="00C66C24">
        <w:rPr>
          <w:rFonts w:asciiTheme="minorHAnsi" w:eastAsia="Calibri" w:hAnsiTheme="minorHAnsi"/>
          <w:color w:val="000000" w:themeColor="text1"/>
          <w:sz w:val="22"/>
          <w:szCs w:val="22"/>
          <w:lang w:val="en-GB" w:eastAsia="en-US"/>
        </w:rPr>
        <w:t xml:space="preserve">76 </w:t>
      </w:r>
      <w:r w:rsidRPr="00C66C24">
        <w:rPr>
          <w:rFonts w:asciiTheme="minorHAnsi" w:eastAsia="Calibri" w:hAnsiTheme="minorHAnsi"/>
          <w:color w:val="000000" w:themeColor="text1"/>
          <w:sz w:val="22"/>
          <w:szCs w:val="22"/>
          <w:lang w:val="en-GB" w:eastAsia="en-US"/>
        </w:rPr>
        <w:t xml:space="preserve">single </w:t>
      </w:r>
      <w:r w:rsidR="2B434226" w:rsidRPr="00C66C24">
        <w:rPr>
          <w:rFonts w:asciiTheme="minorHAnsi" w:eastAsia="Calibri" w:hAnsiTheme="minorHAnsi"/>
          <w:color w:val="000000" w:themeColor="text1"/>
          <w:sz w:val="22"/>
          <w:szCs w:val="22"/>
          <w:lang w:val="en-GB" w:eastAsia="en-US"/>
        </w:rPr>
        <w:t>occurrences</w:t>
      </w:r>
      <w:r w:rsidR="12D656F2" w:rsidRPr="00C66C24">
        <w:rPr>
          <w:rFonts w:asciiTheme="minorHAnsi" w:eastAsia="Calibri" w:hAnsiTheme="minorHAnsi"/>
          <w:color w:val="000000" w:themeColor="text1"/>
          <w:sz w:val="22"/>
          <w:szCs w:val="22"/>
          <w:lang w:val="en-GB" w:eastAsia="en-US"/>
        </w:rPr>
        <w:t xml:space="preserve"> </w:t>
      </w:r>
      <w:r w:rsidR="00AA1B2D" w:rsidRPr="00C66C24">
        <w:rPr>
          <w:rFonts w:asciiTheme="minorHAnsi" w:eastAsia="Calibri" w:hAnsiTheme="minorHAnsi"/>
          <w:color w:val="000000" w:themeColor="text1"/>
          <w:sz w:val="22"/>
          <w:szCs w:val="22"/>
          <w:lang w:val="en-GB" w:eastAsia="en-US"/>
        </w:rPr>
        <w:t xml:space="preserve">have been </w:t>
      </w:r>
      <w:r w:rsidR="2B434226" w:rsidRPr="00C66C24">
        <w:rPr>
          <w:rFonts w:asciiTheme="minorHAnsi" w:eastAsia="Calibri" w:hAnsiTheme="minorHAnsi"/>
          <w:color w:val="000000" w:themeColor="text1"/>
          <w:sz w:val="22"/>
          <w:szCs w:val="22"/>
          <w:lang w:val="en-GB" w:eastAsia="en-US"/>
        </w:rPr>
        <w:t>reported,</w:t>
      </w:r>
      <w:r w:rsidR="0F0FD11F" w:rsidRPr="00C66C24">
        <w:rPr>
          <w:rFonts w:asciiTheme="minorHAnsi" w:eastAsia="Calibri" w:hAnsiTheme="minorHAnsi"/>
          <w:color w:val="000000" w:themeColor="text1"/>
          <w:sz w:val="22"/>
          <w:szCs w:val="22"/>
          <w:lang w:val="en-GB" w:eastAsia="en-US"/>
        </w:rPr>
        <w:t xml:space="preserve"> resulting in</w:t>
      </w:r>
      <w:r w:rsidR="38089CD1" w:rsidRPr="00C66C24">
        <w:rPr>
          <w:rFonts w:asciiTheme="minorHAnsi" w:eastAsia="Calibri" w:hAnsiTheme="minorHAnsi"/>
          <w:color w:val="000000" w:themeColor="text1"/>
          <w:sz w:val="22"/>
          <w:szCs w:val="22"/>
          <w:lang w:val="en-GB" w:eastAsia="en-US"/>
        </w:rPr>
        <w:t xml:space="preserve"> a total of</w:t>
      </w:r>
      <w:r w:rsidR="0F0FD11F" w:rsidRPr="00C66C24">
        <w:rPr>
          <w:rFonts w:asciiTheme="minorHAnsi" w:eastAsia="Calibri" w:hAnsiTheme="minorHAnsi"/>
          <w:color w:val="000000" w:themeColor="text1"/>
          <w:sz w:val="22"/>
          <w:szCs w:val="22"/>
          <w:lang w:val="en-GB" w:eastAsia="en-US"/>
        </w:rPr>
        <w:t xml:space="preserve"> </w:t>
      </w:r>
      <w:r w:rsidR="00AC11A5" w:rsidRPr="00C66C24">
        <w:rPr>
          <w:rFonts w:asciiTheme="minorHAnsi" w:eastAsia="Calibri" w:hAnsiTheme="minorHAnsi"/>
          <w:color w:val="000000" w:themeColor="text1"/>
          <w:sz w:val="22"/>
          <w:szCs w:val="22"/>
          <w:lang w:val="en-GB" w:eastAsia="en-US"/>
        </w:rPr>
        <w:t xml:space="preserve">over </w:t>
      </w:r>
      <w:r w:rsidR="0F0FD11F" w:rsidRPr="00C66C24">
        <w:rPr>
          <w:rFonts w:asciiTheme="minorHAnsi" w:eastAsia="Calibri" w:hAnsiTheme="minorHAnsi"/>
          <w:color w:val="000000" w:themeColor="text1"/>
          <w:sz w:val="22"/>
          <w:szCs w:val="22"/>
          <w:lang w:val="en-GB" w:eastAsia="en-US"/>
        </w:rPr>
        <w:t>3</w:t>
      </w:r>
      <w:r w:rsidR="79CC0826" w:rsidRPr="00C66C24">
        <w:rPr>
          <w:rFonts w:asciiTheme="minorHAnsi" w:eastAsia="Calibri" w:hAnsiTheme="minorHAnsi"/>
          <w:color w:val="000000" w:themeColor="text1"/>
          <w:sz w:val="22"/>
          <w:szCs w:val="22"/>
          <w:lang w:val="en-GB" w:eastAsia="en-US"/>
        </w:rPr>
        <w:t>,</w:t>
      </w:r>
      <w:r w:rsidR="0F0FD11F" w:rsidRPr="00C66C24">
        <w:rPr>
          <w:rFonts w:asciiTheme="minorHAnsi" w:eastAsia="Calibri" w:hAnsiTheme="minorHAnsi"/>
          <w:color w:val="000000" w:themeColor="text1"/>
          <w:sz w:val="22"/>
          <w:szCs w:val="22"/>
          <w:lang w:val="en-GB" w:eastAsia="en-US"/>
        </w:rPr>
        <w:t>4</w:t>
      </w:r>
      <w:r w:rsidR="00AC11A5" w:rsidRPr="00C66C24">
        <w:rPr>
          <w:rFonts w:asciiTheme="minorHAnsi" w:eastAsia="Calibri" w:hAnsiTheme="minorHAnsi"/>
          <w:color w:val="000000" w:themeColor="text1"/>
          <w:sz w:val="22"/>
          <w:szCs w:val="22"/>
          <w:lang w:val="en-GB" w:eastAsia="en-US"/>
        </w:rPr>
        <w:t>60</w:t>
      </w:r>
      <w:r w:rsidR="0F0FD11F" w:rsidRPr="00C66C24">
        <w:rPr>
          <w:rFonts w:asciiTheme="minorHAnsi" w:eastAsia="Calibri" w:hAnsiTheme="minorHAnsi"/>
          <w:color w:val="000000" w:themeColor="text1"/>
          <w:sz w:val="22"/>
          <w:szCs w:val="22"/>
          <w:lang w:val="en-GB" w:eastAsia="en-US"/>
        </w:rPr>
        <w:t xml:space="preserve"> containers</w:t>
      </w:r>
      <w:r w:rsidR="5584B4F0" w:rsidRPr="00C66C24">
        <w:rPr>
          <w:rFonts w:asciiTheme="minorHAnsi" w:eastAsia="Calibri" w:hAnsiTheme="minorHAnsi"/>
          <w:color w:val="000000" w:themeColor="text1"/>
          <w:sz w:val="22"/>
          <w:szCs w:val="22"/>
          <w:lang w:val="en-GB" w:eastAsia="en-US"/>
        </w:rPr>
        <w:t xml:space="preserve"> lost overboard</w:t>
      </w:r>
      <w:r w:rsidR="00457EC7" w:rsidRPr="00C66C24">
        <w:rPr>
          <w:rFonts w:asciiTheme="minorHAnsi" w:eastAsia="Calibri" w:hAnsiTheme="minorHAnsi"/>
          <w:color w:val="000000" w:themeColor="text1"/>
          <w:sz w:val="22"/>
          <w:szCs w:val="22"/>
          <w:lang w:val="en-GB" w:eastAsia="en-US"/>
        </w:rPr>
        <w:t xml:space="preserve"> (see</w:t>
      </w:r>
      <w:r w:rsidR="00457EC7" w:rsidRPr="00C66C24">
        <w:rPr>
          <w:rFonts w:asciiTheme="minorHAnsi" w:eastAsia="Calibri" w:hAnsiTheme="minorHAnsi" w:cstheme="minorHAnsi"/>
          <w:color w:val="000000" w:themeColor="text1"/>
          <w:sz w:val="22"/>
          <w:szCs w:val="22"/>
          <w:lang w:val="en-GB" w:eastAsia="en-US"/>
        </w:rPr>
        <w:t xml:space="preserve"> </w:t>
      </w:r>
      <w:r w:rsidR="00C847A2" w:rsidRPr="00C66C24">
        <w:rPr>
          <w:rFonts w:asciiTheme="minorHAnsi" w:eastAsia="Calibri" w:hAnsiTheme="minorHAnsi" w:cstheme="minorHAnsi"/>
          <w:color w:val="000000" w:themeColor="text1"/>
          <w:sz w:val="22"/>
          <w:szCs w:val="22"/>
          <w:lang w:val="en-GB" w:eastAsia="en-US"/>
        </w:rPr>
        <w:fldChar w:fldCharType="begin"/>
      </w:r>
      <w:r w:rsidR="00C847A2" w:rsidRPr="00C66C24">
        <w:rPr>
          <w:rFonts w:asciiTheme="minorHAnsi" w:eastAsia="Calibri" w:hAnsiTheme="minorHAnsi" w:cstheme="minorHAnsi"/>
          <w:color w:val="000000" w:themeColor="text1"/>
          <w:sz w:val="22"/>
          <w:szCs w:val="22"/>
          <w:lang w:val="en-GB" w:eastAsia="en-US"/>
        </w:rPr>
        <w:instrText xml:space="preserve"> REF _Ref151136975 \h </w:instrText>
      </w:r>
      <w:r w:rsidR="0082092C" w:rsidRPr="00C66C24">
        <w:rPr>
          <w:rFonts w:asciiTheme="minorHAnsi" w:eastAsia="Calibri" w:hAnsiTheme="minorHAnsi" w:cstheme="minorHAnsi"/>
          <w:color w:val="000000" w:themeColor="text1"/>
          <w:sz w:val="22"/>
          <w:szCs w:val="22"/>
          <w:lang w:val="en-GB" w:eastAsia="en-US"/>
        </w:rPr>
        <w:instrText xml:space="preserve"> \* MERGEFORMAT </w:instrText>
      </w:r>
      <w:r w:rsidR="00C847A2" w:rsidRPr="00C66C24">
        <w:rPr>
          <w:rFonts w:asciiTheme="minorHAnsi" w:eastAsia="Calibri" w:hAnsiTheme="minorHAnsi" w:cstheme="minorHAnsi"/>
          <w:color w:val="000000" w:themeColor="text1"/>
          <w:sz w:val="22"/>
          <w:szCs w:val="22"/>
          <w:lang w:val="en-GB" w:eastAsia="en-US"/>
        </w:rPr>
      </w:r>
      <w:r w:rsidR="00C847A2" w:rsidRPr="00C66C24">
        <w:rPr>
          <w:rFonts w:asciiTheme="minorHAnsi" w:eastAsia="Calibri" w:hAnsiTheme="minorHAnsi" w:cstheme="minorHAnsi"/>
          <w:color w:val="000000" w:themeColor="text1"/>
          <w:sz w:val="22"/>
          <w:szCs w:val="22"/>
          <w:lang w:val="en-GB" w:eastAsia="en-US"/>
        </w:rPr>
        <w:fldChar w:fldCharType="separate"/>
      </w:r>
      <w:r w:rsidR="00AF2070" w:rsidRPr="00C66C24">
        <w:rPr>
          <w:rFonts w:asciiTheme="minorHAnsi" w:hAnsiTheme="minorHAnsi" w:cstheme="minorHAnsi"/>
          <w:sz w:val="22"/>
          <w:szCs w:val="22"/>
          <w:lang w:val="en-GB"/>
        </w:rPr>
        <w:t>Figure 2.41</w:t>
      </w:r>
      <w:r w:rsidR="00C847A2" w:rsidRPr="00C66C24">
        <w:rPr>
          <w:rFonts w:asciiTheme="minorHAnsi" w:eastAsia="Calibri" w:hAnsiTheme="minorHAnsi" w:cstheme="minorHAnsi"/>
          <w:color w:val="000000" w:themeColor="text1"/>
          <w:sz w:val="22"/>
          <w:szCs w:val="22"/>
          <w:lang w:val="en-GB" w:eastAsia="en-US"/>
        </w:rPr>
        <w:fldChar w:fldCharType="end"/>
      </w:r>
      <w:r w:rsidR="00457EC7" w:rsidRPr="00C66C24">
        <w:rPr>
          <w:rFonts w:asciiTheme="minorHAnsi" w:eastAsia="Calibri" w:hAnsiTheme="minorHAnsi" w:cstheme="minorHAnsi"/>
          <w:color w:val="000000" w:themeColor="text1"/>
          <w:sz w:val="22"/>
          <w:szCs w:val="22"/>
          <w:lang w:val="en-GB" w:eastAsia="en-US"/>
        </w:rPr>
        <w:t>)</w:t>
      </w:r>
      <w:r w:rsidR="00AA1B2D" w:rsidRPr="00C66C24">
        <w:rPr>
          <w:rFonts w:asciiTheme="minorHAnsi" w:eastAsia="Calibri" w:hAnsiTheme="minorHAnsi"/>
          <w:color w:val="000000" w:themeColor="text1"/>
          <w:sz w:val="22"/>
          <w:szCs w:val="22"/>
          <w:lang w:val="en-GB" w:eastAsia="en-US"/>
        </w:rPr>
        <w:t>. Of these,</w:t>
      </w:r>
      <w:r w:rsidR="514E4459" w:rsidRPr="00C66C24">
        <w:rPr>
          <w:rFonts w:asciiTheme="minorHAnsi" w:eastAsia="Calibri" w:hAnsiTheme="minorHAnsi"/>
          <w:color w:val="000000" w:themeColor="text1"/>
          <w:sz w:val="22"/>
          <w:szCs w:val="22"/>
          <w:lang w:val="en-GB" w:eastAsia="en-US"/>
        </w:rPr>
        <w:t xml:space="preserve"> </w:t>
      </w:r>
      <w:r w:rsidR="004006F0" w:rsidRPr="00C66C24">
        <w:rPr>
          <w:rFonts w:asciiTheme="minorHAnsi" w:eastAsia="Calibri" w:hAnsiTheme="minorHAnsi"/>
          <w:color w:val="000000" w:themeColor="text1"/>
          <w:sz w:val="22"/>
          <w:szCs w:val="22"/>
          <w:lang w:val="en-GB" w:eastAsia="en-US"/>
        </w:rPr>
        <w:t xml:space="preserve">the majority were lost in </w:t>
      </w:r>
      <w:r w:rsidR="514E4459" w:rsidRPr="00C66C24">
        <w:rPr>
          <w:rFonts w:asciiTheme="minorHAnsi" w:eastAsia="Calibri" w:hAnsiTheme="minorHAnsi"/>
          <w:color w:val="000000" w:themeColor="text1"/>
          <w:sz w:val="22"/>
          <w:szCs w:val="22"/>
          <w:lang w:val="en-GB" w:eastAsia="en-US"/>
        </w:rPr>
        <w:t>event</w:t>
      </w:r>
      <w:r w:rsidR="00EE6E3E" w:rsidRPr="00C66C24">
        <w:rPr>
          <w:rFonts w:asciiTheme="minorHAnsi" w:eastAsia="Calibri" w:hAnsiTheme="minorHAnsi"/>
          <w:color w:val="000000" w:themeColor="text1"/>
          <w:sz w:val="22"/>
          <w:szCs w:val="22"/>
          <w:lang w:val="en-GB" w:eastAsia="en-US"/>
        </w:rPr>
        <w:t>s</w:t>
      </w:r>
      <w:r w:rsidR="514E4459" w:rsidRPr="00C66C24">
        <w:rPr>
          <w:rFonts w:asciiTheme="minorHAnsi" w:eastAsia="Calibri" w:hAnsiTheme="minorHAnsi"/>
          <w:color w:val="000000" w:themeColor="text1"/>
          <w:sz w:val="22"/>
          <w:szCs w:val="22"/>
          <w:lang w:val="en-GB" w:eastAsia="en-US"/>
        </w:rPr>
        <w:t xml:space="preserve"> </w:t>
      </w:r>
      <w:r w:rsidR="00AA1B2D" w:rsidRPr="00C66C24">
        <w:rPr>
          <w:rFonts w:asciiTheme="minorHAnsi" w:eastAsia="Calibri" w:hAnsiTheme="minorHAnsi"/>
          <w:color w:val="000000" w:themeColor="text1"/>
          <w:sz w:val="22"/>
          <w:szCs w:val="22"/>
          <w:lang w:val="en-GB" w:eastAsia="en-US"/>
        </w:rPr>
        <w:t xml:space="preserve">that </w:t>
      </w:r>
      <w:r w:rsidR="514E4459" w:rsidRPr="00C66C24">
        <w:rPr>
          <w:rFonts w:asciiTheme="minorHAnsi" w:eastAsia="Calibri" w:hAnsiTheme="minorHAnsi"/>
          <w:color w:val="000000" w:themeColor="text1"/>
          <w:sz w:val="22"/>
          <w:szCs w:val="22"/>
          <w:lang w:val="en-GB" w:eastAsia="en-US"/>
        </w:rPr>
        <w:t xml:space="preserve">occurred in </w:t>
      </w:r>
      <w:r w:rsidR="00EE6E3E" w:rsidRPr="00C66C24">
        <w:rPr>
          <w:rFonts w:asciiTheme="minorHAnsi" w:eastAsia="Calibri" w:hAnsiTheme="minorHAnsi"/>
          <w:color w:val="000000" w:themeColor="text1"/>
          <w:sz w:val="22"/>
          <w:szCs w:val="22"/>
          <w:lang w:val="en-GB" w:eastAsia="en-US"/>
        </w:rPr>
        <w:t xml:space="preserve">2014, </w:t>
      </w:r>
      <w:r w:rsidR="0054248D" w:rsidRPr="00C66C24">
        <w:rPr>
          <w:rFonts w:asciiTheme="minorHAnsi" w:eastAsia="Calibri" w:hAnsiTheme="minorHAnsi"/>
          <w:color w:val="000000" w:themeColor="text1"/>
          <w:sz w:val="22"/>
          <w:szCs w:val="22"/>
          <w:lang w:val="en-GB" w:eastAsia="en-US"/>
        </w:rPr>
        <w:t xml:space="preserve">2019 and </w:t>
      </w:r>
      <w:r w:rsidR="514E4459" w:rsidRPr="00C66C24">
        <w:rPr>
          <w:rFonts w:asciiTheme="minorHAnsi" w:eastAsia="Calibri" w:hAnsiTheme="minorHAnsi"/>
          <w:color w:val="000000" w:themeColor="text1"/>
          <w:sz w:val="22"/>
          <w:szCs w:val="22"/>
          <w:lang w:val="en-GB" w:eastAsia="en-US"/>
        </w:rPr>
        <w:t>202</w:t>
      </w:r>
      <w:r w:rsidR="0054248D" w:rsidRPr="00C66C24">
        <w:rPr>
          <w:rFonts w:asciiTheme="minorHAnsi" w:eastAsia="Calibri" w:hAnsiTheme="minorHAnsi"/>
          <w:color w:val="000000" w:themeColor="text1"/>
          <w:sz w:val="22"/>
          <w:szCs w:val="22"/>
          <w:lang w:val="en-GB" w:eastAsia="en-US"/>
        </w:rPr>
        <w:t>1</w:t>
      </w:r>
      <w:r w:rsidR="514E4459" w:rsidRPr="00C66C24">
        <w:rPr>
          <w:rFonts w:asciiTheme="minorHAnsi" w:eastAsia="Calibri" w:hAnsiTheme="minorHAnsi"/>
          <w:color w:val="000000" w:themeColor="text1"/>
          <w:sz w:val="22"/>
          <w:szCs w:val="22"/>
          <w:lang w:val="en-GB" w:eastAsia="en-US"/>
        </w:rPr>
        <w:t>.</w:t>
      </w:r>
      <w:r w:rsidR="003D29D0" w:rsidRPr="00C66C24">
        <w:rPr>
          <w:rFonts w:asciiTheme="minorHAnsi" w:eastAsia="Calibri" w:hAnsiTheme="minorHAnsi"/>
          <w:color w:val="000000" w:themeColor="text1"/>
          <w:sz w:val="22"/>
          <w:szCs w:val="22"/>
          <w:lang w:val="en-GB" w:eastAsia="en-US"/>
        </w:rPr>
        <w:t xml:space="preserve"> </w:t>
      </w:r>
      <w:r w:rsidR="0028646B" w:rsidRPr="00C66C24">
        <w:rPr>
          <w:rFonts w:asciiTheme="minorHAnsi" w:eastAsia="Calibri" w:hAnsiTheme="minorHAnsi"/>
          <w:color w:val="000000" w:themeColor="text1"/>
          <w:sz w:val="22"/>
          <w:szCs w:val="22"/>
          <w:lang w:val="en-GB" w:eastAsia="en-US"/>
        </w:rPr>
        <w:t xml:space="preserve">2021 saw four incidents with the loss of </w:t>
      </w:r>
      <w:r w:rsidR="002E33A7" w:rsidRPr="00C66C24">
        <w:rPr>
          <w:rFonts w:asciiTheme="minorHAnsi" w:eastAsia="Calibri" w:hAnsiTheme="minorHAnsi"/>
          <w:color w:val="000000" w:themeColor="text1"/>
          <w:sz w:val="22"/>
          <w:szCs w:val="22"/>
          <w:lang w:val="en-GB" w:eastAsia="en-US"/>
        </w:rPr>
        <w:t xml:space="preserve">over </w:t>
      </w:r>
      <w:r w:rsidR="007D1121" w:rsidRPr="00C66C24">
        <w:rPr>
          <w:rFonts w:asciiTheme="minorHAnsi" w:eastAsia="Calibri" w:hAnsiTheme="minorHAnsi"/>
          <w:color w:val="000000" w:themeColor="text1"/>
          <w:sz w:val="22"/>
          <w:szCs w:val="22"/>
          <w:lang w:val="en-GB" w:eastAsia="en-US"/>
        </w:rPr>
        <w:t>1100 containers</w:t>
      </w:r>
      <w:r w:rsidR="00AC7882" w:rsidRPr="00C66C24">
        <w:rPr>
          <w:rFonts w:asciiTheme="minorHAnsi" w:eastAsia="Calibri" w:hAnsiTheme="minorHAnsi"/>
          <w:color w:val="000000" w:themeColor="text1"/>
          <w:sz w:val="22"/>
          <w:szCs w:val="22"/>
          <w:lang w:val="en-GB" w:eastAsia="en-US"/>
        </w:rPr>
        <w:t xml:space="preserve"> (</w:t>
      </w:r>
      <w:r w:rsidR="009078B7" w:rsidRPr="00C66C24">
        <w:rPr>
          <w:rFonts w:asciiTheme="minorHAnsi" w:eastAsia="Calibri" w:hAnsiTheme="minorHAnsi"/>
          <w:color w:val="000000" w:themeColor="text1"/>
          <w:sz w:val="22"/>
          <w:szCs w:val="22"/>
          <w:lang w:val="en-GB" w:eastAsia="en-US"/>
        </w:rPr>
        <w:t xml:space="preserve">including </w:t>
      </w:r>
      <w:r w:rsidR="00B1734F" w:rsidRPr="00C66C24">
        <w:rPr>
          <w:rFonts w:asciiTheme="minorHAnsi" w:eastAsia="Calibri" w:hAnsiTheme="minorHAnsi"/>
          <w:color w:val="000000" w:themeColor="text1"/>
          <w:sz w:val="22"/>
          <w:szCs w:val="22"/>
          <w:lang w:val="en-GB" w:eastAsia="en-US"/>
        </w:rPr>
        <w:t>MAERSK ESSEN</w:t>
      </w:r>
      <w:r w:rsidR="0067123D" w:rsidRPr="00C66C24">
        <w:rPr>
          <w:rFonts w:asciiTheme="minorHAnsi" w:eastAsia="Calibri" w:hAnsiTheme="minorHAnsi"/>
          <w:color w:val="000000" w:themeColor="text1"/>
          <w:sz w:val="22"/>
          <w:szCs w:val="22"/>
          <w:lang w:val="en-GB" w:eastAsia="en-US"/>
        </w:rPr>
        <w:t xml:space="preserve">, </w:t>
      </w:r>
      <w:r w:rsidR="00BB7F59" w:rsidRPr="00C66C24">
        <w:rPr>
          <w:rFonts w:asciiTheme="minorHAnsi" w:eastAsia="Calibri" w:hAnsiTheme="minorHAnsi"/>
          <w:color w:val="000000" w:themeColor="text1"/>
          <w:sz w:val="22"/>
          <w:szCs w:val="22"/>
          <w:lang w:val="en-GB" w:eastAsia="en-US"/>
        </w:rPr>
        <w:t>MAERSK EINDHOVEN</w:t>
      </w:r>
      <w:r w:rsidR="007D1121" w:rsidRPr="00C66C24">
        <w:rPr>
          <w:rFonts w:asciiTheme="minorHAnsi" w:eastAsia="Calibri" w:hAnsiTheme="minorHAnsi"/>
          <w:color w:val="000000" w:themeColor="text1"/>
          <w:sz w:val="22"/>
          <w:szCs w:val="22"/>
          <w:lang w:val="en-GB" w:eastAsia="en-US"/>
        </w:rPr>
        <w:t>,</w:t>
      </w:r>
      <w:r w:rsidR="00BB7F59" w:rsidRPr="00C66C24">
        <w:rPr>
          <w:rFonts w:asciiTheme="minorHAnsi" w:eastAsia="Calibri" w:hAnsiTheme="minorHAnsi"/>
          <w:color w:val="000000" w:themeColor="text1"/>
          <w:sz w:val="22"/>
          <w:szCs w:val="22"/>
          <w:lang w:val="en-GB" w:eastAsia="en-US"/>
        </w:rPr>
        <w:t xml:space="preserve"> ZIM KINGSTON and MSC ARIES)</w:t>
      </w:r>
      <w:r w:rsidR="001E5188" w:rsidRPr="00C66C24">
        <w:rPr>
          <w:rFonts w:asciiTheme="minorHAnsi" w:eastAsia="Calibri" w:hAnsiTheme="minorHAnsi"/>
          <w:color w:val="000000" w:themeColor="text1"/>
          <w:sz w:val="22"/>
          <w:szCs w:val="22"/>
          <w:lang w:val="en-GB" w:eastAsia="en-US"/>
        </w:rPr>
        <w:t xml:space="preserve">, </w:t>
      </w:r>
      <w:r w:rsidR="004C1C5E" w:rsidRPr="00C66C24">
        <w:rPr>
          <w:rFonts w:asciiTheme="minorHAnsi" w:eastAsia="Calibri" w:hAnsiTheme="minorHAnsi"/>
          <w:color w:val="000000" w:themeColor="text1"/>
          <w:sz w:val="22"/>
          <w:szCs w:val="22"/>
          <w:lang w:val="en-GB" w:eastAsia="en-US"/>
        </w:rPr>
        <w:t xml:space="preserve">while </w:t>
      </w:r>
      <w:r w:rsidR="00D175F4" w:rsidRPr="00C66C24">
        <w:rPr>
          <w:rFonts w:asciiTheme="minorHAnsi" w:eastAsia="Calibri" w:hAnsiTheme="minorHAnsi"/>
          <w:color w:val="000000" w:themeColor="text1"/>
          <w:sz w:val="22"/>
          <w:szCs w:val="22"/>
          <w:lang w:val="en-GB" w:eastAsia="en-US"/>
        </w:rPr>
        <w:t xml:space="preserve">2019 </w:t>
      </w:r>
      <w:r w:rsidR="009D3468" w:rsidRPr="00C66C24">
        <w:rPr>
          <w:rFonts w:asciiTheme="minorHAnsi" w:eastAsia="Calibri" w:hAnsiTheme="minorHAnsi"/>
          <w:color w:val="000000" w:themeColor="text1"/>
          <w:sz w:val="22"/>
          <w:szCs w:val="22"/>
          <w:lang w:val="en-GB" w:eastAsia="en-US"/>
        </w:rPr>
        <w:t>sa</w:t>
      </w:r>
      <w:r w:rsidR="00EC3158" w:rsidRPr="00C66C24">
        <w:rPr>
          <w:rFonts w:asciiTheme="minorHAnsi" w:eastAsia="Calibri" w:hAnsiTheme="minorHAnsi"/>
          <w:color w:val="000000" w:themeColor="text1"/>
          <w:sz w:val="22"/>
          <w:szCs w:val="22"/>
          <w:lang w:val="en-GB" w:eastAsia="en-US"/>
        </w:rPr>
        <w:t xml:space="preserve">w </w:t>
      </w:r>
      <w:r w:rsidR="00A76C26" w:rsidRPr="00C66C24">
        <w:rPr>
          <w:rFonts w:asciiTheme="minorHAnsi" w:eastAsia="Calibri" w:hAnsiTheme="minorHAnsi"/>
          <w:color w:val="000000" w:themeColor="text1"/>
          <w:sz w:val="22"/>
          <w:szCs w:val="22"/>
          <w:lang w:val="en-GB" w:eastAsia="en-US"/>
        </w:rPr>
        <w:t xml:space="preserve">one main incident </w:t>
      </w:r>
      <w:r w:rsidR="00DD5D18" w:rsidRPr="00C66C24">
        <w:rPr>
          <w:rFonts w:asciiTheme="minorHAnsi" w:eastAsia="Calibri" w:hAnsiTheme="minorHAnsi"/>
          <w:color w:val="000000" w:themeColor="text1"/>
          <w:sz w:val="22"/>
          <w:szCs w:val="22"/>
          <w:lang w:val="en-GB" w:eastAsia="en-US"/>
        </w:rPr>
        <w:t xml:space="preserve">with the loss of </w:t>
      </w:r>
      <w:r w:rsidR="00C90EB5" w:rsidRPr="00C66C24">
        <w:rPr>
          <w:rFonts w:asciiTheme="minorHAnsi" w:eastAsia="Calibri" w:hAnsiTheme="minorHAnsi"/>
          <w:color w:val="000000" w:themeColor="text1"/>
          <w:sz w:val="22"/>
          <w:szCs w:val="22"/>
          <w:lang w:val="en-GB" w:eastAsia="en-US"/>
        </w:rPr>
        <w:t>over 340 containers (MSC ZOE)</w:t>
      </w:r>
      <w:r w:rsidR="00352E70" w:rsidRPr="00C66C24">
        <w:rPr>
          <w:rFonts w:asciiTheme="minorHAnsi" w:eastAsia="Calibri" w:hAnsiTheme="minorHAnsi"/>
          <w:color w:val="000000" w:themeColor="text1"/>
          <w:sz w:val="22"/>
          <w:szCs w:val="22"/>
          <w:lang w:val="en-GB" w:eastAsia="en-US"/>
        </w:rPr>
        <w:t xml:space="preserve">, and </w:t>
      </w:r>
      <w:r w:rsidR="004E4ECC" w:rsidRPr="00C66C24">
        <w:rPr>
          <w:rFonts w:asciiTheme="minorHAnsi" w:eastAsia="Calibri" w:hAnsiTheme="minorHAnsi"/>
          <w:color w:val="000000" w:themeColor="text1"/>
          <w:sz w:val="22"/>
          <w:szCs w:val="22"/>
          <w:lang w:val="en-GB" w:eastAsia="en-US"/>
        </w:rPr>
        <w:t xml:space="preserve">2014 </w:t>
      </w:r>
      <w:r w:rsidR="00075CC2" w:rsidRPr="00C66C24">
        <w:rPr>
          <w:rFonts w:asciiTheme="minorHAnsi" w:eastAsia="Calibri" w:hAnsiTheme="minorHAnsi"/>
          <w:color w:val="000000" w:themeColor="text1"/>
          <w:sz w:val="22"/>
          <w:szCs w:val="22"/>
          <w:lang w:val="en-GB" w:eastAsia="en-US"/>
        </w:rPr>
        <w:t xml:space="preserve">saw </w:t>
      </w:r>
      <w:r w:rsidR="00F02021" w:rsidRPr="00C66C24">
        <w:rPr>
          <w:rFonts w:asciiTheme="minorHAnsi" w:eastAsia="Calibri" w:hAnsiTheme="minorHAnsi"/>
          <w:color w:val="000000" w:themeColor="text1"/>
          <w:sz w:val="22"/>
          <w:szCs w:val="22"/>
          <w:lang w:val="en-GB" w:eastAsia="en-US"/>
        </w:rPr>
        <w:t>another main incident contributing to the loss o</w:t>
      </w:r>
      <w:r w:rsidR="00796144" w:rsidRPr="00C66C24">
        <w:rPr>
          <w:rFonts w:asciiTheme="minorHAnsi" w:eastAsia="Calibri" w:hAnsiTheme="minorHAnsi"/>
          <w:color w:val="000000" w:themeColor="text1"/>
          <w:sz w:val="22"/>
          <w:szCs w:val="22"/>
          <w:lang w:val="en-GB" w:eastAsia="en-US"/>
        </w:rPr>
        <w:t>f over 500 containers (</w:t>
      </w:r>
      <w:r w:rsidR="0048164A" w:rsidRPr="00C66C24">
        <w:rPr>
          <w:rFonts w:asciiTheme="minorHAnsi" w:eastAsia="Calibri" w:hAnsiTheme="minorHAnsi"/>
          <w:color w:val="000000" w:themeColor="text1"/>
          <w:sz w:val="22"/>
          <w:szCs w:val="22"/>
          <w:lang w:val="en-GB" w:eastAsia="en-US"/>
        </w:rPr>
        <w:t>SVENDBORG MAERSK</w:t>
      </w:r>
      <w:r w:rsidR="004C7077" w:rsidRPr="00C66C24">
        <w:rPr>
          <w:rFonts w:asciiTheme="minorHAnsi" w:eastAsia="Calibri" w:hAnsiTheme="minorHAnsi"/>
          <w:color w:val="000000" w:themeColor="text1"/>
          <w:sz w:val="22"/>
          <w:szCs w:val="22"/>
          <w:lang w:val="en-GB" w:eastAsia="en-US"/>
        </w:rPr>
        <w:t>).</w:t>
      </w:r>
      <w:r w:rsidR="00DE09BE" w:rsidRPr="00C66C24">
        <w:rPr>
          <w:rFonts w:asciiTheme="minorHAnsi" w:eastAsia="Calibri" w:hAnsiTheme="minorHAnsi"/>
          <w:color w:val="000000" w:themeColor="text1"/>
          <w:sz w:val="22"/>
          <w:szCs w:val="22"/>
          <w:lang w:val="en-GB" w:eastAsia="en-US"/>
        </w:rPr>
        <w:t xml:space="preserve"> </w:t>
      </w:r>
      <w:r w:rsidR="006F53A2" w:rsidRPr="00C66C24">
        <w:rPr>
          <w:rFonts w:asciiTheme="minorHAnsi" w:eastAsia="Calibri" w:hAnsiTheme="minorHAnsi"/>
          <w:color w:val="000000" w:themeColor="text1"/>
          <w:sz w:val="22"/>
          <w:szCs w:val="22"/>
          <w:lang w:val="en-GB" w:eastAsia="en-US"/>
        </w:rPr>
        <w:t xml:space="preserve">2015 was characterised by </w:t>
      </w:r>
      <w:r w:rsidR="00EB4A1F" w:rsidRPr="00C66C24">
        <w:rPr>
          <w:rFonts w:asciiTheme="minorHAnsi" w:eastAsia="Calibri" w:hAnsiTheme="minorHAnsi"/>
          <w:color w:val="000000" w:themeColor="text1"/>
          <w:sz w:val="22"/>
          <w:szCs w:val="22"/>
          <w:lang w:val="en-GB" w:eastAsia="en-US"/>
        </w:rPr>
        <w:t xml:space="preserve">the sinking of one </w:t>
      </w:r>
      <w:r w:rsidR="00AD4012" w:rsidRPr="00C66C24">
        <w:rPr>
          <w:rFonts w:asciiTheme="minorHAnsi" w:eastAsia="Calibri" w:hAnsiTheme="minorHAnsi"/>
          <w:color w:val="000000" w:themeColor="text1"/>
          <w:sz w:val="22"/>
          <w:szCs w:val="22"/>
          <w:lang w:val="en-GB" w:eastAsia="en-US"/>
        </w:rPr>
        <w:t xml:space="preserve">ro-ro cargo </w:t>
      </w:r>
      <w:r w:rsidR="00EB4A1F" w:rsidRPr="00C66C24">
        <w:rPr>
          <w:rFonts w:asciiTheme="minorHAnsi" w:eastAsia="Calibri" w:hAnsiTheme="minorHAnsi"/>
          <w:color w:val="000000" w:themeColor="text1"/>
          <w:sz w:val="22"/>
          <w:szCs w:val="22"/>
          <w:lang w:val="en-GB" w:eastAsia="en-US"/>
        </w:rPr>
        <w:t>vessel</w:t>
      </w:r>
      <w:r w:rsidR="00443B71" w:rsidRPr="00C66C24">
        <w:rPr>
          <w:rFonts w:asciiTheme="minorHAnsi" w:eastAsia="Calibri" w:hAnsiTheme="minorHAnsi"/>
          <w:color w:val="000000" w:themeColor="text1"/>
          <w:sz w:val="22"/>
          <w:szCs w:val="22"/>
          <w:lang w:val="en-GB" w:eastAsia="en-US"/>
        </w:rPr>
        <w:t xml:space="preserve"> resulting in the </w:t>
      </w:r>
      <w:r w:rsidR="00E23090" w:rsidRPr="00C66C24">
        <w:rPr>
          <w:rFonts w:asciiTheme="minorHAnsi" w:eastAsia="Calibri" w:hAnsiTheme="minorHAnsi"/>
          <w:color w:val="000000" w:themeColor="text1"/>
          <w:sz w:val="22"/>
          <w:szCs w:val="22"/>
          <w:lang w:val="en-GB" w:eastAsia="en-US"/>
        </w:rPr>
        <w:t xml:space="preserve">loss of </w:t>
      </w:r>
      <w:r w:rsidR="00D9267E" w:rsidRPr="00C66C24">
        <w:rPr>
          <w:rFonts w:asciiTheme="minorHAnsi" w:eastAsia="Calibri" w:hAnsiTheme="minorHAnsi"/>
          <w:color w:val="000000" w:themeColor="text1"/>
          <w:sz w:val="22"/>
          <w:szCs w:val="22"/>
          <w:lang w:val="en-GB" w:eastAsia="en-US"/>
        </w:rPr>
        <w:t>391 containers and 243 tr</w:t>
      </w:r>
      <w:r w:rsidR="006B3986" w:rsidRPr="00C66C24">
        <w:rPr>
          <w:rFonts w:asciiTheme="minorHAnsi" w:eastAsia="Calibri" w:hAnsiTheme="minorHAnsi"/>
          <w:color w:val="000000" w:themeColor="text1"/>
          <w:sz w:val="22"/>
          <w:szCs w:val="22"/>
          <w:lang w:val="en-GB" w:eastAsia="en-US"/>
        </w:rPr>
        <w:t>u</w:t>
      </w:r>
      <w:r w:rsidR="00D9267E" w:rsidRPr="00C66C24">
        <w:rPr>
          <w:rFonts w:asciiTheme="minorHAnsi" w:eastAsia="Calibri" w:hAnsiTheme="minorHAnsi"/>
          <w:color w:val="000000" w:themeColor="text1"/>
          <w:sz w:val="22"/>
          <w:szCs w:val="22"/>
          <w:lang w:val="en-GB" w:eastAsia="en-US"/>
        </w:rPr>
        <w:t>cks with containers</w:t>
      </w:r>
      <w:r w:rsidR="00130645" w:rsidRPr="00C66C24">
        <w:rPr>
          <w:rFonts w:asciiTheme="minorHAnsi" w:eastAsia="Calibri" w:hAnsiTheme="minorHAnsi"/>
          <w:color w:val="000000" w:themeColor="text1"/>
          <w:sz w:val="22"/>
          <w:szCs w:val="22"/>
          <w:lang w:val="en-GB" w:eastAsia="en-US"/>
        </w:rPr>
        <w:t xml:space="preserve"> in the garage deck</w:t>
      </w:r>
      <w:r w:rsidR="001A0EFC" w:rsidRPr="00C66C24">
        <w:rPr>
          <w:rFonts w:asciiTheme="minorHAnsi" w:eastAsia="Calibri" w:hAnsiTheme="minorHAnsi"/>
          <w:color w:val="000000" w:themeColor="text1"/>
          <w:sz w:val="22"/>
          <w:szCs w:val="22"/>
          <w:lang w:val="en-GB" w:eastAsia="en-US"/>
        </w:rPr>
        <w:t xml:space="preserve"> (EL FARO).</w:t>
      </w:r>
    </w:p>
    <w:p w14:paraId="05F1295D" w14:textId="2025BD9E" w:rsidR="1BCAE403" w:rsidRPr="00C66C24" w:rsidRDefault="1BCAE403" w:rsidP="008C6A9C">
      <w:pPr>
        <w:pStyle w:val="paragraph"/>
        <w:spacing w:before="0" w:beforeAutospacing="0" w:after="0" w:afterAutospacing="0" w:line="257" w:lineRule="auto"/>
        <w:jc w:val="both"/>
        <w:rPr>
          <w:rStyle w:val="eop"/>
          <w:rFonts w:ascii="Calibri" w:hAnsi="Calibri" w:cs="Calibri"/>
          <w:color w:val="000000" w:themeColor="text1"/>
          <w:sz w:val="22"/>
          <w:szCs w:val="22"/>
          <w:lang w:val="en-GB"/>
        </w:rPr>
      </w:pPr>
    </w:p>
    <w:p w14:paraId="46A60C3C" w14:textId="5A93F50A" w:rsidR="00D4203B" w:rsidRPr="00C66C24" w:rsidRDefault="73DD8415" w:rsidP="008C6A9C">
      <w:pPr>
        <w:pStyle w:val="paragraph"/>
        <w:keepNext/>
        <w:spacing w:before="0" w:beforeAutospacing="0" w:after="0" w:afterAutospacing="0" w:line="257" w:lineRule="auto"/>
        <w:jc w:val="center"/>
        <w:textAlignment w:val="baseline"/>
        <w:rPr>
          <w:lang w:val="en-GB"/>
        </w:rPr>
      </w:pPr>
      <w:r w:rsidRPr="00C66C24">
        <w:rPr>
          <w:noProof/>
          <w:lang w:val="en-GB"/>
        </w:rPr>
        <w:drawing>
          <wp:inline distT="0" distB="0" distL="0" distR="0" wp14:anchorId="62D9ADE3" wp14:editId="6DFD7ADA">
            <wp:extent cx="4492800" cy="2937600"/>
            <wp:effectExtent l="0" t="0" r="3175" b="0"/>
            <wp:docPr id="1535555008" name="Picture 153555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492800" cy="2937600"/>
                    </a:xfrm>
                    <a:prstGeom prst="rect">
                      <a:avLst/>
                    </a:prstGeom>
                  </pic:spPr>
                </pic:pic>
              </a:graphicData>
            </a:graphic>
          </wp:inline>
        </w:drawing>
      </w:r>
    </w:p>
    <w:p w14:paraId="0A827E4D" w14:textId="56D2056F" w:rsidR="00D4203B" w:rsidRPr="00C66C24" w:rsidRDefault="00CA2091" w:rsidP="008C6A9C">
      <w:pPr>
        <w:pStyle w:val="Caption"/>
        <w:spacing w:after="0" w:line="257" w:lineRule="auto"/>
        <w:jc w:val="center"/>
        <w:rPr>
          <w:rFonts w:ascii="Segoe UI" w:hAnsi="Segoe UI" w:cs="Segoe UI"/>
          <w:sz w:val="20"/>
          <w:szCs w:val="20"/>
        </w:rPr>
      </w:pPr>
      <w:bookmarkStart w:id="161" w:name="_Ref151136975"/>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41</w:t>
      </w:r>
      <w:r w:rsidR="00A81F61" w:rsidRPr="00C66C24">
        <w:rPr>
          <w:sz w:val="20"/>
          <w:szCs w:val="20"/>
        </w:rPr>
        <w:fldChar w:fldCharType="end"/>
      </w:r>
      <w:bookmarkEnd w:id="161"/>
      <w:r w:rsidR="00D4203B" w:rsidRPr="00C66C24">
        <w:rPr>
          <w:sz w:val="20"/>
          <w:szCs w:val="20"/>
        </w:rPr>
        <w:t xml:space="preserve"> Total number of containers lost at sea events in the EU</w:t>
      </w:r>
      <w:r w:rsidRPr="00C66C24">
        <w:rPr>
          <w:sz w:val="20"/>
          <w:szCs w:val="20"/>
        </w:rPr>
        <w:t>.</w:t>
      </w:r>
    </w:p>
    <w:p w14:paraId="42F98357" w14:textId="5DABE9AA" w:rsidR="00DE696E" w:rsidRPr="00C66C24" w:rsidRDefault="00D4203B" w:rsidP="00132A27">
      <w:pPr>
        <w:pStyle w:val="paragraph"/>
        <w:spacing w:before="0" w:beforeAutospacing="0" w:after="120" w:afterAutospacing="0" w:line="257" w:lineRule="auto"/>
        <w:jc w:val="center"/>
        <w:textAlignment w:val="baseline"/>
        <w:rPr>
          <w:rFonts w:asciiTheme="minorHAnsi" w:hAnsiTheme="minorHAnsi" w:cstheme="minorHAnsi"/>
          <w:sz w:val="20"/>
          <w:szCs w:val="20"/>
          <w:lang w:val="en-GB"/>
        </w:rPr>
      </w:pPr>
      <w:r w:rsidRPr="00C66C24">
        <w:rPr>
          <w:rStyle w:val="normaltextrun"/>
          <w:rFonts w:asciiTheme="minorHAnsi" w:hAnsiTheme="minorHAnsi" w:cstheme="minorHAnsi"/>
          <w:sz w:val="20"/>
          <w:szCs w:val="20"/>
          <w:lang w:val="en-GB"/>
        </w:rPr>
        <w:t xml:space="preserve">Source: </w:t>
      </w:r>
      <w:r w:rsidR="0049665E" w:rsidRPr="00C66C24">
        <w:rPr>
          <w:rStyle w:val="normaltextrun"/>
          <w:rFonts w:asciiTheme="minorHAnsi" w:hAnsiTheme="minorHAnsi" w:cstheme="minorHAnsi"/>
          <w:sz w:val="20"/>
          <w:szCs w:val="20"/>
          <w:lang w:val="en-GB"/>
        </w:rPr>
        <w:t xml:space="preserve">EMSA, </w:t>
      </w:r>
      <w:r w:rsidRPr="00C66C24">
        <w:rPr>
          <w:rStyle w:val="normaltextrun"/>
          <w:rFonts w:asciiTheme="minorHAnsi" w:hAnsiTheme="minorHAnsi" w:cstheme="minorHAnsi"/>
          <w:sz w:val="20"/>
          <w:szCs w:val="20"/>
          <w:lang w:val="en-GB"/>
        </w:rPr>
        <w:t>EMCIP (2023)</w:t>
      </w:r>
      <w:r w:rsidR="007373FA" w:rsidRPr="00C66C24">
        <w:rPr>
          <w:rStyle w:val="normaltextrun"/>
          <w:rFonts w:asciiTheme="minorHAnsi" w:hAnsiTheme="minorHAnsi" w:cstheme="minorHAnsi"/>
          <w:sz w:val="20"/>
          <w:szCs w:val="20"/>
          <w:lang w:val="en-GB"/>
        </w:rPr>
        <w:t>.</w:t>
      </w:r>
    </w:p>
    <w:p w14:paraId="4228CDE0" w14:textId="7D8D88DC" w:rsidR="3E96C77B" w:rsidRPr="00C66C24" w:rsidRDefault="0079708C" w:rsidP="008C6A9C">
      <w:pPr>
        <w:pStyle w:val="Heading3"/>
        <w:spacing w:line="257" w:lineRule="auto"/>
        <w:rPr>
          <w:rFonts w:cs="Times New Roman"/>
          <w:b w:val="0"/>
          <w:i w:val="0"/>
          <w:color w:val="auto"/>
          <w:sz w:val="22"/>
        </w:rPr>
      </w:pPr>
      <w:bookmarkStart w:id="162" w:name="_Toc157762075"/>
      <w:r w:rsidRPr="00C66C24">
        <w:t>Waste reception at ports</w:t>
      </w:r>
      <w:bookmarkEnd w:id="162"/>
    </w:p>
    <w:p w14:paraId="5A8847D3" w14:textId="2A2665A5" w:rsidR="001823B5" w:rsidRPr="00C66C24" w:rsidRDefault="001823B5" w:rsidP="008C6A9C">
      <w:pPr>
        <w:spacing w:before="0" w:after="0" w:line="257" w:lineRule="auto"/>
        <w:rPr>
          <w:rStyle w:val="normaltextrun"/>
          <w:rFonts w:cstheme="minorHAnsi"/>
          <w:szCs w:val="22"/>
        </w:rPr>
      </w:pPr>
      <w:r w:rsidRPr="00C66C24">
        <w:rPr>
          <w:rStyle w:val="normaltextrun"/>
          <w:rFonts w:cstheme="minorHAnsi"/>
          <w:szCs w:val="22"/>
        </w:rPr>
        <w:t xml:space="preserve">When a ship delivers its waste at a port it receives a waste receipt to confirm the type and amounts of waste collected. </w:t>
      </w:r>
      <w:r w:rsidR="0079708C" w:rsidRPr="00C66C24">
        <w:rPr>
          <w:rStyle w:val="normaltextrun"/>
          <w:rFonts w:cstheme="minorHAnsi"/>
          <w:szCs w:val="22"/>
        </w:rPr>
        <w:t xml:space="preserve">From the analysis of the waste receipts notified electronically by the Member States, it is possible to gain knowledge about the types and amounts of waste delivered at </w:t>
      </w:r>
      <w:r w:rsidRPr="00C66C24">
        <w:rPr>
          <w:rStyle w:val="normaltextrun"/>
          <w:rFonts w:cstheme="minorHAnsi"/>
          <w:szCs w:val="22"/>
        </w:rPr>
        <w:t>European</w:t>
      </w:r>
      <w:r w:rsidR="0079708C" w:rsidRPr="00C66C24">
        <w:rPr>
          <w:rStyle w:val="normaltextrun"/>
          <w:rFonts w:cstheme="minorHAnsi"/>
          <w:szCs w:val="22"/>
        </w:rPr>
        <w:t xml:space="preserve"> ports by </w:t>
      </w:r>
      <w:r w:rsidRPr="00C66C24">
        <w:rPr>
          <w:rStyle w:val="normaltextrun"/>
          <w:rFonts w:cstheme="minorHAnsi"/>
          <w:szCs w:val="22"/>
        </w:rPr>
        <w:t>ships</w:t>
      </w:r>
      <w:r w:rsidR="00A76194" w:rsidRPr="00C66C24">
        <w:rPr>
          <w:rStyle w:val="FootnoteReference"/>
          <w:rFonts w:cstheme="minorHAnsi"/>
          <w:szCs w:val="22"/>
        </w:rPr>
        <w:footnoteReference w:id="22"/>
      </w:r>
      <w:r w:rsidR="0079708C" w:rsidRPr="00C66C24">
        <w:rPr>
          <w:rStyle w:val="normaltextrun"/>
          <w:rFonts w:cstheme="minorHAnsi"/>
          <w:szCs w:val="22"/>
        </w:rPr>
        <w:t xml:space="preserve">. </w:t>
      </w:r>
    </w:p>
    <w:p w14:paraId="128D782D" w14:textId="38B2837A" w:rsidR="0079708C" w:rsidRPr="00C66C24" w:rsidRDefault="00644ADD" w:rsidP="0052449A">
      <w:pPr>
        <w:spacing w:before="0" w:after="120" w:line="257" w:lineRule="auto"/>
        <w:rPr>
          <w:rFonts w:eastAsiaTheme="minorEastAsia" w:cstheme="minorBidi"/>
          <w:szCs w:val="22"/>
        </w:rPr>
      </w:pPr>
      <w:r w:rsidRPr="00C66C24">
        <w:rPr>
          <w:rStyle w:val="normaltextrun"/>
          <w:rFonts w:cstheme="minorHAnsi"/>
          <w:szCs w:val="22"/>
        </w:rPr>
        <w:fldChar w:fldCharType="begin"/>
      </w:r>
      <w:r w:rsidRPr="00C66C24">
        <w:rPr>
          <w:rStyle w:val="normaltextrun"/>
          <w:rFonts w:cstheme="minorHAnsi"/>
          <w:szCs w:val="22"/>
        </w:rPr>
        <w:instrText xml:space="preserve"> REF _Ref156473384 \h  \* MERGEFORMAT </w:instrText>
      </w:r>
      <w:r w:rsidRPr="00C66C24">
        <w:rPr>
          <w:rStyle w:val="normaltextrun"/>
          <w:rFonts w:cstheme="minorHAnsi"/>
          <w:szCs w:val="22"/>
        </w:rPr>
      </w:r>
      <w:r w:rsidRPr="00C66C24">
        <w:rPr>
          <w:rStyle w:val="normaltextrun"/>
          <w:rFonts w:cstheme="minorHAnsi"/>
          <w:szCs w:val="22"/>
        </w:rPr>
        <w:fldChar w:fldCharType="separate"/>
      </w:r>
      <w:r w:rsidR="00487F6D" w:rsidRPr="00C66C24">
        <w:rPr>
          <w:szCs w:val="22"/>
        </w:rPr>
        <w:t xml:space="preserve">Figure </w:t>
      </w:r>
      <w:r w:rsidR="00487F6D" w:rsidRPr="00C66C24">
        <w:rPr>
          <w:noProof/>
          <w:szCs w:val="22"/>
        </w:rPr>
        <w:t>2.42</w:t>
      </w:r>
      <w:r w:rsidRPr="00C66C24">
        <w:rPr>
          <w:rStyle w:val="normaltextrun"/>
          <w:rFonts w:cstheme="minorHAnsi"/>
          <w:szCs w:val="22"/>
        </w:rPr>
        <w:fldChar w:fldCharType="end"/>
      </w:r>
      <w:r w:rsidR="0079708C" w:rsidRPr="00C66C24">
        <w:rPr>
          <w:rStyle w:val="normaltextrun"/>
          <w:rFonts w:cstheme="minorHAnsi"/>
          <w:szCs w:val="22"/>
        </w:rPr>
        <w:t xml:space="preserve"> indicate</w:t>
      </w:r>
      <w:r w:rsidR="001823B5" w:rsidRPr="00C66C24">
        <w:rPr>
          <w:rStyle w:val="normaltextrun"/>
          <w:rFonts w:cstheme="minorHAnsi"/>
          <w:szCs w:val="22"/>
        </w:rPr>
        <w:t>s</w:t>
      </w:r>
      <w:r w:rsidR="0079708C" w:rsidRPr="00C66C24">
        <w:rPr>
          <w:rStyle w:val="normaltextrun"/>
          <w:rFonts w:cstheme="minorHAnsi"/>
          <w:szCs w:val="22"/>
        </w:rPr>
        <w:t xml:space="preserve"> </w:t>
      </w:r>
      <w:r w:rsidR="001823B5" w:rsidRPr="00C66C24">
        <w:rPr>
          <w:rStyle w:val="normaltextrun"/>
          <w:rFonts w:cstheme="minorHAnsi"/>
          <w:szCs w:val="22"/>
        </w:rPr>
        <w:t xml:space="preserve">the </w:t>
      </w:r>
      <w:r w:rsidR="0079708C" w:rsidRPr="00C66C24">
        <w:rPr>
          <w:rStyle w:val="normaltextrun"/>
          <w:rFonts w:cstheme="minorHAnsi"/>
          <w:szCs w:val="22"/>
        </w:rPr>
        <w:t>amount</w:t>
      </w:r>
      <w:r w:rsidR="001823B5" w:rsidRPr="00C66C24">
        <w:rPr>
          <w:rStyle w:val="normaltextrun"/>
          <w:rFonts w:cstheme="minorHAnsi"/>
          <w:szCs w:val="22"/>
        </w:rPr>
        <w:t xml:space="preserve"> of </w:t>
      </w:r>
      <w:r w:rsidR="0079708C" w:rsidRPr="00C66C24">
        <w:rPr>
          <w:rStyle w:val="normaltextrun"/>
          <w:rFonts w:cstheme="minorHAnsi"/>
          <w:szCs w:val="22"/>
        </w:rPr>
        <w:t xml:space="preserve">garbage </w:t>
      </w:r>
      <w:r w:rsidR="001823B5" w:rsidRPr="00C66C24">
        <w:rPr>
          <w:rStyle w:val="normaltextrun"/>
          <w:rFonts w:cstheme="minorHAnsi"/>
          <w:szCs w:val="22"/>
        </w:rPr>
        <w:t xml:space="preserve">delivered by ships </w:t>
      </w:r>
      <w:r w:rsidR="0079708C" w:rsidRPr="00C66C24">
        <w:rPr>
          <w:rStyle w:val="normaltextrun"/>
          <w:rFonts w:cstheme="minorHAnsi"/>
          <w:szCs w:val="22"/>
        </w:rPr>
        <w:t>(MAPROL Annex V type)</w:t>
      </w:r>
      <w:r w:rsidR="004F22C2" w:rsidRPr="00C66C24">
        <w:rPr>
          <w:rStyle w:val="normaltextrun"/>
          <w:rFonts w:cstheme="minorHAnsi"/>
          <w:szCs w:val="22"/>
        </w:rPr>
        <w:t xml:space="preserve"> </w:t>
      </w:r>
      <w:r w:rsidR="004837CE" w:rsidRPr="00C66C24">
        <w:rPr>
          <w:rStyle w:val="normaltextrun"/>
          <w:rFonts w:cstheme="minorHAnsi"/>
          <w:szCs w:val="22"/>
        </w:rPr>
        <w:t xml:space="preserve">and </w:t>
      </w:r>
      <w:r w:rsidR="004F22C2" w:rsidRPr="00C66C24">
        <w:rPr>
          <w:rFonts w:eastAsiaTheme="minorEastAsia" w:cstheme="minorBidi"/>
          <w:szCs w:val="22"/>
        </w:rPr>
        <w:t>shows that domestic waste, plastics, operational waste and food waste are the types of garbage which are disposed to port reception facilities most often</w:t>
      </w:r>
      <w:r w:rsidR="0079708C" w:rsidRPr="00C66C24">
        <w:rPr>
          <w:rStyle w:val="normaltextrun"/>
          <w:rFonts w:cstheme="minorHAnsi"/>
          <w:szCs w:val="22"/>
        </w:rPr>
        <w:t xml:space="preserve">. </w:t>
      </w:r>
    </w:p>
    <w:p w14:paraId="58481D3B" w14:textId="164CF4D5" w:rsidR="0079708C" w:rsidRPr="00C66C24" w:rsidRDefault="0079708C" w:rsidP="008C6A9C">
      <w:pPr>
        <w:keepNext/>
        <w:spacing w:before="0" w:after="0" w:line="257" w:lineRule="auto"/>
        <w:jc w:val="center"/>
      </w:pPr>
      <w:r w:rsidRPr="00C66C24">
        <w:rPr>
          <w:rFonts w:eastAsiaTheme="minorEastAsia" w:cstheme="minorBidi"/>
          <w:szCs w:val="22"/>
        </w:rPr>
        <w:t xml:space="preserve"> </w:t>
      </w:r>
      <w:r w:rsidR="002B5D2A" w:rsidRPr="00C66C24">
        <w:rPr>
          <w:rFonts w:eastAsiaTheme="minorEastAsia" w:cstheme="minorBidi"/>
          <w:noProof/>
          <w:szCs w:val="22"/>
        </w:rPr>
        <w:drawing>
          <wp:inline distT="0" distB="0" distL="0" distR="0" wp14:anchorId="37907ECD" wp14:editId="65F158B4">
            <wp:extent cx="5000400" cy="3434400"/>
            <wp:effectExtent l="0" t="0" r="0" b="0"/>
            <wp:docPr id="136005639" name="Picture 13600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000400" cy="3434400"/>
                    </a:xfrm>
                    <a:prstGeom prst="rect">
                      <a:avLst/>
                    </a:prstGeom>
                    <a:noFill/>
                    <a:ln>
                      <a:noFill/>
                    </a:ln>
                  </pic:spPr>
                </pic:pic>
              </a:graphicData>
            </a:graphic>
          </wp:inline>
        </w:drawing>
      </w:r>
    </w:p>
    <w:p w14:paraId="619633D4" w14:textId="09F0582D" w:rsidR="0079708C" w:rsidRPr="00C66C24" w:rsidRDefault="0079708C" w:rsidP="008C6A9C">
      <w:pPr>
        <w:pStyle w:val="Caption"/>
        <w:spacing w:after="0" w:line="257" w:lineRule="auto"/>
        <w:jc w:val="center"/>
        <w:rPr>
          <w:rFonts w:eastAsiaTheme="minorEastAsia" w:cstheme="minorBidi"/>
          <w:sz w:val="20"/>
          <w:szCs w:val="20"/>
        </w:rPr>
      </w:pPr>
      <w:bookmarkStart w:id="163" w:name="_Ref156473384"/>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42</w:t>
      </w:r>
      <w:r w:rsidR="00A81F61" w:rsidRPr="00C66C24">
        <w:rPr>
          <w:sz w:val="20"/>
          <w:szCs w:val="20"/>
        </w:rPr>
        <w:fldChar w:fldCharType="end"/>
      </w:r>
      <w:bookmarkEnd w:id="163"/>
      <w:r w:rsidRPr="00C66C24">
        <w:rPr>
          <w:sz w:val="20"/>
          <w:szCs w:val="20"/>
        </w:rPr>
        <w:t xml:space="preserve"> </w:t>
      </w:r>
      <w:r w:rsidR="001823B5" w:rsidRPr="00C66C24">
        <w:rPr>
          <w:sz w:val="20"/>
          <w:szCs w:val="20"/>
        </w:rPr>
        <w:t xml:space="preserve">Garbage (MARPOL </w:t>
      </w:r>
      <w:r w:rsidRPr="00C66C24">
        <w:rPr>
          <w:sz w:val="20"/>
          <w:szCs w:val="20"/>
        </w:rPr>
        <w:t>Annex V</w:t>
      </w:r>
      <w:r w:rsidR="001823B5" w:rsidRPr="00C66C24">
        <w:rPr>
          <w:sz w:val="20"/>
          <w:szCs w:val="20"/>
        </w:rPr>
        <w:t>)</w:t>
      </w:r>
      <w:r w:rsidRPr="00C66C24">
        <w:rPr>
          <w:sz w:val="20"/>
          <w:szCs w:val="20"/>
        </w:rPr>
        <w:t xml:space="preserve"> total amount disposed </w:t>
      </w:r>
      <w:r w:rsidR="001823B5" w:rsidRPr="00C66C24">
        <w:rPr>
          <w:sz w:val="20"/>
          <w:szCs w:val="20"/>
        </w:rPr>
        <w:t>at</w:t>
      </w:r>
      <w:r w:rsidRPr="00C66C24">
        <w:rPr>
          <w:sz w:val="20"/>
          <w:szCs w:val="20"/>
        </w:rPr>
        <w:t xml:space="preserve"> </w:t>
      </w:r>
      <w:r w:rsidR="001823B5" w:rsidRPr="00C66C24">
        <w:rPr>
          <w:sz w:val="20"/>
          <w:szCs w:val="20"/>
        </w:rPr>
        <w:t xml:space="preserve">port reception facilities </w:t>
      </w:r>
      <w:r w:rsidRPr="00C66C24">
        <w:rPr>
          <w:sz w:val="20"/>
          <w:szCs w:val="20"/>
        </w:rPr>
        <w:t xml:space="preserve">(reference waste receipt) in EU ports </w:t>
      </w:r>
      <w:r w:rsidR="001823B5" w:rsidRPr="00C66C24">
        <w:rPr>
          <w:sz w:val="20"/>
          <w:szCs w:val="20"/>
        </w:rPr>
        <w:t xml:space="preserve">as well as Norway and Iceland </w:t>
      </w:r>
      <w:r w:rsidRPr="00C66C24">
        <w:rPr>
          <w:sz w:val="20"/>
          <w:szCs w:val="20"/>
        </w:rPr>
        <w:t>in the period 2022 to 2023</w:t>
      </w:r>
      <w:r w:rsidR="00D864BA" w:rsidRPr="00C66C24">
        <w:rPr>
          <w:rStyle w:val="FootnoteReference"/>
          <w:sz w:val="20"/>
          <w:szCs w:val="20"/>
        </w:rPr>
        <w:footnoteReference w:id="23"/>
      </w:r>
      <w:r w:rsidRPr="00C66C24">
        <w:rPr>
          <w:sz w:val="20"/>
          <w:szCs w:val="20"/>
        </w:rPr>
        <w:t>.</w:t>
      </w:r>
    </w:p>
    <w:p w14:paraId="2A60693D" w14:textId="4F13BA09" w:rsidR="0079708C" w:rsidRPr="00C66C24" w:rsidRDefault="0079708C" w:rsidP="005D4E9E">
      <w:pPr>
        <w:spacing w:before="0" w:after="120" w:line="257" w:lineRule="auto"/>
        <w:jc w:val="center"/>
        <w:rPr>
          <w:rFonts w:eastAsiaTheme="minorEastAsia" w:cstheme="minorBidi"/>
          <w:sz w:val="20"/>
          <w:szCs w:val="20"/>
        </w:rPr>
      </w:pPr>
      <w:r w:rsidRPr="00C66C24">
        <w:rPr>
          <w:rFonts w:eastAsiaTheme="minorEastAsia" w:cstheme="minorBidi"/>
          <w:sz w:val="20"/>
          <w:szCs w:val="20"/>
        </w:rPr>
        <w:t xml:space="preserve">Source: EMSA, </w:t>
      </w:r>
      <w:r w:rsidR="001823B5" w:rsidRPr="00C66C24">
        <w:rPr>
          <w:rFonts w:eastAsiaTheme="minorEastAsia" w:cstheme="minorBidi"/>
          <w:sz w:val="20"/>
          <w:szCs w:val="20"/>
        </w:rPr>
        <w:t>SafeSeaNet</w:t>
      </w:r>
      <w:r w:rsidRPr="00C66C24">
        <w:rPr>
          <w:rFonts w:eastAsiaTheme="minorEastAsia" w:cstheme="minorBidi"/>
          <w:sz w:val="20"/>
          <w:szCs w:val="20"/>
        </w:rPr>
        <w:t>.</w:t>
      </w:r>
    </w:p>
    <w:p w14:paraId="6FB22BEC" w14:textId="222C2B5B" w:rsidR="00701340" w:rsidRPr="00C66C24" w:rsidRDefault="006F08DC" w:rsidP="00132A27">
      <w:pPr>
        <w:spacing w:before="0" w:after="120" w:line="257" w:lineRule="auto"/>
        <w:jc w:val="left"/>
        <w:rPr>
          <w:szCs w:val="22"/>
        </w:rPr>
      </w:pPr>
      <w:r w:rsidRPr="00C66C24">
        <w:rPr>
          <w:szCs w:val="22"/>
        </w:rPr>
        <w:t>By</w:t>
      </w:r>
      <w:r w:rsidR="00435A4D" w:rsidRPr="00C66C24">
        <w:rPr>
          <w:szCs w:val="22"/>
        </w:rPr>
        <w:t xml:space="preserve"> analysing the </w:t>
      </w:r>
      <w:r w:rsidR="00125255" w:rsidRPr="00C66C24">
        <w:rPr>
          <w:szCs w:val="22"/>
        </w:rPr>
        <w:t xml:space="preserve">total of waste from ships from all categories (Annex I, II, IV, V and VI) disposed at PRFs in European ports (as well as Norway and Iceland) according to the electronical waste receipts, </w:t>
      </w:r>
      <w:r w:rsidR="009C13D7" w:rsidRPr="00C66C24">
        <w:rPr>
          <w:szCs w:val="22"/>
        </w:rPr>
        <w:t xml:space="preserve">it is possible to identify </w:t>
      </w:r>
      <w:r w:rsidR="00125255" w:rsidRPr="00C66C24">
        <w:rPr>
          <w:szCs w:val="22"/>
        </w:rPr>
        <w:t>the 10 top ports in terms of reception of volumes</w:t>
      </w:r>
      <w:r w:rsidR="006C0611" w:rsidRPr="00C66C24">
        <w:rPr>
          <w:szCs w:val="22"/>
        </w:rPr>
        <w:t xml:space="preserve"> (see </w:t>
      </w:r>
      <w:r w:rsidR="006C0611" w:rsidRPr="00C66C24">
        <w:rPr>
          <w:szCs w:val="22"/>
        </w:rPr>
        <w:fldChar w:fldCharType="begin"/>
      </w:r>
      <w:r w:rsidR="006C0611" w:rsidRPr="00C66C24">
        <w:rPr>
          <w:szCs w:val="22"/>
        </w:rPr>
        <w:instrText xml:space="preserve"> REF _Ref157176378 \h </w:instrText>
      </w:r>
      <w:r w:rsidR="007B20A2" w:rsidRPr="00C66C24">
        <w:rPr>
          <w:szCs w:val="22"/>
        </w:rPr>
        <w:instrText xml:space="preserve"> \* MERGEFORMAT </w:instrText>
      </w:r>
      <w:r w:rsidR="006C0611" w:rsidRPr="00C66C24">
        <w:rPr>
          <w:szCs w:val="22"/>
        </w:rPr>
      </w:r>
      <w:r w:rsidR="006C0611" w:rsidRPr="00C66C24">
        <w:rPr>
          <w:szCs w:val="22"/>
        </w:rPr>
        <w:fldChar w:fldCharType="separate"/>
      </w:r>
      <w:r w:rsidR="009E757B" w:rsidRPr="00C66C24">
        <w:rPr>
          <w:szCs w:val="22"/>
        </w:rPr>
        <w:t xml:space="preserve">Figure </w:t>
      </w:r>
      <w:r w:rsidR="009E757B" w:rsidRPr="00C66C24">
        <w:rPr>
          <w:noProof/>
          <w:szCs w:val="22"/>
        </w:rPr>
        <w:t>2.43</w:t>
      </w:r>
      <w:r w:rsidR="006C0611" w:rsidRPr="00C66C24">
        <w:rPr>
          <w:szCs w:val="22"/>
        </w:rPr>
        <w:fldChar w:fldCharType="end"/>
      </w:r>
      <w:r w:rsidR="006C0611" w:rsidRPr="00C66C24">
        <w:rPr>
          <w:szCs w:val="22"/>
        </w:rPr>
        <w:t>)</w:t>
      </w:r>
      <w:r w:rsidR="00E902D4" w:rsidRPr="00C66C24">
        <w:rPr>
          <w:szCs w:val="22"/>
        </w:rPr>
        <w:t>.</w:t>
      </w:r>
    </w:p>
    <w:p w14:paraId="479A48D5" w14:textId="636D3E98" w:rsidR="00C07855" w:rsidRPr="00C66C24" w:rsidRDefault="00C07855" w:rsidP="008C6A9C">
      <w:pPr>
        <w:spacing w:before="0" w:after="0" w:line="257" w:lineRule="auto"/>
        <w:jc w:val="center"/>
        <w:rPr>
          <w:szCs w:val="22"/>
        </w:rPr>
      </w:pPr>
      <w:r w:rsidRPr="00C66C24">
        <w:rPr>
          <w:noProof/>
        </w:rPr>
        <w:drawing>
          <wp:inline distT="0" distB="0" distL="0" distR="0" wp14:anchorId="7107433A" wp14:editId="3EAB0B7F">
            <wp:extent cx="3571875" cy="2796325"/>
            <wp:effectExtent l="0" t="0" r="0" b="4445"/>
            <wp:docPr id="136005641" name="Picture 13600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584509" cy="2806215"/>
                    </a:xfrm>
                    <a:prstGeom prst="rect">
                      <a:avLst/>
                    </a:prstGeom>
                    <a:noFill/>
                    <a:ln>
                      <a:noFill/>
                    </a:ln>
                  </pic:spPr>
                </pic:pic>
              </a:graphicData>
            </a:graphic>
          </wp:inline>
        </w:drawing>
      </w:r>
    </w:p>
    <w:p w14:paraId="1236E0D1" w14:textId="574191FD" w:rsidR="00C07855" w:rsidRPr="00C66C24" w:rsidRDefault="00294F2E" w:rsidP="008C6A9C">
      <w:pPr>
        <w:pStyle w:val="Caption"/>
        <w:spacing w:after="0" w:line="257" w:lineRule="auto"/>
        <w:jc w:val="center"/>
        <w:rPr>
          <w:sz w:val="20"/>
          <w:szCs w:val="20"/>
        </w:rPr>
      </w:pPr>
      <w:bookmarkStart w:id="164" w:name="_Ref157176378"/>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43</w:t>
      </w:r>
      <w:r w:rsidR="00A81F61" w:rsidRPr="00C66C24">
        <w:rPr>
          <w:sz w:val="20"/>
          <w:szCs w:val="20"/>
        </w:rPr>
        <w:fldChar w:fldCharType="end"/>
      </w:r>
      <w:bookmarkEnd w:id="164"/>
      <w:r w:rsidRPr="00C66C24">
        <w:rPr>
          <w:sz w:val="20"/>
          <w:szCs w:val="20"/>
        </w:rPr>
        <w:t xml:space="preserve"> Top 10 ports in terms of total amounts of waste disposed at port reception facilities (reference waste receipts) in 2023.</w:t>
      </w:r>
    </w:p>
    <w:p w14:paraId="051FFC8A" w14:textId="5AC2694C" w:rsidR="00CA5E32" w:rsidRPr="00C66C24" w:rsidRDefault="001331E9" w:rsidP="008C6A9C">
      <w:pPr>
        <w:spacing w:before="0" w:after="0" w:line="257" w:lineRule="auto"/>
        <w:jc w:val="center"/>
        <w:rPr>
          <w:sz w:val="20"/>
          <w:szCs w:val="20"/>
        </w:rPr>
      </w:pPr>
      <w:r w:rsidRPr="00C66C24">
        <w:rPr>
          <w:sz w:val="20"/>
          <w:szCs w:val="20"/>
        </w:rPr>
        <w:t>Source: EMSA, S</w:t>
      </w:r>
      <w:r w:rsidR="005D4E9E" w:rsidRPr="00C66C24">
        <w:rPr>
          <w:sz w:val="20"/>
          <w:szCs w:val="20"/>
        </w:rPr>
        <w:t>a</w:t>
      </w:r>
      <w:r w:rsidRPr="00C66C24">
        <w:rPr>
          <w:sz w:val="20"/>
          <w:szCs w:val="20"/>
        </w:rPr>
        <w:t>feSeaNet</w:t>
      </w:r>
      <w:r w:rsidR="005D4E9E" w:rsidRPr="00C66C24">
        <w:rPr>
          <w:sz w:val="20"/>
          <w:szCs w:val="20"/>
        </w:rPr>
        <w:t>.</w:t>
      </w:r>
    </w:p>
    <w:p w14:paraId="04A1CF31" w14:textId="4C90E263" w:rsidR="0079708C" w:rsidRPr="00C66C24" w:rsidRDefault="00A729CA" w:rsidP="00132A27">
      <w:pPr>
        <w:spacing w:before="0" w:after="120" w:line="257" w:lineRule="auto"/>
        <w:rPr>
          <w:rFonts w:eastAsiaTheme="minorEastAsia" w:cstheme="minorBidi"/>
          <w:szCs w:val="22"/>
        </w:rPr>
      </w:pPr>
      <w:r w:rsidRPr="00C66C24">
        <w:rPr>
          <w:rFonts w:eastAsiaTheme="minorEastAsia" w:cstheme="minorBidi"/>
          <w:szCs w:val="22"/>
        </w:rPr>
        <w:t xml:space="preserve">When looking at the Annex I </w:t>
      </w:r>
      <w:r w:rsidR="00A951B3" w:rsidRPr="00C66C24">
        <w:rPr>
          <w:rFonts w:eastAsiaTheme="minorEastAsia" w:cstheme="minorBidi"/>
          <w:szCs w:val="22"/>
        </w:rPr>
        <w:t>delivered waste</w:t>
      </w:r>
      <w:r w:rsidR="000D473F" w:rsidRPr="00C66C24">
        <w:rPr>
          <w:rFonts w:eastAsiaTheme="minorEastAsia" w:cstheme="minorBidi"/>
          <w:szCs w:val="22"/>
        </w:rPr>
        <w:t xml:space="preserve">, one can identify </w:t>
      </w:r>
      <w:r w:rsidR="00B62518" w:rsidRPr="00C66C24">
        <w:rPr>
          <w:rFonts w:eastAsiaTheme="minorEastAsia" w:cstheme="minorBidi"/>
          <w:szCs w:val="22"/>
        </w:rPr>
        <w:t xml:space="preserve">oily residues (sludge) and </w:t>
      </w:r>
      <w:r w:rsidR="000E5121" w:rsidRPr="00C66C24">
        <w:rPr>
          <w:rFonts w:eastAsiaTheme="minorEastAsia" w:cstheme="minorBidi"/>
          <w:szCs w:val="22"/>
        </w:rPr>
        <w:t>oily tanks washings (slops</w:t>
      </w:r>
      <w:r w:rsidR="000C1BE2" w:rsidRPr="00C66C24">
        <w:rPr>
          <w:rFonts w:eastAsiaTheme="minorEastAsia" w:cstheme="minorBidi"/>
          <w:szCs w:val="22"/>
        </w:rPr>
        <w:t>)</w:t>
      </w:r>
      <w:r w:rsidR="00B62518" w:rsidRPr="00C66C24">
        <w:rPr>
          <w:rFonts w:eastAsiaTheme="minorEastAsia" w:cstheme="minorBidi"/>
          <w:szCs w:val="22"/>
        </w:rPr>
        <w:t xml:space="preserve"> as t</w:t>
      </w:r>
      <w:r w:rsidR="00944A60" w:rsidRPr="00C66C24">
        <w:rPr>
          <w:rFonts w:eastAsiaTheme="minorEastAsia" w:cstheme="minorBidi"/>
          <w:szCs w:val="22"/>
        </w:rPr>
        <w:t xml:space="preserve">he </w:t>
      </w:r>
      <w:r w:rsidR="000C1BE2" w:rsidRPr="00C66C24">
        <w:rPr>
          <w:rFonts w:eastAsiaTheme="minorEastAsia" w:cstheme="minorBidi"/>
          <w:szCs w:val="22"/>
        </w:rPr>
        <w:t xml:space="preserve"> </w:t>
      </w:r>
      <w:r w:rsidR="00032CE2" w:rsidRPr="00C66C24">
        <w:rPr>
          <w:rFonts w:eastAsiaTheme="minorEastAsia" w:cstheme="minorBidi"/>
          <w:szCs w:val="22"/>
        </w:rPr>
        <w:t xml:space="preserve">main </w:t>
      </w:r>
      <w:r w:rsidR="00922706" w:rsidRPr="00C66C24">
        <w:rPr>
          <w:rFonts w:eastAsiaTheme="minorEastAsia" w:cstheme="minorBidi"/>
          <w:szCs w:val="22"/>
        </w:rPr>
        <w:t>quantities disposed</w:t>
      </w:r>
      <w:r w:rsidR="006475D7" w:rsidRPr="00C66C24">
        <w:rPr>
          <w:rFonts w:eastAsiaTheme="minorEastAsia" w:cstheme="minorBidi"/>
          <w:szCs w:val="22"/>
        </w:rPr>
        <w:t xml:space="preserve"> of</w:t>
      </w:r>
      <w:r w:rsidR="00922706" w:rsidRPr="00C66C24">
        <w:rPr>
          <w:rFonts w:eastAsiaTheme="minorEastAsia" w:cstheme="minorBidi"/>
          <w:szCs w:val="22"/>
        </w:rPr>
        <w:t xml:space="preserve">, followed by </w:t>
      </w:r>
      <w:r w:rsidR="002772C7" w:rsidRPr="00C66C24">
        <w:rPr>
          <w:rFonts w:eastAsiaTheme="minorEastAsia" w:cstheme="minorBidi"/>
          <w:szCs w:val="22"/>
        </w:rPr>
        <w:t xml:space="preserve">oily bilge </w:t>
      </w:r>
      <w:r w:rsidR="00666145" w:rsidRPr="00C66C24">
        <w:rPr>
          <w:rFonts w:eastAsiaTheme="minorEastAsia" w:cstheme="minorBidi"/>
          <w:szCs w:val="22"/>
        </w:rPr>
        <w:t>water</w:t>
      </w:r>
      <w:r w:rsidR="00E62F1C" w:rsidRPr="00C66C24">
        <w:rPr>
          <w:rFonts w:eastAsiaTheme="minorEastAsia" w:cstheme="minorBidi"/>
          <w:szCs w:val="22"/>
        </w:rPr>
        <w:t xml:space="preserve"> </w:t>
      </w:r>
      <w:r w:rsidR="0012557B" w:rsidRPr="00C66C24">
        <w:rPr>
          <w:rFonts w:eastAsiaTheme="minorEastAsia" w:cstheme="minorBidi"/>
          <w:szCs w:val="22"/>
        </w:rPr>
        <w:t>(</w:t>
      </w:r>
      <w:r w:rsidR="00E62F1C" w:rsidRPr="00C66C24">
        <w:rPr>
          <w:rFonts w:eastAsiaTheme="minorEastAsia" w:cstheme="minorBidi"/>
          <w:szCs w:val="22"/>
        </w:rPr>
        <w:t xml:space="preserve">for a total of </w:t>
      </w:r>
      <w:r w:rsidR="00AD0F65" w:rsidRPr="00C66C24">
        <w:rPr>
          <w:rFonts w:eastAsiaTheme="minorEastAsia" w:cstheme="minorBidi"/>
          <w:szCs w:val="22"/>
        </w:rPr>
        <w:t xml:space="preserve">approximately </w:t>
      </w:r>
      <w:r w:rsidR="00826BD0" w:rsidRPr="00C66C24">
        <w:rPr>
          <w:rFonts w:eastAsiaTheme="minorEastAsia" w:cstheme="minorBidi"/>
          <w:szCs w:val="22"/>
        </w:rPr>
        <w:t>8</w:t>
      </w:r>
      <w:r w:rsidR="004C4048" w:rsidRPr="00C66C24">
        <w:rPr>
          <w:rFonts w:eastAsiaTheme="minorEastAsia" w:cstheme="minorBidi"/>
          <w:szCs w:val="22"/>
        </w:rPr>
        <w:t>55</w:t>
      </w:r>
      <w:r w:rsidR="0012557B" w:rsidRPr="00C66C24">
        <w:rPr>
          <w:rFonts w:eastAsiaTheme="minorEastAsia" w:cstheme="minorBidi"/>
          <w:szCs w:val="22"/>
        </w:rPr>
        <w:t>,000 m</w:t>
      </w:r>
      <w:r w:rsidR="0012557B" w:rsidRPr="00C66C24">
        <w:rPr>
          <w:rFonts w:eastAsiaTheme="minorEastAsia" w:cstheme="minorBidi"/>
          <w:szCs w:val="22"/>
          <w:vertAlign w:val="superscript"/>
        </w:rPr>
        <w:t>3</w:t>
      </w:r>
      <w:r w:rsidR="0012557B" w:rsidRPr="00C66C24">
        <w:rPr>
          <w:rFonts w:eastAsiaTheme="minorEastAsia" w:cstheme="minorBidi"/>
          <w:szCs w:val="22"/>
        </w:rPr>
        <w:t xml:space="preserve"> </w:t>
      </w:r>
      <w:r w:rsidR="008A65D8" w:rsidRPr="00C66C24">
        <w:rPr>
          <w:rFonts w:eastAsiaTheme="minorEastAsia" w:cstheme="minorBidi"/>
          <w:szCs w:val="22"/>
        </w:rPr>
        <w:t xml:space="preserve">currently </w:t>
      </w:r>
      <w:r w:rsidR="0012557B" w:rsidRPr="00C66C24">
        <w:rPr>
          <w:rFonts w:eastAsiaTheme="minorEastAsia" w:cstheme="minorBidi"/>
          <w:szCs w:val="22"/>
        </w:rPr>
        <w:t xml:space="preserve">reported </w:t>
      </w:r>
      <w:r w:rsidR="008A65D8" w:rsidRPr="00C66C24">
        <w:rPr>
          <w:rFonts w:eastAsiaTheme="minorEastAsia" w:cstheme="minorBidi"/>
          <w:szCs w:val="22"/>
        </w:rPr>
        <w:t>for</w:t>
      </w:r>
      <w:r w:rsidR="0012557B" w:rsidRPr="00C66C24">
        <w:rPr>
          <w:rFonts w:eastAsiaTheme="minorEastAsia" w:cstheme="minorBidi"/>
          <w:szCs w:val="22"/>
        </w:rPr>
        <w:t xml:space="preserve"> </w:t>
      </w:r>
      <w:r w:rsidR="00074A51" w:rsidRPr="00C66C24">
        <w:rPr>
          <w:rFonts w:eastAsiaTheme="minorEastAsia" w:cstheme="minorBidi"/>
          <w:szCs w:val="22"/>
        </w:rPr>
        <w:t>2023)</w:t>
      </w:r>
      <w:r w:rsidR="00666145" w:rsidRPr="00C66C24">
        <w:rPr>
          <w:rFonts w:eastAsiaTheme="minorEastAsia" w:cstheme="minorBidi"/>
          <w:szCs w:val="22"/>
        </w:rPr>
        <w:t xml:space="preserve">. </w:t>
      </w:r>
      <w:r w:rsidR="00B44198" w:rsidRPr="00C66C24">
        <w:rPr>
          <w:rFonts w:eastAsiaTheme="minorEastAsia" w:cstheme="minorBidi"/>
          <w:szCs w:val="22"/>
        </w:rPr>
        <w:t>T</w:t>
      </w:r>
      <w:r w:rsidR="00077B92" w:rsidRPr="00C66C24">
        <w:rPr>
          <w:rFonts w:eastAsiaTheme="minorEastAsia" w:cstheme="minorBidi"/>
          <w:szCs w:val="22"/>
        </w:rPr>
        <w:t xml:space="preserve">he </w:t>
      </w:r>
      <w:r w:rsidR="00910DE4" w:rsidRPr="00C66C24">
        <w:rPr>
          <w:rFonts w:eastAsiaTheme="minorEastAsia" w:cstheme="minorBidi"/>
          <w:szCs w:val="22"/>
        </w:rPr>
        <w:t xml:space="preserve">Annex </w:t>
      </w:r>
      <w:r w:rsidR="00DE44D0" w:rsidRPr="00C66C24">
        <w:rPr>
          <w:rFonts w:eastAsiaTheme="minorEastAsia" w:cstheme="minorBidi"/>
          <w:szCs w:val="22"/>
        </w:rPr>
        <w:t>I</w:t>
      </w:r>
      <w:r w:rsidR="00910DE4" w:rsidRPr="00C66C24">
        <w:rPr>
          <w:rFonts w:eastAsiaTheme="minorEastAsia" w:cstheme="minorBidi"/>
          <w:szCs w:val="22"/>
        </w:rPr>
        <w:t>V</w:t>
      </w:r>
      <w:r w:rsidR="00DE44D0" w:rsidRPr="00C66C24">
        <w:rPr>
          <w:rFonts w:eastAsiaTheme="minorEastAsia" w:cstheme="minorBidi"/>
          <w:szCs w:val="22"/>
        </w:rPr>
        <w:t xml:space="preserve"> sewage </w:t>
      </w:r>
      <w:r w:rsidR="0063632F" w:rsidRPr="00C66C24">
        <w:rPr>
          <w:rFonts w:eastAsiaTheme="minorEastAsia" w:cstheme="minorBidi"/>
          <w:szCs w:val="22"/>
        </w:rPr>
        <w:t>waste type</w:t>
      </w:r>
      <w:r w:rsidR="00DE0996" w:rsidRPr="00C66C24">
        <w:rPr>
          <w:rFonts w:eastAsiaTheme="minorEastAsia" w:cstheme="minorBidi"/>
          <w:szCs w:val="22"/>
        </w:rPr>
        <w:t xml:space="preserve"> reported in 2023 </w:t>
      </w:r>
      <w:r w:rsidR="006D0DE2" w:rsidRPr="00C66C24">
        <w:rPr>
          <w:rFonts w:eastAsiaTheme="minorEastAsia" w:cstheme="minorBidi"/>
          <w:szCs w:val="22"/>
        </w:rPr>
        <w:t xml:space="preserve">currently </w:t>
      </w:r>
      <w:r w:rsidR="003D4797" w:rsidRPr="00C66C24">
        <w:rPr>
          <w:rFonts w:eastAsiaTheme="minorEastAsia" w:cstheme="minorBidi"/>
          <w:szCs w:val="22"/>
        </w:rPr>
        <w:t>amount to approximately</w:t>
      </w:r>
      <w:r w:rsidR="00DE0996" w:rsidRPr="00C66C24">
        <w:rPr>
          <w:rFonts w:eastAsiaTheme="minorEastAsia" w:cstheme="minorBidi"/>
          <w:szCs w:val="22"/>
        </w:rPr>
        <w:t xml:space="preserve"> 250,000 m</w:t>
      </w:r>
      <w:r w:rsidR="00DE0996" w:rsidRPr="00C66C24">
        <w:rPr>
          <w:rFonts w:eastAsiaTheme="minorEastAsia" w:cstheme="minorBidi"/>
          <w:szCs w:val="22"/>
          <w:vertAlign w:val="superscript"/>
        </w:rPr>
        <w:t>3</w:t>
      </w:r>
      <w:r w:rsidR="00CD5C9E" w:rsidRPr="00C66C24">
        <w:rPr>
          <w:rFonts w:eastAsiaTheme="minorEastAsia" w:cstheme="minorBidi"/>
          <w:szCs w:val="22"/>
        </w:rPr>
        <w:t xml:space="preserve">, while the </w:t>
      </w:r>
      <w:r w:rsidR="00DE701C" w:rsidRPr="00C66C24">
        <w:rPr>
          <w:rFonts w:eastAsiaTheme="minorEastAsia" w:cstheme="minorBidi"/>
          <w:szCs w:val="22"/>
        </w:rPr>
        <w:t>Annex VI</w:t>
      </w:r>
      <w:r w:rsidR="00964529" w:rsidRPr="00C66C24">
        <w:rPr>
          <w:rFonts w:eastAsiaTheme="minorEastAsia" w:cstheme="minorBidi"/>
          <w:szCs w:val="22"/>
        </w:rPr>
        <w:t xml:space="preserve"> waste</w:t>
      </w:r>
      <w:r w:rsidR="0003579E" w:rsidRPr="00C66C24">
        <w:rPr>
          <w:rFonts w:eastAsiaTheme="minorEastAsia" w:cstheme="minorBidi"/>
          <w:szCs w:val="22"/>
        </w:rPr>
        <w:t xml:space="preserve"> </w:t>
      </w:r>
      <w:r w:rsidR="00077B92" w:rsidRPr="00C66C24">
        <w:rPr>
          <w:rFonts w:eastAsiaTheme="minorEastAsia" w:cstheme="minorBidi"/>
          <w:szCs w:val="22"/>
        </w:rPr>
        <w:t>receipts</w:t>
      </w:r>
      <w:r w:rsidR="00F9551A" w:rsidRPr="00C66C24">
        <w:rPr>
          <w:rFonts w:eastAsiaTheme="minorEastAsia" w:cstheme="minorBidi"/>
          <w:szCs w:val="22"/>
        </w:rPr>
        <w:t xml:space="preserve">, </w:t>
      </w:r>
      <w:r w:rsidR="00077B92" w:rsidRPr="00C66C24">
        <w:rPr>
          <w:rFonts w:eastAsiaTheme="minorEastAsia" w:cstheme="minorBidi"/>
          <w:szCs w:val="22"/>
        </w:rPr>
        <w:t xml:space="preserve">mainly </w:t>
      </w:r>
      <w:r w:rsidR="003A647D" w:rsidRPr="00C66C24">
        <w:rPr>
          <w:rFonts w:eastAsiaTheme="minorEastAsia" w:cstheme="minorBidi"/>
          <w:szCs w:val="22"/>
        </w:rPr>
        <w:t>e</w:t>
      </w:r>
      <w:r w:rsidR="00823878" w:rsidRPr="00C66C24">
        <w:rPr>
          <w:rFonts w:eastAsiaTheme="minorEastAsia" w:cstheme="minorBidi"/>
          <w:szCs w:val="22"/>
        </w:rPr>
        <w:t xml:space="preserve">xhaust </w:t>
      </w:r>
      <w:r w:rsidR="003A647D" w:rsidRPr="00C66C24">
        <w:rPr>
          <w:rFonts w:eastAsiaTheme="minorEastAsia" w:cstheme="minorBidi"/>
          <w:szCs w:val="22"/>
        </w:rPr>
        <w:t>g</w:t>
      </w:r>
      <w:r w:rsidR="00823878" w:rsidRPr="00C66C24">
        <w:rPr>
          <w:rFonts w:eastAsiaTheme="minorEastAsia" w:cstheme="minorBidi"/>
          <w:szCs w:val="22"/>
        </w:rPr>
        <w:t xml:space="preserve">as </w:t>
      </w:r>
      <w:r w:rsidR="003A647D" w:rsidRPr="00C66C24">
        <w:rPr>
          <w:rFonts w:eastAsiaTheme="minorEastAsia" w:cstheme="minorBidi"/>
          <w:szCs w:val="22"/>
        </w:rPr>
        <w:t>c</w:t>
      </w:r>
      <w:r w:rsidR="00823878" w:rsidRPr="00C66C24">
        <w:rPr>
          <w:rFonts w:eastAsiaTheme="minorEastAsia" w:cstheme="minorBidi"/>
          <w:szCs w:val="22"/>
        </w:rPr>
        <w:t>leaning residues</w:t>
      </w:r>
      <w:r w:rsidR="00EB3963" w:rsidRPr="00C66C24">
        <w:rPr>
          <w:rFonts w:eastAsiaTheme="minorEastAsia" w:cstheme="minorBidi"/>
          <w:szCs w:val="22"/>
        </w:rPr>
        <w:t xml:space="preserve">, </w:t>
      </w:r>
      <w:r w:rsidR="00B87843" w:rsidRPr="00C66C24">
        <w:rPr>
          <w:rFonts w:eastAsiaTheme="minorEastAsia" w:cstheme="minorBidi"/>
          <w:szCs w:val="22"/>
        </w:rPr>
        <w:t xml:space="preserve">for 2023 </w:t>
      </w:r>
      <w:r w:rsidR="00EB3963" w:rsidRPr="00C66C24">
        <w:rPr>
          <w:rFonts w:eastAsiaTheme="minorEastAsia" w:cstheme="minorBidi"/>
          <w:szCs w:val="22"/>
        </w:rPr>
        <w:t>currently amount</w:t>
      </w:r>
      <w:r w:rsidR="00B87843" w:rsidRPr="00C66C24">
        <w:rPr>
          <w:rFonts w:eastAsiaTheme="minorEastAsia" w:cstheme="minorBidi"/>
          <w:szCs w:val="22"/>
        </w:rPr>
        <w:t xml:space="preserve"> to</w:t>
      </w:r>
      <w:r w:rsidR="00EB3963" w:rsidRPr="00C66C24">
        <w:rPr>
          <w:rFonts w:eastAsiaTheme="minorEastAsia" w:cstheme="minorBidi"/>
          <w:szCs w:val="22"/>
        </w:rPr>
        <w:t xml:space="preserve"> </w:t>
      </w:r>
      <w:r w:rsidR="001A72EE" w:rsidRPr="00C66C24">
        <w:rPr>
          <w:rFonts w:eastAsiaTheme="minorEastAsia" w:cstheme="minorBidi"/>
          <w:szCs w:val="22"/>
        </w:rPr>
        <w:t>approximately 6,500</w:t>
      </w:r>
      <w:r w:rsidR="003D4797" w:rsidRPr="00C66C24">
        <w:rPr>
          <w:rFonts w:eastAsiaTheme="minorEastAsia" w:cstheme="minorBidi"/>
          <w:szCs w:val="22"/>
        </w:rPr>
        <w:t xml:space="preserve"> m</w:t>
      </w:r>
      <w:r w:rsidR="003D4797" w:rsidRPr="00C66C24">
        <w:rPr>
          <w:rFonts w:eastAsiaTheme="minorEastAsia" w:cstheme="minorBidi"/>
          <w:szCs w:val="22"/>
          <w:vertAlign w:val="superscript"/>
        </w:rPr>
        <w:t>3</w:t>
      </w:r>
      <w:r w:rsidR="003D4797" w:rsidRPr="00C66C24">
        <w:rPr>
          <w:rFonts w:eastAsiaTheme="minorEastAsia" w:cstheme="minorBidi"/>
          <w:szCs w:val="22"/>
        </w:rPr>
        <w:t>.</w:t>
      </w:r>
    </w:p>
    <w:p w14:paraId="32ADA30C" w14:textId="66CB4BC6" w:rsidR="00F359DE" w:rsidRPr="00C66C24" w:rsidRDefault="00AC7922" w:rsidP="008C6A9C">
      <w:pPr>
        <w:pStyle w:val="Heading3"/>
        <w:spacing w:line="257" w:lineRule="auto"/>
      </w:pPr>
      <w:bookmarkStart w:id="165" w:name="_Toc156316335"/>
      <w:bookmarkStart w:id="166" w:name="_Ref157689854"/>
      <w:bookmarkStart w:id="167" w:name="_Toc157762076"/>
      <w:r w:rsidRPr="00C66C24">
        <w:t>Ship recycling</w:t>
      </w:r>
      <w:bookmarkEnd w:id="165"/>
      <w:bookmarkEnd w:id="166"/>
      <w:bookmarkEnd w:id="167"/>
    </w:p>
    <w:p w14:paraId="410DC027" w14:textId="7910FED2" w:rsidR="00D3551B" w:rsidRPr="00C66C24" w:rsidRDefault="00032EAB" w:rsidP="008C6A9C">
      <w:pPr>
        <w:pStyle w:val="NormalWeb"/>
        <w:spacing w:before="0" w:beforeAutospacing="0" w:after="0" w:afterAutospacing="0" w:line="257" w:lineRule="auto"/>
        <w:contextualSpacing/>
        <w:jc w:val="both"/>
        <w:rPr>
          <w:rFonts w:asciiTheme="minorHAnsi" w:hAnsiTheme="minorHAnsi" w:cstheme="minorBidi"/>
          <w:sz w:val="22"/>
          <w:szCs w:val="22"/>
        </w:rPr>
      </w:pPr>
      <w:r w:rsidRPr="00C66C24">
        <w:rPr>
          <w:rFonts w:asciiTheme="minorHAnsi" w:hAnsiTheme="minorHAnsi" w:cstheme="minorBidi"/>
          <w:sz w:val="22"/>
          <w:szCs w:val="22"/>
        </w:rPr>
        <w:t>An analysis of the information submitted by the Member States for their first triannual reports under article 21(1) of Regulation (EU) No 1257/2013 on Ship Recycling</w:t>
      </w:r>
      <w:r w:rsidR="005F52BF" w:rsidRPr="00C66C24">
        <w:rPr>
          <w:rFonts w:asciiTheme="minorHAnsi" w:hAnsiTheme="minorHAnsi" w:cstheme="minorBidi"/>
          <w:sz w:val="22"/>
          <w:szCs w:val="22"/>
        </w:rPr>
        <w:t xml:space="preserve"> </w:t>
      </w:r>
      <w:r w:rsidR="005F52BF" w:rsidRPr="00C66C24">
        <w:rPr>
          <w:rFonts w:cstheme="minorBidi"/>
        </w:rPr>
        <w:fldChar w:fldCharType="begin"/>
      </w:r>
      <w:r w:rsidR="00D9530C" w:rsidRPr="00C66C24">
        <w:rPr>
          <w:rFonts w:asciiTheme="minorHAnsi" w:hAnsiTheme="minorHAnsi" w:cstheme="minorBidi"/>
          <w:sz w:val="22"/>
          <w:szCs w:val="22"/>
        </w:rPr>
        <w:instrText xml:space="preserve"> ADDIN ZOTERO_ITEM CSL_CITATION {"citationID":"a17v61s5fkj","properties":{"formattedCitation":"(EU, 2013)","plainCitation":"(EU, 2013)","noteIndex":0},"citationItems":[{"id":29350,"uris":["http://zotero.org/groups/122386/items/Q7PYL5IF"],"itemData":{"id":29350,"type":"document","title":"Regulation (EU) No 1257/2013 of the European Parliament and of the Council of 20 November 2013 on ship recycling and amending Regulation (EC) No 1013/2006 and Directive 2009/16/EC; OJ L 330, 10.12.2013, p. 1–20","URL":"https://eur-lex.europa.eu/legal-content/EN/ALL/?uri=CELEX:32013R1257","author":[{"family":"EU","given":""}],"issued":{"date-parts":[["2013"]]}}}],"schema":"https://github.com/citation-style-language/schema/raw/master/csl-citation.json"} </w:instrText>
      </w:r>
      <w:r w:rsidR="005F52BF" w:rsidRPr="00C66C24">
        <w:rPr>
          <w:rFonts w:cstheme="minorBidi"/>
        </w:rPr>
        <w:fldChar w:fldCharType="separate"/>
      </w:r>
      <w:r w:rsidR="00A14EAE" w:rsidRPr="00C66C24">
        <w:rPr>
          <w:rFonts w:ascii="Calibri" w:hAnsi="Calibri" w:cs="Calibri"/>
          <w:sz w:val="22"/>
          <w:szCs w:val="22"/>
        </w:rPr>
        <w:t>(EU, 2013)</w:t>
      </w:r>
      <w:r w:rsidR="005F52BF" w:rsidRPr="00C66C24">
        <w:rPr>
          <w:rFonts w:cstheme="minorBidi"/>
        </w:rPr>
        <w:fldChar w:fldCharType="end"/>
      </w:r>
      <w:r w:rsidRPr="00C66C24">
        <w:rPr>
          <w:rFonts w:asciiTheme="minorHAnsi" w:hAnsiTheme="minorHAnsi" w:cstheme="minorBidi"/>
          <w:sz w:val="22"/>
          <w:szCs w:val="22"/>
        </w:rPr>
        <w:t xml:space="preserve"> shows that a total of 8</w:t>
      </w:r>
      <w:r w:rsidR="55E472E4" w:rsidRPr="00C66C24">
        <w:rPr>
          <w:rFonts w:asciiTheme="minorHAnsi" w:hAnsiTheme="minorHAnsi" w:cstheme="minorBidi"/>
          <w:sz w:val="22"/>
          <w:szCs w:val="22"/>
        </w:rPr>
        <w:t>5</w:t>
      </w:r>
      <w:r w:rsidRPr="00C66C24">
        <w:rPr>
          <w:rFonts w:asciiTheme="minorHAnsi" w:hAnsiTheme="minorHAnsi" w:cstheme="minorBidi"/>
          <w:sz w:val="22"/>
          <w:szCs w:val="22"/>
        </w:rPr>
        <w:t xml:space="preserve"> ships were issued Ready for Recycling Certificates (RFRC) between 1st January 2019 to 31st December 2021. This is based on 2</w:t>
      </w:r>
      <w:r w:rsidR="6259C818" w:rsidRPr="00C66C24">
        <w:rPr>
          <w:rFonts w:asciiTheme="minorHAnsi" w:hAnsiTheme="minorHAnsi" w:cstheme="minorBidi"/>
          <w:sz w:val="22"/>
          <w:szCs w:val="22"/>
        </w:rPr>
        <w:t>6</w:t>
      </w:r>
      <w:r w:rsidRPr="00C66C24">
        <w:rPr>
          <w:rFonts w:asciiTheme="minorHAnsi" w:hAnsiTheme="minorHAnsi" w:cstheme="minorBidi"/>
          <w:sz w:val="22"/>
          <w:szCs w:val="22"/>
        </w:rPr>
        <w:t xml:space="preserve"> reports (2</w:t>
      </w:r>
      <w:r w:rsidR="2B1F7B45" w:rsidRPr="00C66C24">
        <w:rPr>
          <w:rFonts w:asciiTheme="minorHAnsi" w:hAnsiTheme="minorHAnsi" w:cstheme="minorBidi"/>
          <w:sz w:val="22"/>
          <w:szCs w:val="22"/>
        </w:rPr>
        <w:t>5</w:t>
      </w:r>
      <w:r w:rsidRPr="00C66C24">
        <w:rPr>
          <w:rFonts w:asciiTheme="minorHAnsi" w:hAnsiTheme="minorHAnsi" w:cstheme="minorBidi"/>
          <w:sz w:val="22"/>
          <w:szCs w:val="22"/>
        </w:rPr>
        <w:t xml:space="preserve"> Member States and Norway), of which </w:t>
      </w:r>
      <w:r w:rsidR="69A4A051" w:rsidRPr="00C66C24">
        <w:rPr>
          <w:rFonts w:asciiTheme="minorHAnsi" w:hAnsiTheme="minorHAnsi" w:cstheme="minorBidi"/>
          <w:sz w:val="22"/>
          <w:szCs w:val="22"/>
        </w:rPr>
        <w:t>10</w:t>
      </w:r>
      <w:r w:rsidRPr="00C66C24">
        <w:rPr>
          <w:rFonts w:asciiTheme="minorHAnsi" w:hAnsiTheme="minorHAnsi" w:cstheme="minorBidi"/>
          <w:sz w:val="22"/>
          <w:szCs w:val="22"/>
        </w:rPr>
        <w:t xml:space="preserve"> Member States (and Norway) identified ships </w:t>
      </w:r>
      <w:r w:rsidR="00880925" w:rsidRPr="00C66C24">
        <w:rPr>
          <w:rFonts w:asciiTheme="minorHAnsi" w:hAnsiTheme="minorHAnsi" w:cstheme="minorBidi"/>
          <w:sz w:val="22"/>
          <w:szCs w:val="22"/>
        </w:rPr>
        <w:t xml:space="preserve">for </w:t>
      </w:r>
      <w:r w:rsidR="005B1DB7" w:rsidRPr="00C66C24">
        <w:rPr>
          <w:rFonts w:asciiTheme="minorHAnsi" w:hAnsiTheme="minorHAnsi" w:cstheme="minorBidi"/>
          <w:sz w:val="22"/>
          <w:szCs w:val="22"/>
        </w:rPr>
        <w:t xml:space="preserve">which </w:t>
      </w:r>
      <w:r w:rsidRPr="00C66C24">
        <w:rPr>
          <w:rFonts w:asciiTheme="minorHAnsi" w:hAnsiTheme="minorHAnsi" w:cstheme="minorBidi"/>
          <w:sz w:val="22"/>
          <w:szCs w:val="22"/>
        </w:rPr>
        <w:t xml:space="preserve">they have issued a RFRC. Of these vessels, a Statement of Completion (SOC) has been received for </w:t>
      </w:r>
      <w:r w:rsidR="4FF7A628" w:rsidRPr="00C66C24">
        <w:rPr>
          <w:rFonts w:asciiTheme="minorHAnsi" w:hAnsiTheme="minorHAnsi" w:cstheme="minorBidi"/>
          <w:sz w:val="22"/>
          <w:szCs w:val="22"/>
        </w:rPr>
        <w:t>41</w:t>
      </w:r>
      <w:r w:rsidRPr="00C66C24">
        <w:rPr>
          <w:rFonts w:asciiTheme="minorHAnsi" w:hAnsiTheme="minorHAnsi" w:cstheme="minorBidi"/>
          <w:sz w:val="22"/>
          <w:szCs w:val="22"/>
        </w:rPr>
        <w:t xml:space="preserve"> of them</w:t>
      </w:r>
      <w:r w:rsidR="002F4E8D" w:rsidRPr="00C66C24">
        <w:rPr>
          <w:rFonts w:asciiTheme="minorHAnsi" w:hAnsiTheme="minorHAnsi" w:cstheme="minorBidi"/>
          <w:sz w:val="22"/>
          <w:szCs w:val="22"/>
        </w:rPr>
        <w:t xml:space="preserve"> </w:t>
      </w:r>
      <w:r w:rsidR="000B2641" w:rsidRPr="00C66C24">
        <w:rPr>
          <w:rFonts w:asciiTheme="minorHAnsi" w:hAnsiTheme="minorHAnsi" w:cstheme="minorBidi"/>
          <w:sz w:val="22"/>
          <w:szCs w:val="22"/>
        </w:rPr>
        <w:t>(</w:t>
      </w:r>
      <w:r w:rsidR="002F4E8D" w:rsidRPr="00C66C24">
        <w:rPr>
          <w:rFonts w:cstheme="minorBidi"/>
        </w:rPr>
        <w:fldChar w:fldCharType="begin"/>
      </w:r>
      <w:r w:rsidR="002F4E8D" w:rsidRPr="00C66C24">
        <w:rPr>
          <w:rFonts w:asciiTheme="minorHAnsi" w:hAnsiTheme="minorHAnsi" w:cstheme="minorBidi"/>
          <w:sz w:val="22"/>
          <w:szCs w:val="22"/>
        </w:rPr>
        <w:instrText xml:space="preserve"> REF _Ref153981065 \h </w:instrText>
      </w:r>
      <w:r w:rsidR="000B2641" w:rsidRPr="00C66C24">
        <w:rPr>
          <w:rFonts w:asciiTheme="minorHAnsi" w:hAnsiTheme="minorHAnsi" w:cstheme="minorBidi"/>
          <w:sz w:val="22"/>
          <w:szCs w:val="22"/>
        </w:rPr>
        <w:instrText xml:space="preserve"> \* MERGEFORMAT </w:instrText>
      </w:r>
      <w:r w:rsidR="002F4E8D" w:rsidRPr="00C66C24">
        <w:rPr>
          <w:rFonts w:cstheme="minorBidi"/>
        </w:rPr>
      </w:r>
      <w:r w:rsidR="002F4E8D" w:rsidRPr="00C66C24">
        <w:rPr>
          <w:rFonts w:cstheme="minorBidi"/>
        </w:rPr>
        <w:fldChar w:fldCharType="separate"/>
      </w:r>
      <w:r w:rsidR="00132A27" w:rsidRPr="00C66C24">
        <w:rPr>
          <w:rFonts w:asciiTheme="minorHAnsi" w:hAnsiTheme="minorHAnsi" w:cstheme="minorBidi"/>
          <w:sz w:val="22"/>
          <w:szCs w:val="22"/>
        </w:rPr>
        <w:t>Table 2.3</w:t>
      </w:r>
      <w:r w:rsidR="002F4E8D" w:rsidRPr="00C66C24">
        <w:rPr>
          <w:rFonts w:cstheme="minorBidi"/>
        </w:rPr>
        <w:fldChar w:fldCharType="end"/>
      </w:r>
      <w:r w:rsidR="000B2641" w:rsidRPr="00C66C24">
        <w:rPr>
          <w:rFonts w:asciiTheme="minorHAnsi" w:hAnsiTheme="minorHAnsi" w:cstheme="minorBidi"/>
          <w:sz w:val="22"/>
          <w:szCs w:val="22"/>
        </w:rPr>
        <w:t>)</w:t>
      </w:r>
      <w:r w:rsidRPr="00C66C24">
        <w:rPr>
          <w:rFonts w:asciiTheme="minorHAnsi" w:hAnsiTheme="minorHAnsi" w:cstheme="minorBidi"/>
          <w:sz w:val="22"/>
          <w:szCs w:val="22"/>
        </w:rPr>
        <w:t>.</w:t>
      </w:r>
    </w:p>
    <w:p w14:paraId="42E7CE64" w14:textId="77777777" w:rsidR="004A3CD0" w:rsidRPr="00C66C24" w:rsidRDefault="004A3CD0" w:rsidP="008C6A9C">
      <w:pPr>
        <w:pStyle w:val="NormalWeb"/>
        <w:spacing w:before="0" w:beforeAutospacing="0" w:after="0" w:afterAutospacing="0" w:line="257" w:lineRule="auto"/>
        <w:contextualSpacing/>
        <w:jc w:val="both"/>
        <w:rPr>
          <w:rFonts w:asciiTheme="minorHAnsi" w:hAnsiTheme="minorHAnsi" w:cstheme="minorBidi"/>
          <w:sz w:val="22"/>
          <w:szCs w:val="22"/>
        </w:rPr>
      </w:pPr>
    </w:p>
    <w:tbl>
      <w:tblPr>
        <w:tblStyle w:val="TableGrid"/>
        <w:tblW w:w="0" w:type="auto"/>
        <w:tblLook w:val="04A0" w:firstRow="1" w:lastRow="0" w:firstColumn="1" w:lastColumn="0" w:noHBand="0" w:noVBand="1"/>
      </w:tblPr>
      <w:tblGrid>
        <w:gridCol w:w="2834"/>
        <w:gridCol w:w="2828"/>
        <w:gridCol w:w="2832"/>
      </w:tblGrid>
      <w:tr w:rsidR="0001609C" w:rsidRPr="00C66C24" w14:paraId="376C875E" w14:textId="77777777" w:rsidTr="00A467A2">
        <w:tc>
          <w:tcPr>
            <w:tcW w:w="2906" w:type="dxa"/>
            <w:vMerge w:val="restart"/>
            <w:shd w:val="clear" w:color="auto" w:fill="E7E6E6" w:themeFill="background2"/>
            <w:vAlign w:val="center"/>
          </w:tcPr>
          <w:p w14:paraId="151693FF" w14:textId="54B9614D" w:rsidR="0001609C" w:rsidRPr="00C66C24" w:rsidRDefault="0001609C" w:rsidP="00C61975">
            <w:pPr>
              <w:pStyle w:val="NormalWeb"/>
              <w:spacing w:before="0" w:beforeAutospacing="0" w:after="0" w:afterAutospacing="0" w:line="257" w:lineRule="auto"/>
              <w:contextualSpacing/>
              <w:jc w:val="center"/>
              <w:rPr>
                <w:rFonts w:asciiTheme="minorHAnsi" w:hAnsiTheme="minorHAnsi" w:cstheme="minorHAnsi"/>
                <w:b/>
                <w:bCs/>
                <w:sz w:val="20"/>
                <w:szCs w:val="20"/>
              </w:rPr>
            </w:pPr>
            <w:r w:rsidRPr="00C66C24">
              <w:rPr>
                <w:rFonts w:asciiTheme="minorHAnsi" w:hAnsiTheme="minorHAnsi" w:cstheme="minorHAnsi"/>
                <w:b/>
                <w:bCs/>
                <w:sz w:val="20"/>
                <w:szCs w:val="20"/>
              </w:rPr>
              <w:t>Member State</w:t>
            </w:r>
          </w:p>
        </w:tc>
        <w:tc>
          <w:tcPr>
            <w:tcW w:w="5814" w:type="dxa"/>
            <w:gridSpan w:val="2"/>
            <w:shd w:val="clear" w:color="auto" w:fill="E7E6E6" w:themeFill="background2"/>
          </w:tcPr>
          <w:p w14:paraId="729ACB0C" w14:textId="3104D583" w:rsidR="0001609C" w:rsidRPr="00C66C24" w:rsidRDefault="0001609C" w:rsidP="008C6A9C">
            <w:pPr>
              <w:pStyle w:val="NormalWeb"/>
              <w:spacing w:before="0" w:beforeAutospacing="0" w:after="0" w:afterAutospacing="0" w:line="257" w:lineRule="auto"/>
              <w:contextualSpacing/>
              <w:jc w:val="center"/>
              <w:rPr>
                <w:rFonts w:asciiTheme="minorHAnsi" w:hAnsiTheme="minorHAnsi" w:cstheme="minorHAnsi"/>
                <w:b/>
                <w:bCs/>
                <w:sz w:val="20"/>
                <w:szCs w:val="20"/>
              </w:rPr>
            </w:pPr>
            <w:r w:rsidRPr="00C66C24">
              <w:rPr>
                <w:rFonts w:asciiTheme="minorHAnsi" w:hAnsiTheme="minorHAnsi" w:cstheme="minorHAnsi"/>
                <w:b/>
                <w:bCs/>
                <w:sz w:val="20"/>
                <w:szCs w:val="20"/>
              </w:rPr>
              <w:t>Number of vessels for which the following document were available:</w:t>
            </w:r>
          </w:p>
        </w:tc>
      </w:tr>
      <w:tr w:rsidR="00995B80" w:rsidRPr="00C66C24" w14:paraId="785ED8AA" w14:textId="77777777" w:rsidTr="7462C1EF">
        <w:tc>
          <w:tcPr>
            <w:tcW w:w="2906" w:type="dxa"/>
            <w:vMerge/>
          </w:tcPr>
          <w:p w14:paraId="0A93CD1B" w14:textId="627571EB" w:rsidR="0001609C" w:rsidRPr="00C66C24" w:rsidRDefault="0001609C" w:rsidP="008C6A9C">
            <w:pPr>
              <w:pStyle w:val="NormalWeb"/>
              <w:spacing w:before="0" w:beforeAutospacing="0" w:after="0" w:afterAutospacing="0" w:line="257" w:lineRule="auto"/>
              <w:contextualSpacing/>
              <w:jc w:val="center"/>
              <w:rPr>
                <w:rFonts w:asciiTheme="minorHAnsi" w:hAnsiTheme="minorHAnsi" w:cstheme="minorHAnsi"/>
                <w:b/>
                <w:bCs/>
                <w:sz w:val="20"/>
                <w:szCs w:val="20"/>
              </w:rPr>
            </w:pPr>
          </w:p>
        </w:tc>
        <w:tc>
          <w:tcPr>
            <w:tcW w:w="2907" w:type="dxa"/>
            <w:shd w:val="clear" w:color="auto" w:fill="E7E6E6" w:themeFill="background2"/>
          </w:tcPr>
          <w:p w14:paraId="633047B8" w14:textId="784A0EC6" w:rsidR="0001609C" w:rsidRPr="00C66C24" w:rsidRDefault="0001609C" w:rsidP="008C6A9C">
            <w:pPr>
              <w:pStyle w:val="NormalWeb"/>
              <w:spacing w:before="0" w:beforeAutospacing="0" w:after="0" w:afterAutospacing="0" w:line="257" w:lineRule="auto"/>
              <w:contextualSpacing/>
              <w:jc w:val="center"/>
              <w:rPr>
                <w:rFonts w:asciiTheme="minorHAnsi" w:hAnsiTheme="minorHAnsi" w:cstheme="minorHAnsi"/>
                <w:b/>
                <w:bCs/>
                <w:sz w:val="20"/>
                <w:szCs w:val="20"/>
              </w:rPr>
            </w:pPr>
            <w:r w:rsidRPr="00C66C24">
              <w:rPr>
                <w:rFonts w:asciiTheme="minorHAnsi" w:hAnsiTheme="minorHAnsi" w:cstheme="minorHAnsi"/>
                <w:b/>
                <w:bCs/>
                <w:sz w:val="20"/>
                <w:szCs w:val="20"/>
              </w:rPr>
              <w:t>Ready for Recycling Certificate</w:t>
            </w:r>
          </w:p>
        </w:tc>
        <w:tc>
          <w:tcPr>
            <w:tcW w:w="2907" w:type="dxa"/>
            <w:shd w:val="clear" w:color="auto" w:fill="E7E6E6" w:themeFill="background2"/>
          </w:tcPr>
          <w:p w14:paraId="4E3C3F8D" w14:textId="06176AB0" w:rsidR="0001609C" w:rsidRPr="00C66C24" w:rsidRDefault="0001609C" w:rsidP="008C6A9C">
            <w:pPr>
              <w:pStyle w:val="NormalWeb"/>
              <w:spacing w:before="0" w:beforeAutospacing="0" w:after="0" w:afterAutospacing="0" w:line="257" w:lineRule="auto"/>
              <w:contextualSpacing/>
              <w:jc w:val="center"/>
              <w:rPr>
                <w:rFonts w:asciiTheme="minorHAnsi" w:hAnsiTheme="minorHAnsi" w:cstheme="minorHAnsi"/>
                <w:b/>
                <w:bCs/>
                <w:sz w:val="20"/>
                <w:szCs w:val="20"/>
              </w:rPr>
            </w:pPr>
            <w:r w:rsidRPr="00C66C24">
              <w:rPr>
                <w:rFonts w:asciiTheme="minorHAnsi" w:hAnsiTheme="minorHAnsi" w:cstheme="minorHAnsi"/>
                <w:b/>
                <w:bCs/>
                <w:sz w:val="20"/>
                <w:szCs w:val="20"/>
              </w:rPr>
              <w:t>Ready for Recycling Certificate + Statement of Completion</w:t>
            </w:r>
          </w:p>
        </w:tc>
      </w:tr>
      <w:tr w:rsidR="00AE2A70" w:rsidRPr="00C66C24" w14:paraId="5A704AF9" w14:textId="77777777" w:rsidTr="00A467A2">
        <w:tc>
          <w:tcPr>
            <w:tcW w:w="2906" w:type="dxa"/>
          </w:tcPr>
          <w:p w14:paraId="69AAE6CB" w14:textId="0FBFCF72" w:rsidR="00AE2A70" w:rsidRPr="00C66C24" w:rsidRDefault="00CC01C8"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sz w:val="20"/>
                <w:szCs w:val="20"/>
              </w:rPr>
              <w:t>Belgium</w:t>
            </w:r>
          </w:p>
        </w:tc>
        <w:tc>
          <w:tcPr>
            <w:tcW w:w="2907" w:type="dxa"/>
          </w:tcPr>
          <w:p w14:paraId="5C64EF75" w14:textId="6965B7FF" w:rsidR="00AE2A70" w:rsidRPr="00C66C24" w:rsidRDefault="00CC01C8"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2</w:t>
            </w:r>
          </w:p>
        </w:tc>
        <w:tc>
          <w:tcPr>
            <w:tcW w:w="2907" w:type="dxa"/>
          </w:tcPr>
          <w:p w14:paraId="2743430E" w14:textId="040D6EC4" w:rsidR="00CC01C8" w:rsidRPr="00C66C24" w:rsidRDefault="00CC01C8"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2</w:t>
            </w:r>
          </w:p>
        </w:tc>
      </w:tr>
      <w:tr w:rsidR="00AE2A70" w:rsidRPr="00C66C24" w14:paraId="6CAACB5A" w14:textId="77777777" w:rsidTr="00A467A2">
        <w:tc>
          <w:tcPr>
            <w:tcW w:w="2906" w:type="dxa"/>
          </w:tcPr>
          <w:p w14:paraId="20F918F6" w14:textId="473F929E" w:rsidR="00AE2A70" w:rsidRPr="00C66C24" w:rsidRDefault="00CC01C8"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sz w:val="20"/>
                <w:szCs w:val="20"/>
              </w:rPr>
              <w:t>Croatia</w:t>
            </w:r>
          </w:p>
        </w:tc>
        <w:tc>
          <w:tcPr>
            <w:tcW w:w="2907" w:type="dxa"/>
          </w:tcPr>
          <w:p w14:paraId="0F3F5B6E" w14:textId="11EDBE17" w:rsidR="00AE2A70" w:rsidRPr="00C66C24" w:rsidRDefault="00EB615E"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1</w:t>
            </w:r>
          </w:p>
        </w:tc>
        <w:tc>
          <w:tcPr>
            <w:tcW w:w="2907" w:type="dxa"/>
          </w:tcPr>
          <w:p w14:paraId="0CA33812" w14:textId="23D03BB0" w:rsidR="00AE2A70" w:rsidRPr="00C66C24" w:rsidRDefault="00EB615E"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1</w:t>
            </w:r>
          </w:p>
        </w:tc>
      </w:tr>
      <w:tr w:rsidR="00AE2A70" w:rsidRPr="00C66C24" w14:paraId="4885AB84" w14:textId="77777777" w:rsidTr="00A467A2">
        <w:tc>
          <w:tcPr>
            <w:tcW w:w="2906" w:type="dxa"/>
          </w:tcPr>
          <w:p w14:paraId="6F481A1A" w14:textId="7436340A" w:rsidR="00AE2A70" w:rsidRPr="00C66C24" w:rsidRDefault="00EB615E"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sz w:val="20"/>
                <w:szCs w:val="20"/>
              </w:rPr>
              <w:t>Cyprus</w:t>
            </w:r>
          </w:p>
        </w:tc>
        <w:tc>
          <w:tcPr>
            <w:tcW w:w="2907" w:type="dxa"/>
          </w:tcPr>
          <w:p w14:paraId="3C1E528E" w14:textId="4F57253B" w:rsidR="00AE2A70" w:rsidRPr="00C66C24" w:rsidRDefault="00EB615E"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11</w:t>
            </w:r>
          </w:p>
        </w:tc>
        <w:tc>
          <w:tcPr>
            <w:tcW w:w="2907" w:type="dxa"/>
          </w:tcPr>
          <w:p w14:paraId="7251D5D8" w14:textId="34E6FA2F" w:rsidR="00AE2A70" w:rsidRPr="00C66C24" w:rsidRDefault="00EB615E"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5</w:t>
            </w:r>
          </w:p>
        </w:tc>
      </w:tr>
      <w:tr w:rsidR="00AE2A70" w:rsidRPr="00C66C24" w14:paraId="20BA5045" w14:textId="77777777" w:rsidTr="00A467A2">
        <w:tc>
          <w:tcPr>
            <w:tcW w:w="2906" w:type="dxa"/>
          </w:tcPr>
          <w:p w14:paraId="4B11BE18" w14:textId="74931055" w:rsidR="00AE2A70" w:rsidRPr="00C66C24" w:rsidRDefault="007A44AC"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sz w:val="20"/>
                <w:szCs w:val="20"/>
              </w:rPr>
              <w:t>Denmark</w:t>
            </w:r>
            <w:r w:rsidR="007A48FF" w:rsidRPr="00C66C24">
              <w:rPr>
                <w:rStyle w:val="FootnoteReference"/>
                <w:rFonts w:asciiTheme="minorHAnsi" w:hAnsiTheme="minorHAnsi" w:cstheme="minorHAnsi"/>
                <w:sz w:val="20"/>
                <w:szCs w:val="20"/>
              </w:rPr>
              <w:footnoteReference w:id="24"/>
            </w:r>
          </w:p>
        </w:tc>
        <w:tc>
          <w:tcPr>
            <w:tcW w:w="2907" w:type="dxa"/>
          </w:tcPr>
          <w:p w14:paraId="3AEE2A91" w14:textId="77777777" w:rsidR="00AE2A70" w:rsidRPr="00C66C24" w:rsidRDefault="007A44AC"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9</w:t>
            </w:r>
          </w:p>
          <w:p w14:paraId="02B68214" w14:textId="55712636" w:rsidR="0001609C" w:rsidRPr="00C66C24" w:rsidRDefault="0001609C"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w:t>
            </w:r>
            <w:r w:rsidR="00E326ED" w:rsidRPr="00C66C24">
              <w:rPr>
                <w:rFonts w:asciiTheme="minorHAnsi" w:hAnsiTheme="minorHAnsi" w:cstheme="minorHAnsi"/>
                <w:sz w:val="20"/>
                <w:szCs w:val="20"/>
              </w:rPr>
              <w:t>3 extra vessels were reported where the RFRC has not been</w:t>
            </w:r>
            <w:r w:rsidR="008B4A95" w:rsidRPr="00C66C24">
              <w:rPr>
                <w:rFonts w:asciiTheme="minorHAnsi" w:hAnsiTheme="minorHAnsi" w:cstheme="minorHAnsi"/>
                <w:sz w:val="20"/>
                <w:szCs w:val="20"/>
              </w:rPr>
              <w:t xml:space="preserve"> received </w:t>
            </w:r>
            <w:r w:rsidR="00C00E14" w:rsidRPr="00C66C24">
              <w:rPr>
                <w:rFonts w:asciiTheme="minorHAnsi" w:hAnsiTheme="minorHAnsi" w:cstheme="minorHAnsi"/>
                <w:sz w:val="20"/>
                <w:szCs w:val="20"/>
              </w:rPr>
              <w:t xml:space="preserve">but </w:t>
            </w:r>
            <w:r w:rsidR="008B4A95" w:rsidRPr="00C66C24">
              <w:rPr>
                <w:rFonts w:asciiTheme="minorHAnsi" w:hAnsiTheme="minorHAnsi" w:cstheme="minorHAnsi"/>
                <w:sz w:val="20"/>
                <w:szCs w:val="20"/>
              </w:rPr>
              <w:t>the SOC has)</w:t>
            </w:r>
          </w:p>
        </w:tc>
        <w:tc>
          <w:tcPr>
            <w:tcW w:w="2907" w:type="dxa"/>
          </w:tcPr>
          <w:p w14:paraId="1FABC954" w14:textId="77777777" w:rsidR="00AE2A70" w:rsidRPr="00C66C24" w:rsidRDefault="007A44AC"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8</w:t>
            </w:r>
          </w:p>
          <w:p w14:paraId="2EA8E733" w14:textId="69903837" w:rsidR="008B4A95" w:rsidRPr="00C66C24" w:rsidRDefault="008B4A95"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w:t>
            </w:r>
            <w:r w:rsidR="00192DEF" w:rsidRPr="00C66C24">
              <w:rPr>
                <w:rFonts w:asciiTheme="minorHAnsi" w:hAnsiTheme="minorHAnsi" w:cstheme="minorHAnsi"/>
                <w:sz w:val="20"/>
                <w:szCs w:val="20"/>
              </w:rPr>
              <w:t xml:space="preserve">including 2 </w:t>
            </w:r>
            <w:r w:rsidRPr="00C66C24">
              <w:rPr>
                <w:rFonts w:asciiTheme="minorHAnsi" w:hAnsiTheme="minorHAnsi" w:cstheme="minorHAnsi"/>
                <w:sz w:val="20"/>
                <w:szCs w:val="20"/>
              </w:rPr>
              <w:t xml:space="preserve">where the RFRC has not been received </w:t>
            </w:r>
            <w:r w:rsidR="00C00E14" w:rsidRPr="00C66C24">
              <w:rPr>
                <w:rFonts w:asciiTheme="minorHAnsi" w:hAnsiTheme="minorHAnsi" w:cstheme="minorHAnsi"/>
                <w:sz w:val="20"/>
                <w:szCs w:val="20"/>
              </w:rPr>
              <w:t xml:space="preserve">but </w:t>
            </w:r>
            <w:r w:rsidRPr="00C66C24">
              <w:rPr>
                <w:rFonts w:asciiTheme="minorHAnsi" w:hAnsiTheme="minorHAnsi" w:cstheme="minorHAnsi"/>
                <w:sz w:val="20"/>
                <w:szCs w:val="20"/>
              </w:rPr>
              <w:t>the SOC has)</w:t>
            </w:r>
          </w:p>
        </w:tc>
      </w:tr>
      <w:tr w:rsidR="00AE2A70" w:rsidRPr="00C66C24" w14:paraId="4BB38013" w14:textId="77777777" w:rsidTr="00A467A2">
        <w:trPr>
          <w:trHeight w:val="300"/>
        </w:trPr>
        <w:tc>
          <w:tcPr>
            <w:tcW w:w="2906" w:type="dxa"/>
          </w:tcPr>
          <w:p w14:paraId="26A62F26" w14:textId="7676E94A" w:rsidR="00AE2A70" w:rsidRPr="00C66C24" w:rsidRDefault="28D40C3B"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bCs/>
                <w:sz w:val="20"/>
                <w:szCs w:val="20"/>
              </w:rPr>
              <w:t>Greece</w:t>
            </w:r>
          </w:p>
        </w:tc>
        <w:tc>
          <w:tcPr>
            <w:tcW w:w="2907" w:type="dxa"/>
          </w:tcPr>
          <w:p w14:paraId="506B949A" w14:textId="6D617BD5" w:rsidR="00AE2A70" w:rsidRPr="00C66C24" w:rsidRDefault="0052080A"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6</w:t>
            </w:r>
          </w:p>
        </w:tc>
        <w:tc>
          <w:tcPr>
            <w:tcW w:w="2907" w:type="dxa"/>
          </w:tcPr>
          <w:p w14:paraId="4A30C2F1" w14:textId="043B1D1F" w:rsidR="00AE2A70" w:rsidRPr="00C66C24" w:rsidRDefault="274C6CDF"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6</w:t>
            </w:r>
          </w:p>
        </w:tc>
      </w:tr>
      <w:tr w:rsidR="00AE2A70" w:rsidRPr="00C66C24" w14:paraId="721801A9" w14:textId="77777777" w:rsidTr="00A467A2">
        <w:trPr>
          <w:trHeight w:val="300"/>
        </w:trPr>
        <w:tc>
          <w:tcPr>
            <w:tcW w:w="2906" w:type="dxa"/>
          </w:tcPr>
          <w:p w14:paraId="404541A7" w14:textId="24B0C12E" w:rsidR="00AE2A70" w:rsidRPr="00C66C24" w:rsidRDefault="13E4D050"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bCs/>
                <w:sz w:val="20"/>
                <w:szCs w:val="20"/>
              </w:rPr>
              <w:t>Italy</w:t>
            </w:r>
            <w:r w:rsidR="003F40C6" w:rsidRPr="00C66C24">
              <w:rPr>
                <w:rStyle w:val="FootnoteReference"/>
                <w:rFonts w:asciiTheme="minorHAnsi" w:hAnsiTheme="minorHAnsi" w:cstheme="minorHAnsi"/>
                <w:sz w:val="20"/>
                <w:szCs w:val="20"/>
              </w:rPr>
              <w:footnoteReference w:id="25"/>
            </w:r>
          </w:p>
        </w:tc>
        <w:tc>
          <w:tcPr>
            <w:tcW w:w="2907" w:type="dxa"/>
          </w:tcPr>
          <w:p w14:paraId="3BF47AF6" w14:textId="4EDD8515" w:rsidR="00AE2A70" w:rsidRPr="00C66C24" w:rsidRDefault="11547699"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6</w:t>
            </w:r>
          </w:p>
        </w:tc>
        <w:tc>
          <w:tcPr>
            <w:tcW w:w="2907" w:type="dxa"/>
          </w:tcPr>
          <w:p w14:paraId="2D1DFA4C" w14:textId="7BE90DD0" w:rsidR="00AE2A70" w:rsidRPr="00C66C24" w:rsidRDefault="6EC1ACEF"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4</w:t>
            </w:r>
          </w:p>
        </w:tc>
      </w:tr>
      <w:tr w:rsidR="00AE2A70" w:rsidRPr="00C66C24" w14:paraId="7D023878" w14:textId="77777777" w:rsidTr="00A467A2">
        <w:trPr>
          <w:trHeight w:val="300"/>
        </w:trPr>
        <w:tc>
          <w:tcPr>
            <w:tcW w:w="2906" w:type="dxa"/>
          </w:tcPr>
          <w:p w14:paraId="25DD8774" w14:textId="58F4EE9E" w:rsidR="00AE2A70" w:rsidRPr="00C66C24" w:rsidRDefault="4EA9D385"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bCs/>
                <w:sz w:val="20"/>
                <w:szCs w:val="20"/>
              </w:rPr>
              <w:t>Malta</w:t>
            </w:r>
            <w:r w:rsidR="007A48FF" w:rsidRPr="00C66C24">
              <w:rPr>
                <w:rStyle w:val="FootnoteReference"/>
                <w:rFonts w:asciiTheme="minorHAnsi" w:hAnsiTheme="minorHAnsi" w:cstheme="minorHAnsi"/>
                <w:sz w:val="20"/>
                <w:szCs w:val="20"/>
              </w:rPr>
              <w:footnoteReference w:id="26"/>
            </w:r>
          </w:p>
          <w:p w14:paraId="1E04983F" w14:textId="62270B0A" w:rsidR="00AE2A70" w:rsidRPr="00C66C24" w:rsidRDefault="00AE2A70" w:rsidP="008C6A9C">
            <w:pPr>
              <w:pStyle w:val="NormalWeb"/>
              <w:spacing w:before="0" w:beforeAutospacing="0" w:after="0" w:afterAutospacing="0" w:line="257" w:lineRule="auto"/>
              <w:contextualSpacing/>
              <w:jc w:val="center"/>
              <w:rPr>
                <w:rFonts w:asciiTheme="minorHAnsi" w:hAnsiTheme="minorHAnsi" w:cstheme="minorHAnsi"/>
                <w:sz w:val="20"/>
                <w:szCs w:val="20"/>
              </w:rPr>
            </w:pPr>
          </w:p>
        </w:tc>
        <w:tc>
          <w:tcPr>
            <w:tcW w:w="2907" w:type="dxa"/>
          </w:tcPr>
          <w:p w14:paraId="31517970" w14:textId="3EDE084A" w:rsidR="00AE2A70" w:rsidRPr="00C66C24" w:rsidRDefault="25EBD8DD"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24</w:t>
            </w:r>
          </w:p>
        </w:tc>
        <w:tc>
          <w:tcPr>
            <w:tcW w:w="2907" w:type="dxa"/>
          </w:tcPr>
          <w:p w14:paraId="1DAC7B48" w14:textId="17685D42" w:rsidR="00AE2A70" w:rsidRPr="00C66C24" w:rsidRDefault="00AE2A70" w:rsidP="008C6A9C">
            <w:pPr>
              <w:pStyle w:val="NormalWeb"/>
              <w:spacing w:before="0" w:beforeAutospacing="0" w:after="0" w:afterAutospacing="0" w:line="257" w:lineRule="auto"/>
              <w:contextualSpacing/>
              <w:jc w:val="center"/>
              <w:rPr>
                <w:rFonts w:asciiTheme="minorHAnsi" w:hAnsiTheme="minorHAnsi" w:cstheme="minorHAnsi"/>
                <w:sz w:val="20"/>
                <w:szCs w:val="20"/>
              </w:rPr>
            </w:pPr>
          </w:p>
        </w:tc>
      </w:tr>
      <w:tr w:rsidR="00BE7E05" w:rsidRPr="00C66C24" w14:paraId="38407909" w14:textId="77777777" w:rsidTr="00A467A2">
        <w:trPr>
          <w:trHeight w:val="300"/>
        </w:trPr>
        <w:tc>
          <w:tcPr>
            <w:tcW w:w="2906" w:type="dxa"/>
          </w:tcPr>
          <w:p w14:paraId="699BCF6B" w14:textId="12B504DA" w:rsidR="00BE7E05" w:rsidRPr="00C66C24" w:rsidRDefault="6C696A4F"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bCs/>
                <w:sz w:val="20"/>
                <w:szCs w:val="20"/>
              </w:rPr>
              <w:t>The Netherlands</w:t>
            </w:r>
          </w:p>
        </w:tc>
        <w:tc>
          <w:tcPr>
            <w:tcW w:w="2907" w:type="dxa"/>
          </w:tcPr>
          <w:p w14:paraId="19712A18" w14:textId="6081DB5D" w:rsidR="00BE7E05" w:rsidRPr="00C66C24" w:rsidRDefault="6091572D"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7</w:t>
            </w:r>
          </w:p>
        </w:tc>
        <w:tc>
          <w:tcPr>
            <w:tcW w:w="2907" w:type="dxa"/>
          </w:tcPr>
          <w:p w14:paraId="2568959D" w14:textId="61161EC1" w:rsidR="00BE7E05" w:rsidRPr="00C66C24" w:rsidRDefault="54BB62E5"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4</w:t>
            </w:r>
          </w:p>
        </w:tc>
      </w:tr>
      <w:tr w:rsidR="0057070A" w:rsidRPr="00C66C24" w14:paraId="6ED12B11" w14:textId="77777777" w:rsidTr="00A467A2">
        <w:trPr>
          <w:trHeight w:val="300"/>
        </w:trPr>
        <w:tc>
          <w:tcPr>
            <w:tcW w:w="2906" w:type="dxa"/>
          </w:tcPr>
          <w:p w14:paraId="3CBDEAF7" w14:textId="622813D9" w:rsidR="0057070A" w:rsidRPr="00C66C24" w:rsidRDefault="01FA1E61"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bCs/>
                <w:sz w:val="20"/>
                <w:szCs w:val="20"/>
              </w:rPr>
              <w:t>Spain</w:t>
            </w:r>
          </w:p>
          <w:p w14:paraId="19C9D439" w14:textId="6C196963" w:rsidR="0057070A" w:rsidRPr="00C66C24" w:rsidRDefault="0057070A" w:rsidP="008C6A9C">
            <w:pPr>
              <w:pStyle w:val="NormalWeb"/>
              <w:spacing w:before="0" w:beforeAutospacing="0" w:after="0" w:afterAutospacing="0" w:line="257" w:lineRule="auto"/>
              <w:contextualSpacing/>
              <w:jc w:val="center"/>
              <w:rPr>
                <w:rFonts w:asciiTheme="minorHAnsi" w:hAnsiTheme="minorHAnsi" w:cstheme="minorHAnsi"/>
                <w:sz w:val="20"/>
                <w:szCs w:val="20"/>
              </w:rPr>
            </w:pPr>
          </w:p>
        </w:tc>
        <w:tc>
          <w:tcPr>
            <w:tcW w:w="2907" w:type="dxa"/>
          </w:tcPr>
          <w:p w14:paraId="6EDF57E9" w14:textId="378E2A9B" w:rsidR="0057070A" w:rsidRPr="00C66C24" w:rsidRDefault="00241DE1"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1</w:t>
            </w:r>
          </w:p>
        </w:tc>
        <w:tc>
          <w:tcPr>
            <w:tcW w:w="2907" w:type="dxa"/>
          </w:tcPr>
          <w:p w14:paraId="093C713F" w14:textId="0DCA523B" w:rsidR="0057070A" w:rsidRPr="00C66C24" w:rsidRDefault="0FB1E411"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0</w:t>
            </w:r>
          </w:p>
        </w:tc>
      </w:tr>
      <w:tr w:rsidR="00241DE1" w:rsidRPr="00C66C24" w14:paraId="15E6A46C" w14:textId="77777777" w:rsidTr="00A467A2">
        <w:trPr>
          <w:trHeight w:val="300"/>
        </w:trPr>
        <w:tc>
          <w:tcPr>
            <w:tcW w:w="2906" w:type="dxa"/>
          </w:tcPr>
          <w:p w14:paraId="5929300A" w14:textId="63CCF3D8" w:rsidR="00241DE1" w:rsidRPr="00C66C24" w:rsidRDefault="7C631BD3"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b/>
                <w:bCs/>
                <w:sz w:val="20"/>
                <w:szCs w:val="20"/>
              </w:rPr>
              <w:t>Sweden</w:t>
            </w:r>
          </w:p>
        </w:tc>
        <w:tc>
          <w:tcPr>
            <w:tcW w:w="2907" w:type="dxa"/>
          </w:tcPr>
          <w:p w14:paraId="1C24E067" w14:textId="7A6D6CED" w:rsidR="00241DE1" w:rsidRPr="00C66C24" w:rsidRDefault="73E6B88B"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1</w:t>
            </w:r>
          </w:p>
        </w:tc>
        <w:tc>
          <w:tcPr>
            <w:tcW w:w="2907" w:type="dxa"/>
          </w:tcPr>
          <w:p w14:paraId="4DC1910E" w14:textId="09FD632D" w:rsidR="00241DE1" w:rsidRPr="00C66C24" w:rsidRDefault="73E6B88B"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1</w:t>
            </w:r>
          </w:p>
        </w:tc>
      </w:tr>
      <w:tr w:rsidR="00870C7D" w:rsidRPr="00C66C24" w14:paraId="1BB6AB05" w14:textId="77777777" w:rsidTr="00A467A2">
        <w:tc>
          <w:tcPr>
            <w:tcW w:w="2906" w:type="dxa"/>
          </w:tcPr>
          <w:p w14:paraId="59F1E567" w14:textId="0F15D9C2" w:rsidR="00870C7D" w:rsidRPr="00C66C24" w:rsidRDefault="2BE9FD98" w:rsidP="008C6A9C">
            <w:pPr>
              <w:pStyle w:val="NormalWeb"/>
              <w:spacing w:before="0" w:beforeAutospacing="0" w:after="0" w:afterAutospacing="0" w:line="257" w:lineRule="auto"/>
              <w:contextualSpacing/>
              <w:jc w:val="center"/>
              <w:rPr>
                <w:rFonts w:asciiTheme="minorHAnsi" w:hAnsiTheme="minorHAnsi" w:cstheme="minorHAnsi"/>
                <w:b/>
                <w:sz w:val="20"/>
                <w:szCs w:val="20"/>
              </w:rPr>
            </w:pPr>
            <w:r w:rsidRPr="00C66C24">
              <w:rPr>
                <w:rFonts w:asciiTheme="minorHAnsi" w:hAnsiTheme="minorHAnsi" w:cstheme="minorHAnsi"/>
                <w:b/>
                <w:bCs/>
                <w:sz w:val="20"/>
                <w:szCs w:val="20"/>
              </w:rPr>
              <w:t>MS Total</w:t>
            </w:r>
          </w:p>
        </w:tc>
        <w:tc>
          <w:tcPr>
            <w:tcW w:w="2907" w:type="dxa"/>
          </w:tcPr>
          <w:p w14:paraId="2FFA9156" w14:textId="374C8A93" w:rsidR="00870C7D" w:rsidRPr="00C66C24" w:rsidRDefault="7CD1E47D"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6</w:t>
            </w:r>
            <w:r w:rsidR="731DB76C" w:rsidRPr="00C66C24">
              <w:rPr>
                <w:rFonts w:asciiTheme="minorHAnsi" w:hAnsiTheme="minorHAnsi" w:cstheme="minorHAnsi"/>
                <w:sz w:val="20"/>
                <w:szCs w:val="20"/>
              </w:rPr>
              <w:t>8</w:t>
            </w:r>
          </w:p>
        </w:tc>
        <w:tc>
          <w:tcPr>
            <w:tcW w:w="2907" w:type="dxa"/>
          </w:tcPr>
          <w:p w14:paraId="3AA65FD1" w14:textId="30F8E366" w:rsidR="00870C7D" w:rsidRPr="00C66C24" w:rsidRDefault="50645887"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31</w:t>
            </w:r>
          </w:p>
        </w:tc>
      </w:tr>
      <w:tr w:rsidR="004540D1" w:rsidRPr="00C66C24" w14:paraId="141D8AD7" w14:textId="77777777" w:rsidTr="00A467A2">
        <w:tc>
          <w:tcPr>
            <w:tcW w:w="2906" w:type="dxa"/>
          </w:tcPr>
          <w:p w14:paraId="5EC61045" w14:textId="3FC3C651" w:rsidR="004540D1" w:rsidRPr="00C66C24" w:rsidRDefault="2BE9FD98" w:rsidP="008C6A9C">
            <w:pPr>
              <w:pStyle w:val="NormalWeb"/>
              <w:spacing w:before="0" w:beforeAutospacing="0" w:after="0" w:afterAutospacing="0" w:line="257" w:lineRule="auto"/>
              <w:contextualSpacing/>
              <w:jc w:val="center"/>
              <w:rPr>
                <w:rFonts w:asciiTheme="minorHAnsi" w:hAnsiTheme="minorHAnsi" w:cstheme="minorHAnsi"/>
                <w:b/>
                <w:bCs/>
                <w:i/>
                <w:iCs/>
                <w:sz w:val="20"/>
                <w:szCs w:val="20"/>
              </w:rPr>
            </w:pPr>
            <w:r w:rsidRPr="00C66C24">
              <w:rPr>
                <w:rFonts w:asciiTheme="minorHAnsi" w:hAnsiTheme="minorHAnsi" w:cstheme="minorHAnsi"/>
                <w:b/>
                <w:bCs/>
                <w:i/>
                <w:iCs/>
                <w:sz w:val="20"/>
                <w:szCs w:val="20"/>
              </w:rPr>
              <w:t xml:space="preserve">EFTA Countries </w:t>
            </w:r>
          </w:p>
          <w:p w14:paraId="03A22AE3" w14:textId="52B9F5F6" w:rsidR="004540D1" w:rsidRPr="00C66C24" w:rsidRDefault="004540D1" w:rsidP="008C6A9C">
            <w:pPr>
              <w:pStyle w:val="NormalWeb"/>
              <w:spacing w:before="0" w:beforeAutospacing="0" w:after="0" w:afterAutospacing="0" w:line="257" w:lineRule="auto"/>
              <w:contextualSpacing/>
              <w:jc w:val="center"/>
              <w:rPr>
                <w:rFonts w:asciiTheme="minorHAnsi" w:hAnsiTheme="minorHAnsi" w:cstheme="minorHAnsi"/>
                <w:b/>
                <w:i/>
                <w:sz w:val="20"/>
                <w:szCs w:val="20"/>
              </w:rPr>
            </w:pPr>
            <w:r w:rsidRPr="00C66C24">
              <w:rPr>
                <w:rFonts w:asciiTheme="minorHAnsi" w:hAnsiTheme="minorHAnsi" w:cstheme="minorHAnsi"/>
                <w:b/>
                <w:i/>
                <w:sz w:val="20"/>
                <w:szCs w:val="20"/>
              </w:rPr>
              <w:t>Norway</w:t>
            </w:r>
          </w:p>
        </w:tc>
        <w:tc>
          <w:tcPr>
            <w:tcW w:w="2907" w:type="dxa"/>
          </w:tcPr>
          <w:p w14:paraId="50FC7171" w14:textId="4F353D0B" w:rsidR="415745A9" w:rsidRPr="00C66C24" w:rsidRDefault="415745A9" w:rsidP="008C6A9C">
            <w:pPr>
              <w:pStyle w:val="NormalWeb"/>
              <w:spacing w:before="0" w:beforeAutospacing="0" w:after="0" w:afterAutospacing="0" w:line="257" w:lineRule="auto"/>
              <w:contextualSpacing/>
              <w:jc w:val="center"/>
              <w:rPr>
                <w:rFonts w:asciiTheme="minorHAnsi" w:hAnsiTheme="minorHAnsi" w:cstheme="minorHAnsi"/>
                <w:sz w:val="20"/>
                <w:szCs w:val="20"/>
              </w:rPr>
            </w:pPr>
          </w:p>
          <w:p w14:paraId="7F53EBC7" w14:textId="2575BB93" w:rsidR="004540D1" w:rsidRPr="00C66C24" w:rsidRDefault="004540D1"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17</w:t>
            </w:r>
          </w:p>
        </w:tc>
        <w:tc>
          <w:tcPr>
            <w:tcW w:w="2907" w:type="dxa"/>
          </w:tcPr>
          <w:p w14:paraId="052658EB" w14:textId="50EAA7DC" w:rsidR="415745A9" w:rsidRPr="00C66C24" w:rsidRDefault="415745A9" w:rsidP="008C6A9C">
            <w:pPr>
              <w:pStyle w:val="NormalWeb"/>
              <w:spacing w:before="0" w:beforeAutospacing="0" w:after="0" w:afterAutospacing="0" w:line="257" w:lineRule="auto"/>
              <w:contextualSpacing/>
              <w:jc w:val="center"/>
              <w:rPr>
                <w:rFonts w:asciiTheme="minorHAnsi" w:hAnsiTheme="minorHAnsi" w:cstheme="minorHAnsi"/>
                <w:sz w:val="20"/>
                <w:szCs w:val="20"/>
              </w:rPr>
            </w:pPr>
          </w:p>
          <w:p w14:paraId="51891CAA" w14:textId="282CADC2" w:rsidR="004540D1" w:rsidRPr="00C66C24" w:rsidRDefault="004540D1"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10</w:t>
            </w:r>
          </w:p>
        </w:tc>
      </w:tr>
      <w:tr w:rsidR="004540D1" w:rsidRPr="00C66C24" w14:paraId="5ABDF0DE" w14:textId="77777777" w:rsidTr="00A467A2">
        <w:tc>
          <w:tcPr>
            <w:tcW w:w="2906" w:type="dxa"/>
          </w:tcPr>
          <w:p w14:paraId="126C4DDF" w14:textId="2536BE86" w:rsidR="004540D1" w:rsidRPr="00C66C24" w:rsidRDefault="004540D1" w:rsidP="008C6A9C">
            <w:pPr>
              <w:pStyle w:val="NormalWeb"/>
              <w:spacing w:before="0" w:beforeAutospacing="0" w:after="0" w:afterAutospacing="0" w:line="257" w:lineRule="auto"/>
              <w:contextualSpacing/>
              <w:jc w:val="center"/>
              <w:rPr>
                <w:rFonts w:asciiTheme="minorHAnsi" w:hAnsiTheme="minorHAnsi" w:cstheme="minorHAnsi"/>
                <w:b/>
                <w:bCs/>
                <w:sz w:val="20"/>
                <w:szCs w:val="20"/>
              </w:rPr>
            </w:pPr>
            <w:r w:rsidRPr="00C66C24">
              <w:rPr>
                <w:rFonts w:asciiTheme="minorHAnsi" w:hAnsiTheme="minorHAnsi" w:cstheme="minorHAnsi"/>
                <w:b/>
                <w:bCs/>
                <w:sz w:val="20"/>
                <w:szCs w:val="20"/>
              </w:rPr>
              <w:t>Total</w:t>
            </w:r>
          </w:p>
        </w:tc>
        <w:tc>
          <w:tcPr>
            <w:tcW w:w="2907" w:type="dxa"/>
          </w:tcPr>
          <w:p w14:paraId="5FF423ED" w14:textId="0430D5CB" w:rsidR="004540D1" w:rsidRPr="00C66C24" w:rsidRDefault="004540D1"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8</w:t>
            </w:r>
            <w:r w:rsidR="3C65F88E" w:rsidRPr="00C66C24">
              <w:rPr>
                <w:rFonts w:asciiTheme="minorHAnsi" w:hAnsiTheme="minorHAnsi" w:cstheme="minorHAnsi"/>
                <w:sz w:val="20"/>
                <w:szCs w:val="20"/>
              </w:rPr>
              <w:t>5</w:t>
            </w:r>
          </w:p>
        </w:tc>
        <w:tc>
          <w:tcPr>
            <w:tcW w:w="2907" w:type="dxa"/>
          </w:tcPr>
          <w:p w14:paraId="3413129D" w14:textId="3DEF6983" w:rsidR="004540D1" w:rsidRPr="00C66C24" w:rsidRDefault="340320C2" w:rsidP="008C6A9C">
            <w:pPr>
              <w:pStyle w:val="NormalWeb"/>
              <w:spacing w:before="0" w:beforeAutospacing="0" w:after="0" w:afterAutospacing="0" w:line="257" w:lineRule="auto"/>
              <w:contextualSpacing/>
              <w:jc w:val="center"/>
              <w:rPr>
                <w:rFonts w:asciiTheme="minorHAnsi" w:hAnsiTheme="minorHAnsi" w:cstheme="minorHAnsi"/>
                <w:sz w:val="20"/>
                <w:szCs w:val="20"/>
              </w:rPr>
            </w:pPr>
            <w:r w:rsidRPr="00C66C24">
              <w:rPr>
                <w:rFonts w:asciiTheme="minorHAnsi" w:hAnsiTheme="minorHAnsi" w:cstheme="minorHAnsi"/>
                <w:sz w:val="20"/>
                <w:szCs w:val="20"/>
              </w:rPr>
              <w:t>41</w:t>
            </w:r>
          </w:p>
        </w:tc>
      </w:tr>
    </w:tbl>
    <w:p w14:paraId="00CA043B" w14:textId="2A12DAF5" w:rsidR="00B927A1" w:rsidRPr="00C66C24" w:rsidRDefault="000F2E4C" w:rsidP="008C6A9C">
      <w:pPr>
        <w:pStyle w:val="Caption"/>
        <w:spacing w:after="0" w:line="257" w:lineRule="auto"/>
        <w:jc w:val="center"/>
        <w:rPr>
          <w:b w:val="0"/>
          <w:sz w:val="20"/>
          <w:szCs w:val="20"/>
        </w:rPr>
      </w:pPr>
      <w:bookmarkStart w:id="168" w:name="_Ref153981065"/>
      <w:r w:rsidRPr="00C66C24">
        <w:rPr>
          <w:sz w:val="20"/>
          <w:szCs w:val="20"/>
        </w:rPr>
        <w:t xml:space="preserve">Table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00B5703D" w:rsidRPr="00C66C24">
        <w:rPr>
          <w:noProof/>
          <w:sz w:val="20"/>
          <w:szCs w:val="20"/>
        </w:rPr>
        <w:t>2</w:t>
      </w:r>
      <w:r w:rsidRPr="00C66C24">
        <w:rPr>
          <w:sz w:val="20"/>
          <w:szCs w:val="20"/>
        </w:rPr>
        <w:fldChar w:fldCharType="end"/>
      </w:r>
      <w:r w:rsidRPr="00C66C24">
        <w:rPr>
          <w:sz w:val="20"/>
          <w:szCs w:val="20"/>
        </w:rPr>
        <w:t>.</w:t>
      </w:r>
      <w:r w:rsidRPr="00C66C24">
        <w:rPr>
          <w:sz w:val="20"/>
          <w:szCs w:val="20"/>
        </w:rPr>
        <w:fldChar w:fldCharType="begin"/>
      </w:r>
      <w:r w:rsidRPr="00C66C24">
        <w:rPr>
          <w:sz w:val="20"/>
          <w:szCs w:val="20"/>
        </w:rPr>
        <w:instrText xml:space="preserve"> SEQ Table \* ARABIC \s 1 </w:instrText>
      </w:r>
      <w:r w:rsidRPr="00C66C24">
        <w:rPr>
          <w:sz w:val="20"/>
          <w:szCs w:val="20"/>
        </w:rPr>
        <w:fldChar w:fldCharType="separate"/>
      </w:r>
      <w:r w:rsidR="00C6330B" w:rsidRPr="00C66C24">
        <w:rPr>
          <w:noProof/>
          <w:sz w:val="20"/>
          <w:szCs w:val="20"/>
        </w:rPr>
        <w:t>3</w:t>
      </w:r>
      <w:r w:rsidRPr="00C66C24">
        <w:rPr>
          <w:sz w:val="20"/>
          <w:szCs w:val="20"/>
        </w:rPr>
        <w:fldChar w:fldCharType="end"/>
      </w:r>
      <w:bookmarkEnd w:id="168"/>
      <w:r w:rsidRPr="00C66C24">
        <w:rPr>
          <w:sz w:val="20"/>
          <w:szCs w:val="20"/>
        </w:rPr>
        <w:t xml:space="preserve"> List of countries with Ready for Recycling Certificates and Statement of Completion</w:t>
      </w:r>
      <w:r w:rsidR="40033A5D" w:rsidRPr="00C66C24">
        <w:rPr>
          <w:sz w:val="20"/>
          <w:szCs w:val="20"/>
        </w:rPr>
        <w:t xml:space="preserve"> (note that if no data is provided then no documents were issued by that MS)</w:t>
      </w:r>
      <w:r w:rsidR="43C1A82A" w:rsidRPr="00C66C24">
        <w:rPr>
          <w:b w:val="0"/>
          <w:sz w:val="20"/>
          <w:szCs w:val="20"/>
        </w:rPr>
        <w:t>.</w:t>
      </w:r>
    </w:p>
    <w:p w14:paraId="58D77942" w14:textId="6B8EA695" w:rsidR="00596188" w:rsidRPr="00C66C24" w:rsidRDefault="00B927A1" w:rsidP="008C6A9C">
      <w:pPr>
        <w:spacing w:before="0" w:after="120" w:line="257" w:lineRule="auto"/>
        <w:contextualSpacing/>
        <w:jc w:val="center"/>
        <w:rPr>
          <w:rFonts w:cstheme="minorHAnsi"/>
          <w:sz w:val="20"/>
          <w:szCs w:val="20"/>
        </w:rPr>
      </w:pPr>
      <w:r w:rsidRPr="00C66C24">
        <w:rPr>
          <w:rFonts w:ascii="Calibri" w:eastAsia="Calibri" w:hAnsi="Calibri" w:cs="Calibri"/>
          <w:sz w:val="20"/>
          <w:szCs w:val="20"/>
        </w:rPr>
        <w:t>Source: EMSA</w:t>
      </w:r>
      <w:r w:rsidR="009C2FC7" w:rsidRPr="00C66C24">
        <w:rPr>
          <w:rFonts w:ascii="Calibri" w:eastAsia="Calibri" w:hAnsi="Calibri" w:cs="Calibri"/>
          <w:sz w:val="20"/>
          <w:szCs w:val="20"/>
        </w:rPr>
        <w:t>, 2023.</w:t>
      </w:r>
    </w:p>
    <w:p w14:paraId="3623DD5F" w14:textId="74EA235C" w:rsidR="4DB6EF87" w:rsidRPr="00C66C24" w:rsidRDefault="00032EAB" w:rsidP="007D6E37">
      <w:pPr>
        <w:pStyle w:val="NormalWeb"/>
        <w:shd w:val="clear" w:color="auto" w:fill="FFFFFF" w:themeFill="background1"/>
        <w:spacing w:before="0" w:beforeAutospacing="0" w:after="120" w:afterAutospacing="0" w:line="257" w:lineRule="auto"/>
        <w:contextualSpacing/>
        <w:jc w:val="both"/>
        <w:rPr>
          <w:rFonts w:asciiTheme="minorHAnsi" w:hAnsiTheme="minorHAnsi" w:cstheme="minorBidi"/>
          <w:sz w:val="22"/>
          <w:szCs w:val="22"/>
        </w:rPr>
      </w:pPr>
      <w:r w:rsidRPr="00C66C24">
        <w:rPr>
          <w:rFonts w:asciiTheme="minorHAnsi" w:hAnsiTheme="minorHAnsi" w:cstheme="minorBidi"/>
          <w:sz w:val="22"/>
          <w:szCs w:val="22"/>
        </w:rPr>
        <w:t>These vessels were recycled in seven countries at Recycling Facilities that are on the European list of approved Recycling Facilities, with 57% being recycled in T</w:t>
      </w:r>
      <w:r w:rsidR="00434B4A" w:rsidRPr="00C66C24">
        <w:rPr>
          <w:rFonts w:asciiTheme="minorHAnsi" w:hAnsiTheme="minorHAnsi" w:cstheme="minorBidi"/>
          <w:sz w:val="22"/>
          <w:szCs w:val="22"/>
        </w:rPr>
        <w:t>ürkiye</w:t>
      </w:r>
      <w:r w:rsidR="006A746F" w:rsidRPr="00C66C24" w:rsidDel="006A746F">
        <w:rPr>
          <w:rFonts w:asciiTheme="minorHAnsi" w:hAnsiTheme="minorHAnsi" w:cstheme="minorBidi"/>
          <w:sz w:val="22"/>
          <w:szCs w:val="22"/>
        </w:rPr>
        <w:t xml:space="preserve"> </w:t>
      </w:r>
      <w:r w:rsidR="00E91FDE" w:rsidRPr="00C66C24">
        <w:rPr>
          <w:rFonts w:asciiTheme="minorHAnsi" w:hAnsiTheme="minorHAnsi" w:cstheme="minorBidi"/>
          <w:sz w:val="22"/>
          <w:szCs w:val="22"/>
        </w:rPr>
        <w:t>(</w:t>
      </w:r>
      <w:r w:rsidR="00E91FDE" w:rsidRPr="00C66C24">
        <w:rPr>
          <w:rFonts w:asciiTheme="minorHAnsi" w:hAnsiTheme="minorHAnsi" w:cstheme="minorBidi"/>
          <w:sz w:val="22"/>
          <w:szCs w:val="22"/>
        </w:rPr>
        <w:fldChar w:fldCharType="begin"/>
      </w:r>
      <w:r w:rsidR="00E91FDE" w:rsidRPr="00C66C24">
        <w:rPr>
          <w:rFonts w:asciiTheme="minorHAnsi" w:hAnsiTheme="minorHAnsi" w:cstheme="minorBidi"/>
          <w:sz w:val="22"/>
          <w:szCs w:val="22"/>
        </w:rPr>
        <w:instrText xml:space="preserve"> REF _Ref153897892 \h  \* MERGEFORMAT </w:instrText>
      </w:r>
      <w:r w:rsidR="00E91FDE" w:rsidRPr="00C66C24">
        <w:rPr>
          <w:rFonts w:asciiTheme="minorHAnsi" w:hAnsiTheme="minorHAnsi" w:cstheme="minorBidi"/>
          <w:sz w:val="22"/>
          <w:szCs w:val="22"/>
        </w:rPr>
      </w:r>
      <w:r w:rsidR="00E91FDE" w:rsidRPr="00C66C24">
        <w:rPr>
          <w:rFonts w:asciiTheme="minorHAnsi" w:hAnsiTheme="minorHAnsi" w:cstheme="minorBidi"/>
          <w:sz w:val="22"/>
          <w:szCs w:val="22"/>
        </w:rPr>
        <w:fldChar w:fldCharType="separate"/>
      </w:r>
      <w:r w:rsidR="007D6E37" w:rsidRPr="00C66C24">
        <w:rPr>
          <w:rFonts w:asciiTheme="minorHAnsi" w:hAnsiTheme="minorHAnsi" w:cstheme="minorBidi"/>
          <w:sz w:val="22"/>
          <w:szCs w:val="22"/>
        </w:rPr>
        <w:t>Table 2.4</w:t>
      </w:r>
      <w:r w:rsidR="00E91FDE" w:rsidRPr="00C66C24">
        <w:rPr>
          <w:rFonts w:asciiTheme="minorHAnsi" w:hAnsiTheme="minorHAnsi" w:cstheme="minorBidi"/>
          <w:sz w:val="22"/>
          <w:szCs w:val="22"/>
        </w:rPr>
        <w:fldChar w:fldCharType="end"/>
      </w:r>
      <w:r w:rsidR="00E91FDE" w:rsidRPr="00C66C24">
        <w:rPr>
          <w:rFonts w:asciiTheme="minorHAnsi" w:hAnsiTheme="minorHAnsi" w:cstheme="minorBidi"/>
          <w:sz w:val="22"/>
          <w:szCs w:val="22"/>
        </w:rPr>
        <w:t>)</w:t>
      </w:r>
      <w:r w:rsidRPr="00C66C24">
        <w:rPr>
          <w:rFonts w:asciiTheme="minorHAnsi" w:hAnsiTheme="minorHAnsi" w:cstheme="minorBidi"/>
          <w:sz w:val="22"/>
          <w:szCs w:val="22"/>
        </w:rPr>
        <w:t>. After analysing the vessel size, vessel type, place of recycling</w:t>
      </w:r>
      <w:r w:rsidR="00935DF5" w:rsidRPr="00C66C24">
        <w:rPr>
          <w:rFonts w:asciiTheme="minorHAnsi" w:hAnsiTheme="minorHAnsi" w:cstheme="minorBidi"/>
          <w:sz w:val="22"/>
          <w:szCs w:val="22"/>
        </w:rPr>
        <w:t>,</w:t>
      </w:r>
      <w:r w:rsidRPr="00C66C24">
        <w:rPr>
          <w:rFonts w:asciiTheme="minorHAnsi" w:hAnsiTheme="minorHAnsi" w:cstheme="minorBidi"/>
          <w:sz w:val="22"/>
          <w:szCs w:val="22"/>
        </w:rPr>
        <w:t xml:space="preserve"> and country of recycling of these vessels it was found that no trends in ship recycling could be identified. This is due to the small dataset of only ten states providing information about certified ships. </w:t>
      </w:r>
    </w:p>
    <w:tbl>
      <w:tblPr>
        <w:tblStyle w:val="TableGrid"/>
        <w:tblW w:w="7089" w:type="dxa"/>
        <w:jc w:val="center"/>
        <w:tblLayout w:type="fixed"/>
        <w:tblLook w:val="06A0" w:firstRow="1" w:lastRow="0" w:firstColumn="1" w:lastColumn="0" w:noHBand="1" w:noVBand="1"/>
      </w:tblPr>
      <w:tblGrid>
        <w:gridCol w:w="2547"/>
        <w:gridCol w:w="4542"/>
      </w:tblGrid>
      <w:tr w:rsidR="4DB6EF87" w:rsidRPr="00C66C24" w14:paraId="190E7E36" w14:textId="77777777" w:rsidTr="00A4148A">
        <w:trPr>
          <w:trHeight w:val="300"/>
          <w:jc w:val="center"/>
        </w:trPr>
        <w:tc>
          <w:tcPr>
            <w:tcW w:w="2547" w:type="dxa"/>
            <w:shd w:val="clear" w:color="auto" w:fill="1E8BCD"/>
          </w:tcPr>
          <w:p w14:paraId="0F8A2288" w14:textId="7212D14F" w:rsidR="4DB6EF87" w:rsidRPr="00C66C24" w:rsidRDefault="2FAAA258" w:rsidP="008C6A9C">
            <w:pPr>
              <w:pStyle w:val="Caption"/>
              <w:spacing w:line="257" w:lineRule="auto"/>
              <w:jc w:val="center"/>
              <w:rPr>
                <w:sz w:val="20"/>
                <w:szCs w:val="20"/>
              </w:rPr>
            </w:pPr>
            <w:r w:rsidRPr="00C66C24">
              <w:rPr>
                <w:sz w:val="20"/>
                <w:szCs w:val="20"/>
              </w:rPr>
              <w:t>Country of Recycling</w:t>
            </w:r>
          </w:p>
        </w:tc>
        <w:tc>
          <w:tcPr>
            <w:tcW w:w="4542" w:type="dxa"/>
            <w:shd w:val="clear" w:color="auto" w:fill="1E8BCD"/>
          </w:tcPr>
          <w:p w14:paraId="6A9EE874" w14:textId="4AEB23DA" w:rsidR="4DB6EF87" w:rsidRPr="00C66C24" w:rsidRDefault="2FAAA258" w:rsidP="008C6A9C">
            <w:pPr>
              <w:pStyle w:val="Caption"/>
              <w:spacing w:line="257" w:lineRule="auto"/>
              <w:rPr>
                <w:sz w:val="20"/>
                <w:szCs w:val="20"/>
              </w:rPr>
            </w:pPr>
            <w:r w:rsidRPr="00C66C24">
              <w:rPr>
                <w:sz w:val="20"/>
                <w:szCs w:val="20"/>
              </w:rPr>
              <w:t>Number of Ships where information was reported</w:t>
            </w:r>
          </w:p>
        </w:tc>
      </w:tr>
      <w:tr w:rsidR="4DB6EF87" w:rsidRPr="00C66C24" w14:paraId="3289C0BE" w14:textId="77777777" w:rsidTr="00A4148A">
        <w:trPr>
          <w:trHeight w:val="300"/>
          <w:jc w:val="center"/>
        </w:trPr>
        <w:tc>
          <w:tcPr>
            <w:tcW w:w="2547" w:type="dxa"/>
          </w:tcPr>
          <w:p w14:paraId="4E0C5C3E" w14:textId="351E1E61" w:rsidR="4DB6EF87" w:rsidRPr="00C66C24" w:rsidRDefault="2FAAA258" w:rsidP="008C6A9C">
            <w:pPr>
              <w:shd w:val="clear" w:color="auto" w:fill="FFFFFF" w:themeFill="background1"/>
              <w:spacing w:line="257" w:lineRule="auto"/>
              <w:rPr>
                <w:rFonts w:cstheme="minorBidi"/>
                <w:sz w:val="20"/>
                <w:szCs w:val="20"/>
              </w:rPr>
            </w:pPr>
            <w:r w:rsidRPr="00C66C24">
              <w:rPr>
                <w:rFonts w:cstheme="minorBidi"/>
                <w:sz w:val="20"/>
                <w:szCs w:val="20"/>
              </w:rPr>
              <w:t>Türkiye</w:t>
            </w:r>
          </w:p>
        </w:tc>
        <w:tc>
          <w:tcPr>
            <w:tcW w:w="4542" w:type="dxa"/>
          </w:tcPr>
          <w:p w14:paraId="1168EBD1" w14:textId="316BAF6B" w:rsidR="4DB6EF87" w:rsidRPr="00C66C24" w:rsidRDefault="2FAAA258" w:rsidP="008C6A9C">
            <w:pPr>
              <w:pStyle w:val="Caption"/>
              <w:spacing w:line="257" w:lineRule="auto"/>
              <w:rPr>
                <w:b w:val="0"/>
                <w:sz w:val="20"/>
                <w:szCs w:val="20"/>
              </w:rPr>
            </w:pPr>
            <w:r w:rsidRPr="00C66C24">
              <w:rPr>
                <w:b w:val="0"/>
                <w:sz w:val="20"/>
                <w:szCs w:val="20"/>
              </w:rPr>
              <w:t>43</w:t>
            </w:r>
          </w:p>
        </w:tc>
      </w:tr>
      <w:tr w:rsidR="4DB6EF87" w:rsidRPr="00C66C24" w14:paraId="32470334" w14:textId="77777777" w:rsidTr="00A4148A">
        <w:trPr>
          <w:trHeight w:val="300"/>
          <w:jc w:val="center"/>
        </w:trPr>
        <w:tc>
          <w:tcPr>
            <w:tcW w:w="2547" w:type="dxa"/>
          </w:tcPr>
          <w:p w14:paraId="42E21F94" w14:textId="7FA7ACFA"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Denmark</w:t>
            </w:r>
          </w:p>
        </w:tc>
        <w:tc>
          <w:tcPr>
            <w:tcW w:w="4542" w:type="dxa"/>
          </w:tcPr>
          <w:p w14:paraId="4C33E0AF" w14:textId="5193D875"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10</w:t>
            </w:r>
          </w:p>
        </w:tc>
      </w:tr>
      <w:tr w:rsidR="4DB6EF87" w:rsidRPr="00C66C24" w14:paraId="4A1BD296" w14:textId="77777777" w:rsidTr="00A4148A">
        <w:trPr>
          <w:trHeight w:val="300"/>
          <w:jc w:val="center"/>
        </w:trPr>
        <w:tc>
          <w:tcPr>
            <w:tcW w:w="2547" w:type="dxa"/>
          </w:tcPr>
          <w:p w14:paraId="05F8EB07" w14:textId="3B24ED35"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The Netherlands</w:t>
            </w:r>
          </w:p>
        </w:tc>
        <w:tc>
          <w:tcPr>
            <w:tcW w:w="4542" w:type="dxa"/>
          </w:tcPr>
          <w:p w14:paraId="3A28BCEA" w14:textId="34F710EA"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4</w:t>
            </w:r>
          </w:p>
        </w:tc>
      </w:tr>
      <w:tr w:rsidR="4DB6EF87" w:rsidRPr="00C66C24" w14:paraId="4535C87B" w14:textId="77777777" w:rsidTr="00A4148A">
        <w:trPr>
          <w:trHeight w:val="300"/>
          <w:jc w:val="center"/>
        </w:trPr>
        <w:tc>
          <w:tcPr>
            <w:tcW w:w="2547" w:type="dxa"/>
          </w:tcPr>
          <w:p w14:paraId="2983E8BE" w14:textId="462E4396" w:rsidR="54CD425A" w:rsidRPr="00C66C24" w:rsidRDefault="2FAAA258" w:rsidP="008C6A9C">
            <w:pPr>
              <w:shd w:val="clear" w:color="auto" w:fill="FFFFFF" w:themeFill="background1"/>
              <w:spacing w:line="257" w:lineRule="auto"/>
              <w:rPr>
                <w:rFonts w:cstheme="minorBidi"/>
                <w:sz w:val="20"/>
                <w:szCs w:val="20"/>
              </w:rPr>
            </w:pPr>
            <w:r w:rsidRPr="00C66C24">
              <w:rPr>
                <w:rFonts w:cstheme="minorBidi"/>
                <w:sz w:val="20"/>
                <w:szCs w:val="20"/>
              </w:rPr>
              <w:t>Norway</w:t>
            </w:r>
          </w:p>
        </w:tc>
        <w:tc>
          <w:tcPr>
            <w:tcW w:w="4542" w:type="dxa"/>
          </w:tcPr>
          <w:p w14:paraId="5417FC52" w14:textId="5CDDF2BA"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4</w:t>
            </w:r>
          </w:p>
        </w:tc>
      </w:tr>
      <w:tr w:rsidR="4DB6EF87" w:rsidRPr="00C66C24" w14:paraId="535C0AB9" w14:textId="77777777" w:rsidTr="00A4148A">
        <w:trPr>
          <w:trHeight w:val="300"/>
          <w:jc w:val="center"/>
        </w:trPr>
        <w:tc>
          <w:tcPr>
            <w:tcW w:w="2547" w:type="dxa"/>
          </w:tcPr>
          <w:p w14:paraId="3501FF60" w14:textId="39385CB7"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Belgium</w:t>
            </w:r>
          </w:p>
        </w:tc>
        <w:tc>
          <w:tcPr>
            <w:tcW w:w="4542" w:type="dxa"/>
          </w:tcPr>
          <w:p w14:paraId="652398AD" w14:textId="5A78341F"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3</w:t>
            </w:r>
          </w:p>
        </w:tc>
      </w:tr>
      <w:tr w:rsidR="4DB6EF87" w:rsidRPr="00C66C24" w14:paraId="14BCE206" w14:textId="77777777" w:rsidTr="00A4148A">
        <w:trPr>
          <w:trHeight w:val="300"/>
          <w:jc w:val="center"/>
        </w:trPr>
        <w:tc>
          <w:tcPr>
            <w:tcW w:w="2547" w:type="dxa"/>
          </w:tcPr>
          <w:p w14:paraId="7B4D82BF" w14:textId="5A99CFE3"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Spain</w:t>
            </w:r>
          </w:p>
        </w:tc>
        <w:tc>
          <w:tcPr>
            <w:tcW w:w="4542" w:type="dxa"/>
          </w:tcPr>
          <w:p w14:paraId="4F46F6AA" w14:textId="2B8BF2DF"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1</w:t>
            </w:r>
          </w:p>
        </w:tc>
      </w:tr>
      <w:tr w:rsidR="4DB6EF87" w:rsidRPr="00C66C24" w14:paraId="581CB940" w14:textId="77777777" w:rsidTr="00A4148A">
        <w:trPr>
          <w:trHeight w:val="300"/>
          <w:jc w:val="center"/>
        </w:trPr>
        <w:tc>
          <w:tcPr>
            <w:tcW w:w="2547" w:type="dxa"/>
          </w:tcPr>
          <w:p w14:paraId="6CD35B0E" w14:textId="4D789A01"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 xml:space="preserve">Italy </w:t>
            </w:r>
          </w:p>
        </w:tc>
        <w:tc>
          <w:tcPr>
            <w:tcW w:w="4542" w:type="dxa"/>
          </w:tcPr>
          <w:p w14:paraId="37E048ED" w14:textId="6D3358BB" w:rsidR="54CD425A" w:rsidRPr="00C66C24" w:rsidRDefault="2FAAA258" w:rsidP="008C6A9C">
            <w:pPr>
              <w:spacing w:line="257" w:lineRule="auto"/>
              <w:rPr>
                <w:rFonts w:ascii="Calibri" w:eastAsia="Calibri" w:hAnsi="Calibri" w:cs="Calibri"/>
                <w:sz w:val="20"/>
                <w:szCs w:val="20"/>
              </w:rPr>
            </w:pPr>
            <w:r w:rsidRPr="00C66C24">
              <w:rPr>
                <w:rFonts w:ascii="Calibri" w:eastAsia="Calibri" w:hAnsi="Calibri" w:cs="Calibri"/>
                <w:sz w:val="20"/>
                <w:szCs w:val="20"/>
              </w:rPr>
              <w:t>1</w:t>
            </w:r>
          </w:p>
        </w:tc>
      </w:tr>
      <w:tr w:rsidR="4DB6EF87" w:rsidRPr="00C66C24" w14:paraId="683A4B28" w14:textId="77777777" w:rsidTr="00A4148A">
        <w:trPr>
          <w:trHeight w:val="300"/>
          <w:jc w:val="center"/>
        </w:trPr>
        <w:tc>
          <w:tcPr>
            <w:tcW w:w="2547" w:type="dxa"/>
            <w:shd w:val="clear" w:color="auto" w:fill="1E8BCD"/>
          </w:tcPr>
          <w:p w14:paraId="21254321" w14:textId="6A6DB7E7" w:rsidR="4DB6EF87" w:rsidRPr="00C66C24" w:rsidRDefault="2FAAA258" w:rsidP="008C6A9C">
            <w:pPr>
              <w:pStyle w:val="Caption"/>
              <w:spacing w:line="257" w:lineRule="auto"/>
              <w:rPr>
                <w:sz w:val="20"/>
                <w:szCs w:val="20"/>
              </w:rPr>
            </w:pPr>
            <w:r w:rsidRPr="00C66C24">
              <w:rPr>
                <w:sz w:val="20"/>
                <w:szCs w:val="20"/>
              </w:rPr>
              <w:t>Total</w:t>
            </w:r>
          </w:p>
        </w:tc>
        <w:tc>
          <w:tcPr>
            <w:tcW w:w="4542" w:type="dxa"/>
            <w:shd w:val="clear" w:color="auto" w:fill="1E8BCD"/>
          </w:tcPr>
          <w:p w14:paraId="08556D89" w14:textId="21A89800" w:rsidR="4DB6EF87" w:rsidRPr="00C66C24" w:rsidRDefault="2FAAA258" w:rsidP="008C6A9C">
            <w:pPr>
              <w:pStyle w:val="Caption"/>
              <w:spacing w:line="257" w:lineRule="auto"/>
              <w:rPr>
                <w:sz w:val="20"/>
                <w:szCs w:val="20"/>
              </w:rPr>
            </w:pPr>
            <w:r w:rsidRPr="00C66C24">
              <w:rPr>
                <w:sz w:val="20"/>
                <w:szCs w:val="20"/>
              </w:rPr>
              <w:t>66</w:t>
            </w:r>
          </w:p>
        </w:tc>
      </w:tr>
    </w:tbl>
    <w:p w14:paraId="778095A0" w14:textId="68FF273A" w:rsidR="00B927A1" w:rsidRPr="00C66C24" w:rsidRDefault="00B927A1" w:rsidP="008C6A9C">
      <w:pPr>
        <w:pStyle w:val="Caption"/>
        <w:keepNext/>
        <w:spacing w:after="0" w:line="257" w:lineRule="auto"/>
        <w:jc w:val="center"/>
        <w:rPr>
          <w:sz w:val="20"/>
          <w:szCs w:val="20"/>
        </w:rPr>
      </w:pPr>
      <w:bookmarkStart w:id="169" w:name="_Ref153897892"/>
      <w:r w:rsidRPr="00C66C24">
        <w:rPr>
          <w:sz w:val="20"/>
          <w:szCs w:val="20"/>
        </w:rPr>
        <w:t xml:space="preserve">Table </w:t>
      </w:r>
      <w:r w:rsidR="000F2E4C" w:rsidRPr="00C66C24">
        <w:rPr>
          <w:sz w:val="20"/>
          <w:szCs w:val="20"/>
        </w:rPr>
        <w:fldChar w:fldCharType="begin"/>
      </w:r>
      <w:r w:rsidR="000F2E4C" w:rsidRPr="00C66C24">
        <w:rPr>
          <w:sz w:val="20"/>
          <w:szCs w:val="20"/>
        </w:rPr>
        <w:instrText xml:space="preserve"> STYLEREF 1 \s </w:instrText>
      </w:r>
      <w:r w:rsidR="000F2E4C" w:rsidRPr="00C66C24">
        <w:rPr>
          <w:sz w:val="20"/>
          <w:szCs w:val="20"/>
        </w:rPr>
        <w:fldChar w:fldCharType="separate"/>
      </w:r>
      <w:r w:rsidR="00476E2C" w:rsidRPr="00C66C24">
        <w:rPr>
          <w:noProof/>
          <w:sz w:val="20"/>
          <w:szCs w:val="20"/>
        </w:rPr>
        <w:t>2</w:t>
      </w:r>
      <w:r w:rsidR="000F2E4C" w:rsidRPr="00C66C24">
        <w:rPr>
          <w:sz w:val="20"/>
          <w:szCs w:val="20"/>
        </w:rPr>
        <w:fldChar w:fldCharType="end"/>
      </w:r>
      <w:r w:rsidR="000F2E4C" w:rsidRPr="00C66C24">
        <w:rPr>
          <w:sz w:val="20"/>
          <w:szCs w:val="20"/>
        </w:rPr>
        <w:t>.</w:t>
      </w:r>
      <w:r w:rsidR="000F2E4C" w:rsidRPr="00C66C24">
        <w:rPr>
          <w:sz w:val="20"/>
          <w:szCs w:val="20"/>
        </w:rPr>
        <w:fldChar w:fldCharType="begin"/>
      </w:r>
      <w:r w:rsidR="000F2E4C" w:rsidRPr="00C66C24">
        <w:rPr>
          <w:sz w:val="20"/>
          <w:szCs w:val="20"/>
        </w:rPr>
        <w:instrText xml:space="preserve"> SEQ Table \* ARABIC \s 1 </w:instrText>
      </w:r>
      <w:r w:rsidR="000F2E4C" w:rsidRPr="00C66C24">
        <w:rPr>
          <w:sz w:val="20"/>
          <w:szCs w:val="20"/>
        </w:rPr>
        <w:fldChar w:fldCharType="separate"/>
      </w:r>
      <w:r w:rsidR="00C6330B" w:rsidRPr="00C66C24">
        <w:rPr>
          <w:noProof/>
          <w:sz w:val="20"/>
          <w:szCs w:val="20"/>
        </w:rPr>
        <w:t>4</w:t>
      </w:r>
      <w:r w:rsidR="000F2E4C" w:rsidRPr="00C66C24">
        <w:rPr>
          <w:sz w:val="20"/>
          <w:szCs w:val="20"/>
        </w:rPr>
        <w:fldChar w:fldCharType="end"/>
      </w:r>
      <w:bookmarkEnd w:id="169"/>
      <w:r w:rsidRPr="00C66C24">
        <w:rPr>
          <w:sz w:val="20"/>
          <w:szCs w:val="20"/>
        </w:rPr>
        <w:t xml:space="preserve"> List of countries where the ships reported by the MS were recycled between 2019 and 2021.</w:t>
      </w:r>
    </w:p>
    <w:p w14:paraId="100468DB" w14:textId="48851A0A" w:rsidR="00433C59" w:rsidRPr="00C66C24" w:rsidRDefault="003D0C93" w:rsidP="007D6E37">
      <w:pPr>
        <w:spacing w:before="0" w:after="120" w:line="257" w:lineRule="auto"/>
        <w:contextualSpacing/>
        <w:jc w:val="center"/>
        <w:rPr>
          <w:rFonts w:cstheme="minorHAnsi"/>
          <w:sz w:val="20"/>
          <w:szCs w:val="20"/>
        </w:rPr>
      </w:pPr>
      <w:r w:rsidRPr="00C66C24">
        <w:rPr>
          <w:rFonts w:ascii="Calibri" w:eastAsia="Calibri" w:hAnsi="Calibri" w:cs="Calibri"/>
          <w:sz w:val="20"/>
          <w:szCs w:val="20"/>
        </w:rPr>
        <w:t>Source: EMSA</w:t>
      </w:r>
      <w:r w:rsidR="009C2FC7" w:rsidRPr="00C66C24">
        <w:rPr>
          <w:rFonts w:ascii="Calibri" w:eastAsia="Calibri" w:hAnsi="Calibri" w:cs="Calibri"/>
          <w:sz w:val="20"/>
          <w:szCs w:val="20"/>
        </w:rPr>
        <w:t>, 2023</w:t>
      </w:r>
      <w:r w:rsidR="00BA411B" w:rsidRPr="00C66C24">
        <w:rPr>
          <w:rFonts w:ascii="Calibri" w:eastAsia="Calibri" w:hAnsi="Calibri" w:cs="Calibri"/>
          <w:sz w:val="20"/>
          <w:szCs w:val="20"/>
        </w:rPr>
        <w:t>.</w:t>
      </w:r>
    </w:p>
    <w:p w14:paraId="5987CDE5" w14:textId="39F264E9" w:rsidR="56CB5FEC" w:rsidRPr="00C66C24" w:rsidRDefault="00032EAB" w:rsidP="00B436E7">
      <w:pPr>
        <w:pStyle w:val="NormalWeb"/>
        <w:shd w:val="clear" w:color="auto" w:fill="FFFFFF" w:themeFill="background1"/>
        <w:spacing w:before="0" w:beforeAutospacing="0" w:after="120" w:afterAutospacing="0" w:line="257" w:lineRule="auto"/>
        <w:contextualSpacing/>
        <w:jc w:val="both"/>
        <w:rPr>
          <w:rFonts w:asciiTheme="minorHAnsi" w:hAnsiTheme="minorHAnsi" w:cstheme="minorBidi"/>
          <w:sz w:val="22"/>
          <w:szCs w:val="22"/>
        </w:rPr>
      </w:pPr>
      <w:r w:rsidRPr="00C66C24">
        <w:rPr>
          <w:rFonts w:asciiTheme="minorHAnsi" w:hAnsiTheme="minorHAnsi" w:cstheme="minorBidi"/>
          <w:sz w:val="22"/>
          <w:szCs w:val="22"/>
        </w:rPr>
        <w:t>The dataset provided by th</w:t>
      </w:r>
      <w:r w:rsidR="00433C59" w:rsidRPr="00C66C24">
        <w:rPr>
          <w:rFonts w:asciiTheme="minorHAnsi" w:hAnsiTheme="minorHAnsi" w:cstheme="minorBidi"/>
          <w:sz w:val="22"/>
          <w:szCs w:val="22"/>
        </w:rPr>
        <w:t>e</w:t>
      </w:r>
      <w:r w:rsidRPr="00C66C24">
        <w:rPr>
          <w:rFonts w:asciiTheme="minorHAnsi" w:hAnsiTheme="minorHAnsi" w:cstheme="minorBidi"/>
          <w:sz w:val="22"/>
          <w:szCs w:val="22"/>
        </w:rPr>
        <w:t>se Member States was also compared with other information available through EMSA tools. It was found that there were 55 additional vessels that have been registered as recycled between 2019 and 2021</w:t>
      </w:r>
      <w:r w:rsidR="007F1FF4" w:rsidRPr="00C66C24">
        <w:rPr>
          <w:rFonts w:asciiTheme="minorHAnsi" w:hAnsiTheme="minorHAnsi" w:cstheme="minorBidi"/>
          <w:sz w:val="22"/>
          <w:szCs w:val="22"/>
        </w:rPr>
        <w:t xml:space="preserve"> (</w:t>
      </w:r>
      <w:r w:rsidR="007F1FF4" w:rsidRPr="00C66C24">
        <w:rPr>
          <w:rFonts w:asciiTheme="minorHAnsi" w:hAnsiTheme="minorHAnsi" w:cstheme="minorBidi"/>
          <w:sz w:val="22"/>
          <w:szCs w:val="22"/>
        </w:rPr>
        <w:fldChar w:fldCharType="begin"/>
      </w:r>
      <w:r w:rsidR="007F1FF4" w:rsidRPr="00C66C24">
        <w:rPr>
          <w:rFonts w:asciiTheme="minorHAnsi" w:hAnsiTheme="minorHAnsi" w:cstheme="minorBidi"/>
          <w:sz w:val="22"/>
          <w:szCs w:val="22"/>
        </w:rPr>
        <w:instrText xml:space="preserve"> REF _Ref153897933 \h  \* MERGEFORMAT </w:instrText>
      </w:r>
      <w:r w:rsidR="007F1FF4" w:rsidRPr="00C66C24">
        <w:rPr>
          <w:rFonts w:asciiTheme="minorHAnsi" w:hAnsiTheme="minorHAnsi" w:cstheme="minorBidi"/>
          <w:sz w:val="22"/>
          <w:szCs w:val="22"/>
        </w:rPr>
      </w:r>
      <w:r w:rsidR="007F1FF4" w:rsidRPr="00C66C24">
        <w:rPr>
          <w:rFonts w:asciiTheme="minorHAnsi" w:hAnsiTheme="minorHAnsi" w:cstheme="minorBidi"/>
          <w:sz w:val="22"/>
          <w:szCs w:val="22"/>
        </w:rPr>
        <w:fldChar w:fldCharType="separate"/>
      </w:r>
      <w:r w:rsidR="00B436E7" w:rsidRPr="00C66C24">
        <w:rPr>
          <w:rFonts w:asciiTheme="minorHAnsi" w:hAnsiTheme="minorHAnsi" w:cstheme="minorBidi"/>
          <w:sz w:val="22"/>
          <w:szCs w:val="22"/>
        </w:rPr>
        <w:t>Table 2.5</w:t>
      </w:r>
      <w:r w:rsidR="007F1FF4" w:rsidRPr="00C66C24">
        <w:rPr>
          <w:rFonts w:asciiTheme="minorHAnsi" w:hAnsiTheme="minorHAnsi" w:cstheme="minorBidi"/>
          <w:sz w:val="22"/>
          <w:szCs w:val="22"/>
        </w:rPr>
        <w:fldChar w:fldCharType="end"/>
      </w:r>
      <w:r w:rsidR="007F1FF4" w:rsidRPr="00C66C24">
        <w:rPr>
          <w:rFonts w:asciiTheme="minorHAnsi" w:hAnsiTheme="minorHAnsi" w:cstheme="minorBidi"/>
          <w:sz w:val="22"/>
          <w:szCs w:val="22"/>
        </w:rPr>
        <w:t>)</w:t>
      </w:r>
      <w:r w:rsidRPr="00C66C24">
        <w:rPr>
          <w:rFonts w:asciiTheme="minorHAnsi" w:hAnsiTheme="minorHAnsi" w:cstheme="minorBidi"/>
          <w:sz w:val="22"/>
          <w:szCs w:val="22"/>
        </w:rPr>
        <w:t>.</w:t>
      </w:r>
    </w:p>
    <w:tbl>
      <w:tblPr>
        <w:tblStyle w:val="TableGrid"/>
        <w:tblW w:w="4097" w:type="dxa"/>
        <w:jc w:val="center"/>
        <w:tblLayout w:type="fixed"/>
        <w:tblLook w:val="06A0" w:firstRow="1" w:lastRow="0" w:firstColumn="1" w:lastColumn="0" w:noHBand="1" w:noVBand="1"/>
      </w:tblPr>
      <w:tblGrid>
        <w:gridCol w:w="2087"/>
        <w:gridCol w:w="2010"/>
      </w:tblGrid>
      <w:tr w:rsidR="587DFACA" w:rsidRPr="00C66C24" w14:paraId="019948CA" w14:textId="77777777" w:rsidTr="002D5142">
        <w:trPr>
          <w:trHeight w:val="300"/>
          <w:jc w:val="center"/>
        </w:trPr>
        <w:tc>
          <w:tcPr>
            <w:tcW w:w="2087" w:type="dxa"/>
            <w:shd w:val="clear" w:color="auto" w:fill="1E8BCD"/>
          </w:tcPr>
          <w:p w14:paraId="3018B27A" w14:textId="62019971" w:rsidR="4E947F75" w:rsidRPr="00C66C24" w:rsidRDefault="4E947F75" w:rsidP="008C6A9C">
            <w:pPr>
              <w:spacing w:line="257" w:lineRule="auto"/>
              <w:jc w:val="center"/>
              <w:rPr>
                <w:rFonts w:ascii="Calibri" w:eastAsia="Calibri" w:hAnsi="Calibri" w:cs="Calibri"/>
                <w:b/>
                <w:sz w:val="20"/>
                <w:szCs w:val="20"/>
              </w:rPr>
            </w:pPr>
            <w:r w:rsidRPr="00C66C24">
              <w:rPr>
                <w:rFonts w:ascii="Calibri" w:eastAsia="Calibri" w:hAnsi="Calibri" w:cs="Calibri"/>
                <w:b/>
                <w:sz w:val="20"/>
                <w:szCs w:val="20"/>
              </w:rPr>
              <w:t>Country of Recycling</w:t>
            </w:r>
          </w:p>
        </w:tc>
        <w:tc>
          <w:tcPr>
            <w:tcW w:w="2010" w:type="dxa"/>
            <w:shd w:val="clear" w:color="auto" w:fill="1E8BCD"/>
          </w:tcPr>
          <w:p w14:paraId="71369B26" w14:textId="4BA2B7FD" w:rsidR="4E947F75" w:rsidRPr="00C66C24" w:rsidRDefault="4E947F75" w:rsidP="008C6A9C">
            <w:pPr>
              <w:spacing w:line="257" w:lineRule="auto"/>
              <w:jc w:val="center"/>
              <w:rPr>
                <w:rFonts w:ascii="Calibri" w:eastAsia="Calibri" w:hAnsi="Calibri" w:cs="Calibri"/>
                <w:b/>
                <w:sz w:val="20"/>
                <w:szCs w:val="20"/>
              </w:rPr>
            </w:pPr>
            <w:r w:rsidRPr="00C66C24">
              <w:rPr>
                <w:rFonts w:ascii="Calibri" w:eastAsia="Calibri" w:hAnsi="Calibri" w:cs="Calibri"/>
                <w:b/>
                <w:sz w:val="20"/>
                <w:szCs w:val="20"/>
              </w:rPr>
              <w:t>Number of Ships</w:t>
            </w:r>
          </w:p>
        </w:tc>
      </w:tr>
      <w:tr w:rsidR="587DFACA" w:rsidRPr="00C66C24" w14:paraId="396262DA" w14:textId="77777777" w:rsidTr="002D5142">
        <w:trPr>
          <w:trHeight w:val="300"/>
          <w:jc w:val="center"/>
        </w:trPr>
        <w:tc>
          <w:tcPr>
            <w:tcW w:w="2087" w:type="dxa"/>
          </w:tcPr>
          <w:p w14:paraId="46EC6835" w14:textId="4DE28DD7" w:rsidR="4E947F75" w:rsidRPr="00C66C24" w:rsidRDefault="3D365F30" w:rsidP="008C6A9C">
            <w:pPr>
              <w:spacing w:line="257" w:lineRule="auto"/>
              <w:rPr>
                <w:rFonts w:ascii="Calibri" w:eastAsia="Calibri" w:hAnsi="Calibri" w:cs="Calibri"/>
                <w:sz w:val="20"/>
                <w:szCs w:val="20"/>
              </w:rPr>
            </w:pPr>
            <w:r w:rsidRPr="00C66C24">
              <w:rPr>
                <w:rFonts w:ascii="Calibri" w:eastAsia="Calibri" w:hAnsi="Calibri" w:cs="Calibri"/>
                <w:sz w:val="20"/>
                <w:szCs w:val="20"/>
              </w:rPr>
              <w:t>Denma</w:t>
            </w:r>
            <w:r w:rsidR="1A829600" w:rsidRPr="00C66C24">
              <w:rPr>
                <w:rFonts w:ascii="Calibri" w:eastAsia="Calibri" w:hAnsi="Calibri" w:cs="Calibri"/>
                <w:sz w:val="20"/>
                <w:szCs w:val="20"/>
              </w:rPr>
              <w:t>r</w:t>
            </w:r>
            <w:r w:rsidRPr="00C66C24">
              <w:rPr>
                <w:rFonts w:ascii="Calibri" w:eastAsia="Calibri" w:hAnsi="Calibri" w:cs="Calibri"/>
                <w:sz w:val="20"/>
                <w:szCs w:val="20"/>
              </w:rPr>
              <w:t>k</w:t>
            </w:r>
          </w:p>
        </w:tc>
        <w:tc>
          <w:tcPr>
            <w:tcW w:w="2010" w:type="dxa"/>
          </w:tcPr>
          <w:p w14:paraId="26AD397C" w14:textId="0E05AC39" w:rsidR="4E947F75" w:rsidRPr="00C66C24" w:rsidRDefault="6CC94DB1" w:rsidP="008C6A9C">
            <w:pPr>
              <w:spacing w:line="257" w:lineRule="auto"/>
              <w:jc w:val="center"/>
              <w:rPr>
                <w:rFonts w:ascii="Calibri" w:eastAsia="Calibri" w:hAnsi="Calibri" w:cs="Calibri"/>
                <w:sz w:val="20"/>
                <w:szCs w:val="20"/>
              </w:rPr>
            </w:pPr>
            <w:r w:rsidRPr="00C66C24">
              <w:rPr>
                <w:rFonts w:ascii="Calibri" w:eastAsia="Calibri" w:hAnsi="Calibri" w:cs="Calibri"/>
                <w:sz w:val="20"/>
                <w:szCs w:val="20"/>
              </w:rPr>
              <w:t>14</w:t>
            </w:r>
          </w:p>
        </w:tc>
      </w:tr>
      <w:tr w:rsidR="587DFACA" w:rsidRPr="00C66C24" w14:paraId="002B8672" w14:textId="77777777" w:rsidTr="002D5142">
        <w:trPr>
          <w:trHeight w:val="300"/>
          <w:jc w:val="center"/>
        </w:trPr>
        <w:tc>
          <w:tcPr>
            <w:tcW w:w="2087" w:type="dxa"/>
          </w:tcPr>
          <w:p w14:paraId="3B8AA1B8" w14:textId="74A43392" w:rsidR="4E947F75" w:rsidRPr="00C66C24" w:rsidRDefault="00958051" w:rsidP="008C6A9C">
            <w:pPr>
              <w:shd w:val="clear" w:color="auto" w:fill="FFFFFF" w:themeFill="background1"/>
              <w:spacing w:line="257" w:lineRule="auto"/>
              <w:rPr>
                <w:rFonts w:cstheme="minorBidi"/>
                <w:sz w:val="20"/>
                <w:szCs w:val="20"/>
              </w:rPr>
            </w:pPr>
            <w:r w:rsidRPr="00C66C24">
              <w:rPr>
                <w:rFonts w:cstheme="minorBidi"/>
                <w:sz w:val="20"/>
                <w:szCs w:val="20"/>
              </w:rPr>
              <w:t xml:space="preserve"> Norway</w:t>
            </w:r>
          </w:p>
        </w:tc>
        <w:tc>
          <w:tcPr>
            <w:tcW w:w="2010" w:type="dxa"/>
          </w:tcPr>
          <w:p w14:paraId="1854283D" w14:textId="0EFACF45" w:rsidR="4E947F75" w:rsidRPr="00C66C24" w:rsidRDefault="6D941689" w:rsidP="008C6A9C">
            <w:pPr>
              <w:spacing w:line="257" w:lineRule="auto"/>
              <w:jc w:val="center"/>
              <w:rPr>
                <w:rFonts w:ascii="Calibri" w:eastAsia="Calibri" w:hAnsi="Calibri" w:cs="Calibri"/>
                <w:sz w:val="20"/>
                <w:szCs w:val="20"/>
              </w:rPr>
            </w:pPr>
            <w:r w:rsidRPr="00C66C24">
              <w:rPr>
                <w:rFonts w:ascii="Calibri" w:eastAsia="Calibri" w:hAnsi="Calibri" w:cs="Calibri"/>
                <w:sz w:val="20"/>
                <w:szCs w:val="20"/>
              </w:rPr>
              <w:t>9</w:t>
            </w:r>
          </w:p>
        </w:tc>
      </w:tr>
      <w:tr w:rsidR="587DFACA" w:rsidRPr="00C66C24" w14:paraId="58DDB8C3" w14:textId="77777777" w:rsidTr="002D5142">
        <w:trPr>
          <w:trHeight w:val="300"/>
          <w:jc w:val="center"/>
        </w:trPr>
        <w:tc>
          <w:tcPr>
            <w:tcW w:w="2087" w:type="dxa"/>
          </w:tcPr>
          <w:p w14:paraId="2563910F" w14:textId="218ED4F4" w:rsidR="4E947F75" w:rsidRPr="00C66C24" w:rsidRDefault="139E29A1" w:rsidP="008C6A9C">
            <w:pPr>
              <w:spacing w:line="257" w:lineRule="auto"/>
              <w:rPr>
                <w:rFonts w:ascii="Calibri" w:eastAsia="Calibri" w:hAnsi="Calibri" w:cs="Calibri"/>
                <w:sz w:val="20"/>
                <w:szCs w:val="20"/>
              </w:rPr>
            </w:pPr>
            <w:r w:rsidRPr="00C66C24">
              <w:rPr>
                <w:rFonts w:ascii="Calibri" w:eastAsia="Calibri" w:hAnsi="Calibri" w:cs="Calibri"/>
                <w:sz w:val="20"/>
                <w:szCs w:val="20"/>
              </w:rPr>
              <w:t xml:space="preserve"> Belgium</w:t>
            </w:r>
          </w:p>
        </w:tc>
        <w:tc>
          <w:tcPr>
            <w:tcW w:w="2010" w:type="dxa"/>
          </w:tcPr>
          <w:p w14:paraId="294A86CE" w14:textId="66D07897" w:rsidR="4E947F75" w:rsidRPr="00C66C24" w:rsidRDefault="1E53B64F" w:rsidP="008C6A9C">
            <w:pPr>
              <w:spacing w:line="257" w:lineRule="auto"/>
              <w:jc w:val="center"/>
              <w:rPr>
                <w:rFonts w:ascii="Calibri" w:eastAsia="Calibri" w:hAnsi="Calibri" w:cs="Calibri"/>
                <w:sz w:val="20"/>
                <w:szCs w:val="20"/>
              </w:rPr>
            </w:pPr>
            <w:r w:rsidRPr="00C66C24">
              <w:rPr>
                <w:rFonts w:ascii="Calibri" w:eastAsia="Calibri" w:hAnsi="Calibri" w:cs="Calibri"/>
                <w:sz w:val="20"/>
                <w:szCs w:val="20"/>
              </w:rPr>
              <w:t>8</w:t>
            </w:r>
          </w:p>
        </w:tc>
      </w:tr>
      <w:tr w:rsidR="587DFACA" w:rsidRPr="00C66C24" w14:paraId="2376E2F7" w14:textId="77777777" w:rsidTr="002D5142">
        <w:trPr>
          <w:trHeight w:val="300"/>
          <w:jc w:val="center"/>
        </w:trPr>
        <w:tc>
          <w:tcPr>
            <w:tcW w:w="2087" w:type="dxa"/>
          </w:tcPr>
          <w:p w14:paraId="4D8CBA0E" w14:textId="3AEBD380" w:rsidR="4E947F75" w:rsidRPr="00C66C24" w:rsidRDefault="644E7BF8" w:rsidP="008C6A9C">
            <w:pPr>
              <w:spacing w:line="257" w:lineRule="auto"/>
              <w:rPr>
                <w:rFonts w:cstheme="minorBidi"/>
                <w:sz w:val="20"/>
                <w:szCs w:val="20"/>
              </w:rPr>
            </w:pPr>
            <w:r w:rsidRPr="00C66C24">
              <w:rPr>
                <w:rFonts w:cstheme="minorBidi"/>
                <w:sz w:val="20"/>
                <w:szCs w:val="20"/>
              </w:rPr>
              <w:t>Türkiy</w:t>
            </w:r>
            <w:r w:rsidR="20C8500C" w:rsidRPr="00C66C24">
              <w:rPr>
                <w:rFonts w:cstheme="minorBidi"/>
                <w:sz w:val="20"/>
                <w:szCs w:val="20"/>
              </w:rPr>
              <w:t>e</w:t>
            </w:r>
          </w:p>
        </w:tc>
        <w:tc>
          <w:tcPr>
            <w:tcW w:w="2010" w:type="dxa"/>
          </w:tcPr>
          <w:p w14:paraId="1880BE80" w14:textId="1C86651F" w:rsidR="4E947F75" w:rsidRPr="00C66C24" w:rsidRDefault="20C8500C" w:rsidP="008C6A9C">
            <w:pPr>
              <w:spacing w:line="257" w:lineRule="auto"/>
              <w:jc w:val="center"/>
              <w:rPr>
                <w:rFonts w:ascii="Calibri" w:eastAsia="Calibri" w:hAnsi="Calibri" w:cs="Calibri"/>
                <w:sz w:val="20"/>
                <w:szCs w:val="20"/>
              </w:rPr>
            </w:pPr>
            <w:r w:rsidRPr="00C66C24">
              <w:rPr>
                <w:rFonts w:ascii="Calibri" w:eastAsia="Calibri" w:hAnsi="Calibri" w:cs="Calibri"/>
                <w:sz w:val="20"/>
                <w:szCs w:val="20"/>
              </w:rPr>
              <w:t>7</w:t>
            </w:r>
          </w:p>
        </w:tc>
      </w:tr>
      <w:tr w:rsidR="587DFACA" w:rsidRPr="00C66C24" w14:paraId="7B125101" w14:textId="77777777" w:rsidTr="002D5142">
        <w:trPr>
          <w:trHeight w:val="300"/>
          <w:jc w:val="center"/>
        </w:trPr>
        <w:tc>
          <w:tcPr>
            <w:tcW w:w="2087" w:type="dxa"/>
          </w:tcPr>
          <w:p w14:paraId="68A69B83" w14:textId="15F38E1E" w:rsidR="4E947F75" w:rsidRPr="00C66C24" w:rsidRDefault="4E947F75" w:rsidP="008C6A9C">
            <w:pPr>
              <w:spacing w:line="257" w:lineRule="auto"/>
              <w:rPr>
                <w:rFonts w:ascii="Calibri" w:eastAsia="Calibri" w:hAnsi="Calibri" w:cs="Calibri"/>
                <w:sz w:val="20"/>
                <w:szCs w:val="20"/>
              </w:rPr>
            </w:pPr>
            <w:r w:rsidRPr="00C66C24">
              <w:rPr>
                <w:rFonts w:ascii="Calibri" w:eastAsia="Calibri" w:hAnsi="Calibri" w:cs="Calibri"/>
                <w:sz w:val="20"/>
                <w:szCs w:val="20"/>
              </w:rPr>
              <w:t>Unknown</w:t>
            </w:r>
          </w:p>
        </w:tc>
        <w:tc>
          <w:tcPr>
            <w:tcW w:w="2010" w:type="dxa"/>
          </w:tcPr>
          <w:p w14:paraId="18684BE2" w14:textId="30F9FDA5" w:rsidR="4E947F75" w:rsidRPr="00C66C24" w:rsidRDefault="4BB36EA8" w:rsidP="008C6A9C">
            <w:pPr>
              <w:spacing w:line="257" w:lineRule="auto"/>
              <w:jc w:val="center"/>
              <w:rPr>
                <w:rFonts w:ascii="Calibri" w:eastAsia="Calibri" w:hAnsi="Calibri" w:cs="Calibri"/>
                <w:sz w:val="20"/>
                <w:szCs w:val="20"/>
              </w:rPr>
            </w:pPr>
            <w:r w:rsidRPr="00C66C24">
              <w:rPr>
                <w:rFonts w:ascii="Calibri" w:eastAsia="Calibri" w:hAnsi="Calibri" w:cs="Calibri"/>
                <w:sz w:val="20"/>
                <w:szCs w:val="20"/>
              </w:rPr>
              <w:t>3</w:t>
            </w:r>
          </w:p>
        </w:tc>
      </w:tr>
      <w:tr w:rsidR="587DFACA" w:rsidRPr="00C66C24" w14:paraId="1A50E585" w14:textId="77777777" w:rsidTr="002D5142">
        <w:trPr>
          <w:trHeight w:val="300"/>
          <w:jc w:val="center"/>
        </w:trPr>
        <w:tc>
          <w:tcPr>
            <w:tcW w:w="2087" w:type="dxa"/>
          </w:tcPr>
          <w:p w14:paraId="19E6060F" w14:textId="1E4BA822" w:rsidR="4E947F75" w:rsidRPr="00C66C24" w:rsidRDefault="4E947F75" w:rsidP="008C6A9C">
            <w:pPr>
              <w:spacing w:line="257" w:lineRule="auto"/>
              <w:rPr>
                <w:rFonts w:ascii="Calibri" w:eastAsia="Calibri" w:hAnsi="Calibri" w:cs="Calibri"/>
                <w:sz w:val="20"/>
                <w:szCs w:val="20"/>
              </w:rPr>
            </w:pPr>
            <w:r w:rsidRPr="00C66C24">
              <w:rPr>
                <w:rFonts w:ascii="Calibri" w:eastAsia="Calibri" w:hAnsi="Calibri" w:cs="Calibri"/>
                <w:sz w:val="20"/>
                <w:szCs w:val="20"/>
              </w:rPr>
              <w:t>The Netherlands</w:t>
            </w:r>
          </w:p>
        </w:tc>
        <w:tc>
          <w:tcPr>
            <w:tcW w:w="2010" w:type="dxa"/>
          </w:tcPr>
          <w:p w14:paraId="6B841933" w14:textId="18D2B4D1" w:rsidR="4E947F75" w:rsidRPr="00C66C24" w:rsidRDefault="4BB36EA8" w:rsidP="008C6A9C">
            <w:pPr>
              <w:spacing w:line="257" w:lineRule="auto"/>
              <w:jc w:val="center"/>
              <w:rPr>
                <w:rFonts w:ascii="Calibri" w:eastAsia="Calibri" w:hAnsi="Calibri" w:cs="Calibri"/>
                <w:sz w:val="20"/>
                <w:szCs w:val="20"/>
              </w:rPr>
            </w:pPr>
            <w:r w:rsidRPr="00C66C24">
              <w:rPr>
                <w:rFonts w:ascii="Calibri" w:eastAsia="Calibri" w:hAnsi="Calibri" w:cs="Calibri"/>
                <w:sz w:val="20"/>
                <w:szCs w:val="20"/>
              </w:rPr>
              <w:t>3</w:t>
            </w:r>
          </w:p>
        </w:tc>
      </w:tr>
      <w:tr w:rsidR="587DFACA" w:rsidRPr="00C66C24" w14:paraId="2AA6DC98" w14:textId="77777777" w:rsidTr="002D5142">
        <w:trPr>
          <w:trHeight w:val="300"/>
          <w:jc w:val="center"/>
        </w:trPr>
        <w:tc>
          <w:tcPr>
            <w:tcW w:w="2087" w:type="dxa"/>
          </w:tcPr>
          <w:p w14:paraId="27550B30" w14:textId="6669D08B" w:rsidR="587DFACA" w:rsidRPr="00C66C24" w:rsidRDefault="62FD6224" w:rsidP="008C6A9C">
            <w:pPr>
              <w:pStyle w:val="NormalWeb"/>
              <w:spacing w:line="257" w:lineRule="auto"/>
              <w:rPr>
                <w:rFonts w:asciiTheme="minorHAnsi" w:hAnsiTheme="minorHAnsi" w:cstheme="minorBidi"/>
                <w:sz w:val="20"/>
                <w:szCs w:val="20"/>
              </w:rPr>
            </w:pPr>
            <w:r w:rsidRPr="00C66C24">
              <w:rPr>
                <w:rFonts w:asciiTheme="minorHAnsi" w:hAnsiTheme="minorHAnsi" w:cstheme="minorBidi"/>
                <w:sz w:val="20"/>
                <w:szCs w:val="20"/>
              </w:rPr>
              <w:t>Spain</w:t>
            </w:r>
          </w:p>
        </w:tc>
        <w:tc>
          <w:tcPr>
            <w:tcW w:w="2010" w:type="dxa"/>
          </w:tcPr>
          <w:p w14:paraId="242C4ADC" w14:textId="500E9210" w:rsidR="587DFACA" w:rsidRPr="00C66C24" w:rsidRDefault="4FB79F35" w:rsidP="008C6A9C">
            <w:pPr>
              <w:pStyle w:val="NormalWeb"/>
              <w:spacing w:line="257" w:lineRule="auto"/>
              <w:jc w:val="center"/>
              <w:rPr>
                <w:rFonts w:asciiTheme="minorHAnsi" w:hAnsiTheme="minorHAnsi" w:cstheme="minorBidi"/>
                <w:sz w:val="20"/>
                <w:szCs w:val="20"/>
              </w:rPr>
            </w:pPr>
            <w:r w:rsidRPr="00C66C24">
              <w:rPr>
                <w:rFonts w:asciiTheme="minorHAnsi" w:hAnsiTheme="minorHAnsi" w:cstheme="minorBidi"/>
                <w:sz w:val="20"/>
                <w:szCs w:val="20"/>
              </w:rPr>
              <w:t>2</w:t>
            </w:r>
          </w:p>
        </w:tc>
      </w:tr>
      <w:tr w:rsidR="587DFACA" w:rsidRPr="00C66C24" w14:paraId="7E64609D" w14:textId="77777777" w:rsidTr="002D5142">
        <w:trPr>
          <w:trHeight w:val="300"/>
          <w:jc w:val="center"/>
        </w:trPr>
        <w:tc>
          <w:tcPr>
            <w:tcW w:w="2087" w:type="dxa"/>
          </w:tcPr>
          <w:p w14:paraId="3BB1ED72" w14:textId="1652286E" w:rsidR="587DFACA" w:rsidRPr="00C66C24" w:rsidRDefault="62FD6224" w:rsidP="008C6A9C">
            <w:pPr>
              <w:pStyle w:val="NormalWeb"/>
              <w:spacing w:line="257" w:lineRule="auto"/>
              <w:rPr>
                <w:rFonts w:asciiTheme="minorHAnsi" w:hAnsiTheme="minorHAnsi" w:cstheme="minorBidi"/>
                <w:sz w:val="20"/>
                <w:szCs w:val="20"/>
              </w:rPr>
            </w:pPr>
            <w:r w:rsidRPr="00C66C24">
              <w:rPr>
                <w:rFonts w:asciiTheme="minorHAnsi" w:hAnsiTheme="minorHAnsi" w:cstheme="minorBidi"/>
                <w:sz w:val="20"/>
                <w:szCs w:val="20"/>
              </w:rPr>
              <w:t>L</w:t>
            </w:r>
            <w:r w:rsidR="68261E29" w:rsidRPr="00C66C24">
              <w:rPr>
                <w:rFonts w:asciiTheme="minorHAnsi" w:hAnsiTheme="minorHAnsi" w:cstheme="minorBidi"/>
                <w:sz w:val="20"/>
                <w:szCs w:val="20"/>
              </w:rPr>
              <w:t>a</w:t>
            </w:r>
            <w:r w:rsidRPr="00C66C24">
              <w:rPr>
                <w:rFonts w:asciiTheme="minorHAnsi" w:hAnsiTheme="minorHAnsi" w:cstheme="minorBidi"/>
                <w:sz w:val="20"/>
                <w:szCs w:val="20"/>
              </w:rPr>
              <w:t>tvia</w:t>
            </w:r>
          </w:p>
        </w:tc>
        <w:tc>
          <w:tcPr>
            <w:tcW w:w="2010" w:type="dxa"/>
          </w:tcPr>
          <w:p w14:paraId="63BE3DF8" w14:textId="21EA8EFF" w:rsidR="587DFACA" w:rsidRPr="00C66C24" w:rsidRDefault="4FB79F35" w:rsidP="008C6A9C">
            <w:pPr>
              <w:pStyle w:val="NormalWeb"/>
              <w:spacing w:line="257" w:lineRule="auto"/>
              <w:jc w:val="center"/>
              <w:rPr>
                <w:rFonts w:asciiTheme="minorHAnsi" w:hAnsiTheme="minorHAnsi" w:cstheme="minorBidi"/>
                <w:sz w:val="20"/>
                <w:szCs w:val="20"/>
              </w:rPr>
            </w:pPr>
            <w:r w:rsidRPr="00C66C24">
              <w:rPr>
                <w:rFonts w:asciiTheme="minorHAnsi" w:hAnsiTheme="minorHAnsi" w:cstheme="minorBidi"/>
                <w:sz w:val="20"/>
                <w:szCs w:val="20"/>
              </w:rPr>
              <w:t>2</w:t>
            </w:r>
          </w:p>
        </w:tc>
      </w:tr>
      <w:tr w:rsidR="587DFACA" w:rsidRPr="00C66C24" w14:paraId="45D13E22" w14:textId="77777777" w:rsidTr="002D5142">
        <w:trPr>
          <w:trHeight w:val="300"/>
          <w:jc w:val="center"/>
        </w:trPr>
        <w:tc>
          <w:tcPr>
            <w:tcW w:w="2087" w:type="dxa"/>
          </w:tcPr>
          <w:p w14:paraId="452A663A" w14:textId="17A14697" w:rsidR="587DFACA" w:rsidRPr="00C66C24" w:rsidRDefault="62FD6224" w:rsidP="008C6A9C">
            <w:pPr>
              <w:pStyle w:val="NormalWeb"/>
              <w:spacing w:line="257" w:lineRule="auto"/>
              <w:rPr>
                <w:rFonts w:asciiTheme="minorHAnsi" w:hAnsiTheme="minorHAnsi" w:cstheme="minorBidi"/>
                <w:sz w:val="20"/>
                <w:szCs w:val="20"/>
              </w:rPr>
            </w:pPr>
            <w:r w:rsidRPr="00C66C24">
              <w:rPr>
                <w:rFonts w:asciiTheme="minorHAnsi" w:hAnsiTheme="minorHAnsi" w:cstheme="minorBidi"/>
                <w:sz w:val="20"/>
                <w:szCs w:val="20"/>
              </w:rPr>
              <w:t xml:space="preserve">France </w:t>
            </w:r>
          </w:p>
        </w:tc>
        <w:tc>
          <w:tcPr>
            <w:tcW w:w="2010" w:type="dxa"/>
          </w:tcPr>
          <w:p w14:paraId="3AC4CD39" w14:textId="11B8BC42" w:rsidR="587DFACA" w:rsidRPr="00C66C24" w:rsidRDefault="4FB79F35" w:rsidP="008C6A9C">
            <w:pPr>
              <w:pStyle w:val="NormalWeb"/>
              <w:spacing w:line="257" w:lineRule="auto"/>
              <w:jc w:val="center"/>
              <w:rPr>
                <w:rFonts w:asciiTheme="minorHAnsi" w:hAnsiTheme="minorHAnsi" w:cstheme="minorBidi"/>
                <w:sz w:val="20"/>
                <w:szCs w:val="20"/>
              </w:rPr>
            </w:pPr>
            <w:r w:rsidRPr="00C66C24">
              <w:rPr>
                <w:rFonts w:asciiTheme="minorHAnsi" w:hAnsiTheme="minorHAnsi" w:cstheme="minorBidi"/>
                <w:sz w:val="20"/>
                <w:szCs w:val="20"/>
              </w:rPr>
              <w:t>2</w:t>
            </w:r>
          </w:p>
        </w:tc>
      </w:tr>
      <w:tr w:rsidR="587DFACA" w:rsidRPr="00C66C24" w14:paraId="2DAAB02C" w14:textId="77777777" w:rsidTr="002D5142">
        <w:trPr>
          <w:trHeight w:val="300"/>
          <w:jc w:val="center"/>
        </w:trPr>
        <w:tc>
          <w:tcPr>
            <w:tcW w:w="2087" w:type="dxa"/>
          </w:tcPr>
          <w:p w14:paraId="0A4EE4D9" w14:textId="1506DED5" w:rsidR="587DFACA" w:rsidRPr="00C66C24" w:rsidRDefault="62FD6224" w:rsidP="008C6A9C">
            <w:pPr>
              <w:pStyle w:val="NormalWeb"/>
              <w:spacing w:line="257" w:lineRule="auto"/>
              <w:rPr>
                <w:rFonts w:asciiTheme="minorHAnsi" w:hAnsiTheme="minorHAnsi" w:cstheme="minorBidi"/>
                <w:sz w:val="20"/>
                <w:szCs w:val="20"/>
              </w:rPr>
            </w:pPr>
            <w:r w:rsidRPr="00C66C24">
              <w:rPr>
                <w:rFonts w:asciiTheme="minorHAnsi" w:hAnsiTheme="minorHAnsi" w:cstheme="minorBidi"/>
                <w:sz w:val="20"/>
                <w:szCs w:val="20"/>
              </w:rPr>
              <w:t>Lithuania</w:t>
            </w:r>
          </w:p>
        </w:tc>
        <w:tc>
          <w:tcPr>
            <w:tcW w:w="2010" w:type="dxa"/>
          </w:tcPr>
          <w:p w14:paraId="3CF5D67A" w14:textId="59CA247B" w:rsidR="587DFACA" w:rsidRPr="00C66C24" w:rsidRDefault="0E99D93C" w:rsidP="008C6A9C">
            <w:pPr>
              <w:pStyle w:val="NormalWeb"/>
              <w:spacing w:line="257" w:lineRule="auto"/>
              <w:jc w:val="center"/>
              <w:rPr>
                <w:rFonts w:asciiTheme="minorHAnsi" w:hAnsiTheme="minorHAnsi" w:cstheme="minorBidi"/>
                <w:sz w:val="20"/>
                <w:szCs w:val="20"/>
              </w:rPr>
            </w:pPr>
            <w:r w:rsidRPr="00C66C24">
              <w:rPr>
                <w:rFonts w:asciiTheme="minorHAnsi" w:hAnsiTheme="minorHAnsi" w:cstheme="minorBidi"/>
                <w:sz w:val="20"/>
                <w:szCs w:val="20"/>
              </w:rPr>
              <w:t>1</w:t>
            </w:r>
          </w:p>
        </w:tc>
      </w:tr>
      <w:tr w:rsidR="587DFACA" w:rsidRPr="00C66C24" w14:paraId="64775918" w14:textId="77777777" w:rsidTr="002D5142">
        <w:trPr>
          <w:trHeight w:val="300"/>
          <w:jc w:val="center"/>
        </w:trPr>
        <w:tc>
          <w:tcPr>
            <w:tcW w:w="2087" w:type="dxa"/>
          </w:tcPr>
          <w:p w14:paraId="386D161E" w14:textId="57CAFC6D" w:rsidR="587DFACA" w:rsidRPr="00C66C24" w:rsidRDefault="62FD6224" w:rsidP="008C6A9C">
            <w:pPr>
              <w:pStyle w:val="NormalWeb"/>
              <w:spacing w:line="257" w:lineRule="auto"/>
              <w:rPr>
                <w:rFonts w:asciiTheme="minorHAnsi" w:hAnsiTheme="minorHAnsi" w:cstheme="minorBidi"/>
                <w:sz w:val="20"/>
                <w:szCs w:val="20"/>
              </w:rPr>
            </w:pPr>
            <w:r w:rsidRPr="00C66C24">
              <w:rPr>
                <w:rFonts w:asciiTheme="minorHAnsi" w:hAnsiTheme="minorHAnsi" w:cstheme="minorBidi"/>
                <w:sz w:val="20"/>
                <w:szCs w:val="20"/>
              </w:rPr>
              <w:t>Romania</w:t>
            </w:r>
          </w:p>
        </w:tc>
        <w:tc>
          <w:tcPr>
            <w:tcW w:w="2010" w:type="dxa"/>
          </w:tcPr>
          <w:p w14:paraId="6C7DCED1" w14:textId="4F860AF3" w:rsidR="587DFACA" w:rsidRPr="00C66C24" w:rsidRDefault="0E99D93C" w:rsidP="008C6A9C">
            <w:pPr>
              <w:pStyle w:val="NormalWeb"/>
              <w:spacing w:line="257" w:lineRule="auto"/>
              <w:jc w:val="center"/>
              <w:rPr>
                <w:rFonts w:asciiTheme="minorHAnsi" w:hAnsiTheme="minorHAnsi" w:cstheme="minorBidi"/>
                <w:sz w:val="20"/>
                <w:szCs w:val="20"/>
              </w:rPr>
            </w:pPr>
            <w:r w:rsidRPr="00C66C24">
              <w:rPr>
                <w:rFonts w:asciiTheme="minorHAnsi" w:hAnsiTheme="minorHAnsi" w:cstheme="minorBidi"/>
                <w:sz w:val="20"/>
                <w:szCs w:val="20"/>
              </w:rPr>
              <w:t>1</w:t>
            </w:r>
          </w:p>
        </w:tc>
      </w:tr>
      <w:tr w:rsidR="587DFACA" w:rsidRPr="00C66C24" w14:paraId="7E3FA66F" w14:textId="77777777" w:rsidTr="002D5142">
        <w:trPr>
          <w:trHeight w:val="300"/>
          <w:jc w:val="center"/>
        </w:trPr>
        <w:tc>
          <w:tcPr>
            <w:tcW w:w="2087" w:type="dxa"/>
          </w:tcPr>
          <w:p w14:paraId="3A5EAFDD" w14:textId="2F8867AF" w:rsidR="587DFACA" w:rsidRPr="00C66C24" w:rsidRDefault="62FD6224" w:rsidP="008C6A9C">
            <w:pPr>
              <w:pStyle w:val="NormalWeb"/>
              <w:spacing w:line="257" w:lineRule="auto"/>
              <w:rPr>
                <w:rFonts w:asciiTheme="minorHAnsi" w:hAnsiTheme="minorHAnsi" w:cstheme="minorBidi"/>
                <w:sz w:val="20"/>
                <w:szCs w:val="20"/>
              </w:rPr>
            </w:pPr>
            <w:r w:rsidRPr="00C66C24">
              <w:rPr>
                <w:rFonts w:asciiTheme="minorHAnsi" w:hAnsiTheme="minorHAnsi" w:cstheme="minorBidi"/>
                <w:sz w:val="20"/>
                <w:szCs w:val="20"/>
              </w:rPr>
              <w:t>Pakistan</w:t>
            </w:r>
          </w:p>
        </w:tc>
        <w:tc>
          <w:tcPr>
            <w:tcW w:w="2010" w:type="dxa"/>
          </w:tcPr>
          <w:p w14:paraId="15BD6A88" w14:textId="0C8E19AD" w:rsidR="587DFACA" w:rsidRPr="00C66C24" w:rsidRDefault="0E99D93C" w:rsidP="008C6A9C">
            <w:pPr>
              <w:pStyle w:val="NormalWeb"/>
              <w:spacing w:line="257" w:lineRule="auto"/>
              <w:jc w:val="center"/>
              <w:rPr>
                <w:rFonts w:asciiTheme="minorHAnsi" w:hAnsiTheme="minorHAnsi" w:cstheme="minorBidi"/>
                <w:sz w:val="20"/>
                <w:szCs w:val="20"/>
              </w:rPr>
            </w:pPr>
            <w:r w:rsidRPr="00C66C24">
              <w:rPr>
                <w:rFonts w:asciiTheme="minorHAnsi" w:hAnsiTheme="minorHAnsi" w:cstheme="minorBidi"/>
                <w:sz w:val="20"/>
                <w:szCs w:val="20"/>
              </w:rPr>
              <w:t>1</w:t>
            </w:r>
          </w:p>
        </w:tc>
      </w:tr>
      <w:tr w:rsidR="587DFACA" w:rsidRPr="00C66C24" w14:paraId="198D1D08" w14:textId="77777777" w:rsidTr="002D5142">
        <w:trPr>
          <w:trHeight w:val="300"/>
          <w:jc w:val="center"/>
        </w:trPr>
        <w:tc>
          <w:tcPr>
            <w:tcW w:w="2087" w:type="dxa"/>
          </w:tcPr>
          <w:p w14:paraId="7FBFE9A0" w14:textId="02FE7EEB" w:rsidR="587DFACA" w:rsidRPr="00C66C24" w:rsidRDefault="62FD6224" w:rsidP="008C6A9C">
            <w:pPr>
              <w:pStyle w:val="NormalWeb"/>
              <w:spacing w:line="257" w:lineRule="auto"/>
              <w:rPr>
                <w:rFonts w:asciiTheme="minorHAnsi" w:hAnsiTheme="minorHAnsi" w:cstheme="minorBidi"/>
                <w:sz w:val="20"/>
                <w:szCs w:val="20"/>
              </w:rPr>
            </w:pPr>
            <w:r w:rsidRPr="00C66C24">
              <w:rPr>
                <w:rFonts w:asciiTheme="minorHAnsi" w:hAnsiTheme="minorHAnsi" w:cstheme="minorBidi"/>
                <w:sz w:val="20"/>
                <w:szCs w:val="20"/>
              </w:rPr>
              <w:t>India</w:t>
            </w:r>
          </w:p>
        </w:tc>
        <w:tc>
          <w:tcPr>
            <w:tcW w:w="2010" w:type="dxa"/>
          </w:tcPr>
          <w:p w14:paraId="07E81EDC" w14:textId="6FB9E059" w:rsidR="587DFACA" w:rsidRPr="00C66C24" w:rsidRDefault="0E99D93C" w:rsidP="008C6A9C">
            <w:pPr>
              <w:pStyle w:val="NormalWeb"/>
              <w:spacing w:line="257" w:lineRule="auto"/>
              <w:jc w:val="center"/>
              <w:rPr>
                <w:rFonts w:asciiTheme="minorHAnsi" w:hAnsiTheme="minorHAnsi" w:cstheme="minorBidi"/>
                <w:sz w:val="20"/>
                <w:szCs w:val="20"/>
              </w:rPr>
            </w:pPr>
            <w:r w:rsidRPr="00C66C24">
              <w:rPr>
                <w:rFonts w:asciiTheme="minorHAnsi" w:hAnsiTheme="minorHAnsi" w:cstheme="minorBidi"/>
                <w:sz w:val="20"/>
                <w:szCs w:val="20"/>
              </w:rPr>
              <w:t>1</w:t>
            </w:r>
          </w:p>
        </w:tc>
      </w:tr>
      <w:tr w:rsidR="587DFACA" w:rsidRPr="00C66C24" w14:paraId="72A0622A" w14:textId="77777777" w:rsidTr="002D5142">
        <w:trPr>
          <w:trHeight w:val="300"/>
          <w:jc w:val="center"/>
        </w:trPr>
        <w:tc>
          <w:tcPr>
            <w:tcW w:w="2087" w:type="dxa"/>
          </w:tcPr>
          <w:p w14:paraId="65BF4F3C" w14:textId="49C6C765" w:rsidR="587DFACA" w:rsidRPr="00C66C24" w:rsidRDefault="62FD6224" w:rsidP="008C6A9C">
            <w:pPr>
              <w:pStyle w:val="NormalWeb"/>
              <w:spacing w:line="257" w:lineRule="auto"/>
              <w:rPr>
                <w:rFonts w:asciiTheme="minorHAnsi" w:hAnsiTheme="minorHAnsi" w:cstheme="minorBidi"/>
                <w:sz w:val="20"/>
                <w:szCs w:val="20"/>
              </w:rPr>
            </w:pPr>
            <w:r w:rsidRPr="00C66C24">
              <w:rPr>
                <w:rFonts w:asciiTheme="minorHAnsi" w:hAnsiTheme="minorHAnsi" w:cstheme="minorBidi"/>
                <w:sz w:val="20"/>
                <w:szCs w:val="20"/>
              </w:rPr>
              <w:t>USA</w:t>
            </w:r>
          </w:p>
        </w:tc>
        <w:tc>
          <w:tcPr>
            <w:tcW w:w="2010" w:type="dxa"/>
          </w:tcPr>
          <w:p w14:paraId="67D8F10B" w14:textId="3B099E42" w:rsidR="587DFACA" w:rsidRPr="00C66C24" w:rsidRDefault="3C6BB2B4" w:rsidP="008C6A9C">
            <w:pPr>
              <w:pStyle w:val="NormalWeb"/>
              <w:spacing w:line="257" w:lineRule="auto"/>
              <w:jc w:val="center"/>
              <w:rPr>
                <w:rFonts w:asciiTheme="minorHAnsi" w:hAnsiTheme="minorHAnsi" w:cstheme="minorBidi"/>
                <w:sz w:val="20"/>
                <w:szCs w:val="20"/>
              </w:rPr>
            </w:pPr>
            <w:r w:rsidRPr="00C66C24">
              <w:rPr>
                <w:rFonts w:asciiTheme="minorHAnsi" w:hAnsiTheme="minorHAnsi" w:cstheme="minorBidi"/>
                <w:sz w:val="20"/>
                <w:szCs w:val="20"/>
              </w:rPr>
              <w:t>1</w:t>
            </w:r>
          </w:p>
        </w:tc>
      </w:tr>
      <w:tr w:rsidR="587DFACA" w:rsidRPr="00C66C24" w14:paraId="05404ADD" w14:textId="77777777" w:rsidTr="002D5142">
        <w:trPr>
          <w:trHeight w:val="300"/>
          <w:jc w:val="center"/>
        </w:trPr>
        <w:tc>
          <w:tcPr>
            <w:tcW w:w="2087" w:type="dxa"/>
            <w:shd w:val="clear" w:color="auto" w:fill="1E8BCD"/>
          </w:tcPr>
          <w:p w14:paraId="1AE57231" w14:textId="07E0E6E6" w:rsidR="587DFACA" w:rsidRPr="00C66C24" w:rsidRDefault="000C83D9" w:rsidP="008C6A9C">
            <w:pPr>
              <w:pStyle w:val="NormalWeb"/>
              <w:spacing w:line="257" w:lineRule="auto"/>
              <w:rPr>
                <w:rFonts w:asciiTheme="minorHAnsi" w:hAnsiTheme="minorHAnsi" w:cstheme="minorBidi"/>
                <w:sz w:val="20"/>
                <w:szCs w:val="20"/>
              </w:rPr>
            </w:pPr>
            <w:r w:rsidRPr="00C66C24">
              <w:rPr>
                <w:rFonts w:asciiTheme="minorHAnsi" w:hAnsiTheme="minorHAnsi" w:cstheme="minorBidi"/>
                <w:sz w:val="20"/>
                <w:szCs w:val="20"/>
              </w:rPr>
              <w:t>Total</w:t>
            </w:r>
          </w:p>
        </w:tc>
        <w:tc>
          <w:tcPr>
            <w:tcW w:w="2010" w:type="dxa"/>
            <w:shd w:val="clear" w:color="auto" w:fill="1E8BCD"/>
          </w:tcPr>
          <w:p w14:paraId="39A68789" w14:textId="68E3A1AF" w:rsidR="587DFACA" w:rsidRPr="00C66C24" w:rsidRDefault="3C6BB2B4" w:rsidP="008C6A9C">
            <w:pPr>
              <w:pStyle w:val="NormalWeb"/>
              <w:spacing w:line="257" w:lineRule="auto"/>
              <w:jc w:val="center"/>
              <w:rPr>
                <w:rFonts w:asciiTheme="minorHAnsi" w:hAnsiTheme="minorHAnsi" w:cstheme="minorBidi"/>
                <w:sz w:val="20"/>
                <w:szCs w:val="20"/>
              </w:rPr>
            </w:pPr>
            <w:r w:rsidRPr="00C66C24">
              <w:rPr>
                <w:rFonts w:asciiTheme="minorHAnsi" w:hAnsiTheme="minorHAnsi" w:cstheme="minorBidi"/>
                <w:sz w:val="20"/>
                <w:szCs w:val="20"/>
              </w:rPr>
              <w:t>55</w:t>
            </w:r>
          </w:p>
        </w:tc>
      </w:tr>
    </w:tbl>
    <w:p w14:paraId="1D00A96F" w14:textId="199A4FE9" w:rsidR="006970D1" w:rsidRPr="00C66C24" w:rsidRDefault="006970D1" w:rsidP="008C6A9C">
      <w:pPr>
        <w:pStyle w:val="Caption"/>
        <w:keepNext/>
        <w:spacing w:after="0" w:line="257" w:lineRule="auto"/>
        <w:jc w:val="center"/>
        <w:rPr>
          <w:sz w:val="20"/>
          <w:szCs w:val="20"/>
        </w:rPr>
      </w:pPr>
      <w:bookmarkStart w:id="170" w:name="_Ref153897933"/>
      <w:r w:rsidRPr="00C66C24">
        <w:rPr>
          <w:sz w:val="20"/>
          <w:szCs w:val="20"/>
        </w:rPr>
        <w:t xml:space="preserve">Table </w:t>
      </w:r>
      <w:r w:rsidR="000F2E4C" w:rsidRPr="00C66C24">
        <w:rPr>
          <w:sz w:val="20"/>
          <w:szCs w:val="20"/>
        </w:rPr>
        <w:fldChar w:fldCharType="begin"/>
      </w:r>
      <w:r w:rsidR="000F2E4C" w:rsidRPr="00C66C24">
        <w:rPr>
          <w:sz w:val="20"/>
          <w:szCs w:val="20"/>
        </w:rPr>
        <w:instrText xml:space="preserve"> STYLEREF 1 \s </w:instrText>
      </w:r>
      <w:r w:rsidR="000F2E4C" w:rsidRPr="00C66C24">
        <w:rPr>
          <w:sz w:val="20"/>
          <w:szCs w:val="20"/>
        </w:rPr>
        <w:fldChar w:fldCharType="separate"/>
      </w:r>
      <w:r w:rsidR="006A39A0" w:rsidRPr="00C66C24">
        <w:rPr>
          <w:noProof/>
          <w:sz w:val="20"/>
          <w:szCs w:val="20"/>
        </w:rPr>
        <w:t>2</w:t>
      </w:r>
      <w:r w:rsidR="000F2E4C" w:rsidRPr="00C66C24">
        <w:rPr>
          <w:sz w:val="20"/>
          <w:szCs w:val="20"/>
        </w:rPr>
        <w:fldChar w:fldCharType="end"/>
      </w:r>
      <w:r w:rsidR="000F2E4C" w:rsidRPr="00C66C24">
        <w:rPr>
          <w:sz w:val="20"/>
          <w:szCs w:val="20"/>
        </w:rPr>
        <w:t>.</w:t>
      </w:r>
      <w:r w:rsidR="000F2E4C" w:rsidRPr="00C66C24">
        <w:rPr>
          <w:sz w:val="20"/>
          <w:szCs w:val="20"/>
        </w:rPr>
        <w:fldChar w:fldCharType="begin"/>
      </w:r>
      <w:r w:rsidR="000F2E4C" w:rsidRPr="00C66C24">
        <w:rPr>
          <w:sz w:val="20"/>
          <w:szCs w:val="20"/>
        </w:rPr>
        <w:instrText xml:space="preserve"> SEQ Table \* ARABIC \s 1 </w:instrText>
      </w:r>
      <w:r w:rsidR="000F2E4C" w:rsidRPr="00C66C24">
        <w:rPr>
          <w:sz w:val="20"/>
          <w:szCs w:val="20"/>
        </w:rPr>
        <w:fldChar w:fldCharType="separate"/>
      </w:r>
      <w:r w:rsidR="00C6330B" w:rsidRPr="00C66C24">
        <w:rPr>
          <w:noProof/>
          <w:sz w:val="20"/>
          <w:szCs w:val="20"/>
        </w:rPr>
        <w:t>5</w:t>
      </w:r>
      <w:r w:rsidR="000F2E4C" w:rsidRPr="00C66C24">
        <w:rPr>
          <w:sz w:val="20"/>
          <w:szCs w:val="20"/>
        </w:rPr>
        <w:fldChar w:fldCharType="end"/>
      </w:r>
      <w:bookmarkEnd w:id="170"/>
      <w:r w:rsidRPr="00C66C24">
        <w:rPr>
          <w:sz w:val="20"/>
          <w:szCs w:val="20"/>
        </w:rPr>
        <w:t xml:space="preserve"> List of countries where the 55 additional vessels were recycled from 2019 to 2021.</w:t>
      </w:r>
    </w:p>
    <w:p w14:paraId="719CA826" w14:textId="00E62CE6" w:rsidR="752A74CA" w:rsidRPr="00C66C24" w:rsidRDefault="00032EAB" w:rsidP="003E409D">
      <w:pPr>
        <w:spacing w:before="0" w:after="120" w:line="257" w:lineRule="auto"/>
        <w:contextualSpacing/>
        <w:jc w:val="center"/>
        <w:rPr>
          <w:rFonts w:cstheme="minorBidi"/>
          <w:sz w:val="20"/>
          <w:szCs w:val="20"/>
        </w:rPr>
      </w:pPr>
      <w:r w:rsidRPr="00C66C24">
        <w:rPr>
          <w:rFonts w:ascii="Calibri" w:eastAsia="Calibri" w:hAnsi="Calibri" w:cs="Calibri"/>
          <w:sz w:val="20"/>
          <w:szCs w:val="20"/>
        </w:rPr>
        <w:t>Source: EMSA</w:t>
      </w:r>
      <w:r w:rsidR="003E409D" w:rsidRPr="00C66C24">
        <w:rPr>
          <w:rFonts w:cstheme="minorBidi"/>
          <w:sz w:val="20"/>
          <w:szCs w:val="20"/>
        </w:rPr>
        <w:t>.</w:t>
      </w:r>
    </w:p>
    <w:p w14:paraId="16BDD7BC" w14:textId="0A251274" w:rsidR="0D50B81D" w:rsidRPr="00C66C24" w:rsidRDefault="0D50B81D" w:rsidP="003E409D">
      <w:pPr>
        <w:spacing w:before="120" w:after="0" w:line="257" w:lineRule="auto"/>
        <w:contextualSpacing/>
        <w:rPr>
          <w:rFonts w:ascii="Calibri" w:eastAsia="Calibri" w:hAnsi="Calibri" w:cs="Calibri"/>
          <w:sz w:val="20"/>
          <w:szCs w:val="20"/>
        </w:rPr>
      </w:pPr>
      <w:r w:rsidRPr="00C66C24">
        <w:rPr>
          <w:rFonts w:ascii="Calibri" w:eastAsia="Calibri" w:hAnsi="Calibri" w:cs="Calibri"/>
          <w:szCs w:val="22"/>
        </w:rPr>
        <w:t xml:space="preserve">Analysis of this data shows that although </w:t>
      </w:r>
      <w:r w:rsidR="7917F949" w:rsidRPr="00C66C24">
        <w:rPr>
          <w:rFonts w:ascii="Calibri" w:eastAsia="Calibri" w:hAnsi="Calibri" w:cs="Calibri"/>
          <w:szCs w:val="22"/>
        </w:rPr>
        <w:t>R</w:t>
      </w:r>
      <w:r w:rsidRPr="00C66C24">
        <w:rPr>
          <w:rFonts w:ascii="Calibri" w:eastAsia="Calibri" w:hAnsi="Calibri" w:cs="Calibri"/>
          <w:szCs w:val="22"/>
        </w:rPr>
        <w:t xml:space="preserve">eady for </w:t>
      </w:r>
      <w:r w:rsidR="504D69A5" w:rsidRPr="00C66C24">
        <w:rPr>
          <w:rFonts w:ascii="Calibri" w:eastAsia="Calibri" w:hAnsi="Calibri" w:cs="Calibri"/>
          <w:szCs w:val="22"/>
        </w:rPr>
        <w:t>R</w:t>
      </w:r>
      <w:r w:rsidRPr="00C66C24">
        <w:rPr>
          <w:rFonts w:ascii="Calibri" w:eastAsia="Calibri" w:hAnsi="Calibri" w:cs="Calibri"/>
          <w:szCs w:val="22"/>
        </w:rPr>
        <w:t xml:space="preserve">ecycling </w:t>
      </w:r>
      <w:r w:rsidR="34E41650" w:rsidRPr="00C66C24">
        <w:rPr>
          <w:rFonts w:ascii="Calibri" w:eastAsia="Calibri" w:hAnsi="Calibri" w:cs="Calibri"/>
          <w:szCs w:val="22"/>
        </w:rPr>
        <w:t>Certificate</w:t>
      </w:r>
      <w:r w:rsidR="678E0772" w:rsidRPr="00C66C24">
        <w:rPr>
          <w:rFonts w:ascii="Calibri" w:eastAsia="Calibri" w:hAnsi="Calibri" w:cs="Calibri"/>
          <w:szCs w:val="22"/>
        </w:rPr>
        <w:t xml:space="preserve">s </w:t>
      </w:r>
      <w:r w:rsidRPr="00C66C24">
        <w:rPr>
          <w:rFonts w:ascii="Calibri" w:eastAsia="Calibri" w:hAnsi="Calibri" w:cs="Calibri"/>
          <w:szCs w:val="22"/>
        </w:rPr>
        <w:t xml:space="preserve">are being </w:t>
      </w:r>
      <w:r w:rsidR="0A45F985" w:rsidRPr="00C66C24">
        <w:rPr>
          <w:rFonts w:ascii="Calibri" w:eastAsia="Calibri" w:hAnsi="Calibri" w:cs="Calibri"/>
          <w:szCs w:val="22"/>
        </w:rPr>
        <w:t>given to ships by the MS</w:t>
      </w:r>
      <w:r w:rsidR="6886481A" w:rsidRPr="00C66C24">
        <w:rPr>
          <w:rFonts w:ascii="Calibri" w:eastAsia="Calibri" w:hAnsi="Calibri" w:cs="Calibri"/>
          <w:szCs w:val="22"/>
        </w:rPr>
        <w:t xml:space="preserve"> and Statements of Completion are being received by them, this is not happening in every case where a ship has been recycled.</w:t>
      </w:r>
    </w:p>
    <w:p w14:paraId="31D6E04F" w14:textId="3C1BEC04" w:rsidR="00F359DE" w:rsidRPr="00C66C24" w:rsidRDefault="00A87E59" w:rsidP="008C6A9C">
      <w:pPr>
        <w:pStyle w:val="Heading2"/>
        <w:spacing w:line="257" w:lineRule="auto"/>
      </w:pPr>
      <w:bookmarkStart w:id="171" w:name="_Toc149643877"/>
      <w:bookmarkStart w:id="172" w:name="_Toc156316336"/>
      <w:bookmarkStart w:id="173" w:name="_Toc157762077"/>
      <w:bookmarkEnd w:id="171"/>
      <w:r w:rsidRPr="00C66C24">
        <w:t>Hazards</w:t>
      </w:r>
      <w:r w:rsidR="002F63FF" w:rsidRPr="00C66C24">
        <w:t xml:space="preserve"> </w:t>
      </w:r>
      <w:r w:rsidR="5C644621" w:rsidRPr="00C66C24">
        <w:t>and physical disturbance of seabed</w:t>
      </w:r>
      <w:bookmarkEnd w:id="172"/>
      <w:bookmarkEnd w:id="173"/>
    </w:p>
    <w:p w14:paraId="2D98EF51" w14:textId="15B24985" w:rsidR="00736310" w:rsidRPr="00C66C24" w:rsidRDefault="00736310" w:rsidP="008C6A9C">
      <w:pPr>
        <w:pStyle w:val="Heading3"/>
        <w:spacing w:line="257" w:lineRule="auto"/>
      </w:pPr>
      <w:bookmarkStart w:id="174" w:name="_Toc148005991"/>
      <w:bookmarkStart w:id="175" w:name="_Toc156316337"/>
      <w:bookmarkStart w:id="176" w:name="_Toc157762078"/>
      <w:bookmarkEnd w:id="174"/>
      <w:r w:rsidRPr="00C66C24">
        <w:t>Collisions</w:t>
      </w:r>
      <w:r w:rsidR="0077146C" w:rsidRPr="00C66C24">
        <w:t xml:space="preserve"> with </w:t>
      </w:r>
      <w:r w:rsidR="00023F9D" w:rsidRPr="00C66C24">
        <w:t>animals</w:t>
      </w:r>
      <w:bookmarkEnd w:id="175"/>
      <w:bookmarkEnd w:id="176"/>
    </w:p>
    <w:p w14:paraId="7CABE42A" w14:textId="22F375C1" w:rsidR="00396599" w:rsidRPr="00C66C24" w:rsidRDefault="00736310" w:rsidP="003E409D">
      <w:pPr>
        <w:spacing w:before="0" w:after="0" w:line="257" w:lineRule="auto"/>
      </w:pPr>
      <w:r w:rsidRPr="00C66C24">
        <w:t xml:space="preserve">With </w:t>
      </w:r>
      <w:r w:rsidR="00097E36" w:rsidRPr="00C66C24">
        <w:t xml:space="preserve">the </w:t>
      </w:r>
      <w:r w:rsidRPr="00C66C24">
        <w:t xml:space="preserve">increase of maritime traffic over the past decades, the probability of collisions has also increased. However, such events are rarely recorded, and often the collision is not even detected by the vessel crew. Quality data on collision events is therefore scarce, so the risk </w:t>
      </w:r>
      <w:r w:rsidR="000E7289" w:rsidRPr="00C66C24">
        <w:t xml:space="preserve">of collisions with </w:t>
      </w:r>
      <w:r w:rsidR="005D4FBB" w:rsidRPr="00C66C24">
        <w:t>animals</w:t>
      </w:r>
      <w:r w:rsidRPr="00C66C24">
        <w:t xml:space="preserve"> is assessed by a proxy indicator (i.e. the collision risk index).</w:t>
      </w:r>
      <w:r w:rsidR="00081D44" w:rsidRPr="00C66C24">
        <w:t xml:space="preserve"> </w:t>
      </w:r>
    </w:p>
    <w:p w14:paraId="241BFCE8" w14:textId="141B95D2" w:rsidR="00E748B4" w:rsidRPr="00C66C24" w:rsidRDefault="00E748B4" w:rsidP="003E409D">
      <w:pPr>
        <w:spacing w:before="0" w:after="0" w:line="257" w:lineRule="auto"/>
      </w:pPr>
      <w:r w:rsidRPr="00C66C24">
        <w:t xml:space="preserve">In general, the Greater North Sea, including the Kattegat and the English Channel, is the marine subregion with the highest collision risk values for whale and turtle species. This subregion is highly affected by intensive maritime traffic due to several important ports and shipping lanes. High collision risk for whales and </w:t>
      </w:r>
      <w:r w:rsidR="5D138AFB" w:rsidRPr="00C66C24">
        <w:t>turtles</w:t>
      </w:r>
      <w:r w:rsidR="000219FF" w:rsidRPr="00C66C24">
        <w:t xml:space="preserve"> </w:t>
      </w:r>
      <w:r w:rsidR="5D138AFB" w:rsidRPr="00C66C24">
        <w:t>is</w:t>
      </w:r>
      <w:r w:rsidRPr="00C66C24">
        <w:t xml:space="preserve"> also prominent in the Adriatic Sea and the Western Mediterranean Sea, where there is a high occurrence of species (especially turtles) on one hand and, intensive marine traffic areas on the other hand (Gibraltar). </w:t>
      </w:r>
    </w:p>
    <w:p w14:paraId="525AE16C" w14:textId="764833DE" w:rsidR="00736310" w:rsidRPr="00C66C24" w:rsidRDefault="00736310" w:rsidP="003E409D">
      <w:pPr>
        <w:spacing w:before="0" w:after="0" w:line="257" w:lineRule="auto"/>
      </w:pPr>
      <w:r w:rsidRPr="00C66C24">
        <w:t xml:space="preserve">There are four marine subregions with more than 60% of area where the collision risk index for whales and turtles has increased in 2022, compared to 2017: Western Mediterranean Sea, </w:t>
      </w:r>
      <w:r w:rsidRPr="00C66C24">
        <w:rPr>
          <w:szCs w:val="22"/>
        </w:rPr>
        <w:t>Aegean-Levantine Sea, Greater North Sea and Baltic Sea (whales only) (</w:t>
      </w:r>
      <w:r w:rsidR="00A90F1F" w:rsidRPr="00C66C24">
        <w:rPr>
          <w:szCs w:val="22"/>
        </w:rPr>
        <w:fldChar w:fldCharType="begin"/>
      </w:r>
      <w:r w:rsidR="00A90F1F" w:rsidRPr="00C66C24">
        <w:rPr>
          <w:szCs w:val="22"/>
        </w:rPr>
        <w:instrText xml:space="preserve"> REF _Ref151123717 \h </w:instrText>
      </w:r>
      <w:r w:rsidR="002243E1" w:rsidRPr="00C66C24">
        <w:rPr>
          <w:szCs w:val="22"/>
        </w:rPr>
        <w:instrText xml:space="preserve"> \* MERGEFORMAT </w:instrText>
      </w:r>
      <w:r w:rsidR="00A90F1F" w:rsidRPr="00C66C24">
        <w:rPr>
          <w:szCs w:val="22"/>
        </w:rPr>
      </w:r>
      <w:r w:rsidR="00A90F1F" w:rsidRPr="00C66C24">
        <w:rPr>
          <w:szCs w:val="22"/>
        </w:rPr>
        <w:fldChar w:fldCharType="separate"/>
      </w:r>
      <w:r w:rsidR="003E409D" w:rsidRPr="00C66C24">
        <w:rPr>
          <w:szCs w:val="22"/>
        </w:rPr>
        <w:t xml:space="preserve">Figure </w:t>
      </w:r>
      <w:r w:rsidR="003E409D" w:rsidRPr="00C66C24">
        <w:rPr>
          <w:noProof/>
          <w:szCs w:val="22"/>
        </w:rPr>
        <w:t>2.44</w:t>
      </w:r>
      <w:r w:rsidR="00A90F1F" w:rsidRPr="00C66C24">
        <w:rPr>
          <w:szCs w:val="22"/>
        </w:rPr>
        <w:fldChar w:fldCharType="end"/>
      </w:r>
      <w:r w:rsidRPr="00C66C24">
        <w:t>). Subregions with largest areas of collision index decrease are Macaronesia (78%), Bay of Biscay</w:t>
      </w:r>
      <w:r w:rsidR="002379B4" w:rsidRPr="00C66C24">
        <w:t>,</w:t>
      </w:r>
      <w:r w:rsidRPr="00C66C24">
        <w:t xml:space="preserve"> Iberian Coast (61%), and Black Sea (59%).</w:t>
      </w:r>
    </w:p>
    <w:p w14:paraId="6799F3D8" w14:textId="77777777" w:rsidR="00736310" w:rsidRPr="00C66C24" w:rsidRDefault="00736310" w:rsidP="008C6A9C">
      <w:pPr>
        <w:keepNext/>
        <w:spacing w:after="0" w:line="257" w:lineRule="auto"/>
      </w:pPr>
      <w:r w:rsidRPr="00C66C24">
        <w:rPr>
          <w:noProof/>
        </w:rPr>
        <w:drawing>
          <wp:inline distT="0" distB="0" distL="0" distR="0" wp14:anchorId="5F1D29E4" wp14:editId="139913C1">
            <wp:extent cx="5391150" cy="2806681"/>
            <wp:effectExtent l="0" t="0" r="0" b="0"/>
            <wp:docPr id="811848853" name="Picture 811848853"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48853" name="Picture 3" descr="A graph of a number of people&#10;&#10;Description automatically generated with medium confidence"/>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435485" cy="2829762"/>
                    </a:xfrm>
                    <a:prstGeom prst="rect">
                      <a:avLst/>
                    </a:prstGeom>
                    <a:noFill/>
                  </pic:spPr>
                </pic:pic>
              </a:graphicData>
            </a:graphic>
          </wp:inline>
        </w:drawing>
      </w:r>
    </w:p>
    <w:p w14:paraId="182C91BE" w14:textId="19C7336C" w:rsidR="00736310" w:rsidRPr="00C66C24" w:rsidRDefault="00736310" w:rsidP="008C6A9C">
      <w:pPr>
        <w:pStyle w:val="Caption"/>
        <w:spacing w:after="0" w:line="257" w:lineRule="auto"/>
        <w:jc w:val="center"/>
        <w:rPr>
          <w:sz w:val="20"/>
          <w:szCs w:val="20"/>
        </w:rPr>
      </w:pPr>
      <w:bookmarkStart w:id="177" w:name="_Ref151123717"/>
      <w:r w:rsidRPr="00C66C24">
        <w:rPr>
          <w:sz w:val="20"/>
          <w:szCs w:val="20"/>
        </w:rPr>
        <w:t>Figure</w:t>
      </w:r>
      <w:r w:rsidR="0094502D" w:rsidRPr="00C66C24">
        <w:rPr>
          <w:sz w:val="20"/>
          <w:szCs w:val="20"/>
        </w:rPr>
        <w:t xml:space="preserv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44</w:t>
      </w:r>
      <w:r w:rsidR="00A81F61" w:rsidRPr="00C66C24">
        <w:rPr>
          <w:sz w:val="20"/>
          <w:szCs w:val="20"/>
        </w:rPr>
        <w:fldChar w:fldCharType="end"/>
      </w:r>
      <w:bookmarkEnd w:id="177"/>
      <w:r w:rsidRPr="00C66C24">
        <w:rPr>
          <w:sz w:val="20"/>
          <w:szCs w:val="20"/>
        </w:rPr>
        <w:t xml:space="preserve"> </w:t>
      </w:r>
      <w:r w:rsidR="006B056C" w:rsidRPr="00C66C24">
        <w:rPr>
          <w:sz w:val="20"/>
          <w:szCs w:val="20"/>
        </w:rPr>
        <w:t>C</w:t>
      </w:r>
      <w:r w:rsidRPr="00C66C24">
        <w:rPr>
          <w:sz w:val="20"/>
          <w:szCs w:val="20"/>
        </w:rPr>
        <w:t xml:space="preserve">ollision risk </w:t>
      </w:r>
      <w:r w:rsidR="006B056C" w:rsidRPr="00C66C24">
        <w:rPr>
          <w:sz w:val="20"/>
          <w:szCs w:val="20"/>
        </w:rPr>
        <w:t>(</w:t>
      </w:r>
      <w:r w:rsidR="00A42099" w:rsidRPr="00C66C24">
        <w:rPr>
          <w:sz w:val="20"/>
          <w:szCs w:val="20"/>
        </w:rPr>
        <w:t>% of area</w:t>
      </w:r>
      <w:r w:rsidR="006B056C" w:rsidRPr="00C66C24">
        <w:rPr>
          <w:sz w:val="20"/>
          <w:szCs w:val="20"/>
        </w:rPr>
        <w:t xml:space="preserve">) </w:t>
      </w:r>
      <w:r w:rsidRPr="00C66C24">
        <w:rPr>
          <w:sz w:val="20"/>
          <w:szCs w:val="20"/>
        </w:rPr>
        <w:t>for whales and turtles between 2017 and 2022, by marine subregion</w:t>
      </w:r>
      <w:r w:rsidR="00E32811" w:rsidRPr="00C66C24">
        <w:rPr>
          <w:rStyle w:val="FootnoteReference"/>
        </w:rPr>
        <w:footnoteReference w:id="27"/>
      </w:r>
      <w:r w:rsidR="004A7CA6" w:rsidRPr="00C66C24">
        <w:rPr>
          <w:sz w:val="20"/>
          <w:szCs w:val="20"/>
        </w:rPr>
        <w:t>.</w:t>
      </w:r>
    </w:p>
    <w:p w14:paraId="7CDE466D" w14:textId="5C2B2A89" w:rsidR="00CB48E3" w:rsidRPr="00C66C24" w:rsidRDefault="004A7CA6" w:rsidP="003E409D">
      <w:pPr>
        <w:spacing w:before="0" w:after="120" w:line="257" w:lineRule="auto"/>
        <w:jc w:val="center"/>
      </w:pPr>
      <w:r w:rsidRPr="00C66C24">
        <w:rPr>
          <w:sz w:val="20"/>
          <w:szCs w:val="20"/>
        </w:rPr>
        <w:t xml:space="preserve">Source: </w:t>
      </w:r>
      <w:proofErr w:type="spellStart"/>
      <w:r w:rsidR="00931DA1" w:rsidRPr="00C66C24">
        <w:rPr>
          <w:sz w:val="20"/>
          <w:szCs w:val="20"/>
        </w:rPr>
        <w:t>Aquamaps</w:t>
      </w:r>
      <w:proofErr w:type="spellEnd"/>
      <w:r w:rsidR="00931DA1" w:rsidRPr="00C66C24">
        <w:rPr>
          <w:sz w:val="20"/>
          <w:szCs w:val="20"/>
        </w:rPr>
        <w:t>, EMODnet</w:t>
      </w:r>
      <w:r w:rsidR="00CB48E3" w:rsidRPr="00C66C24">
        <w:rPr>
          <w:sz w:val="20"/>
          <w:szCs w:val="20"/>
        </w:rPr>
        <w:t>.</w:t>
      </w:r>
    </w:p>
    <w:p w14:paraId="1BD00779" w14:textId="683B8255" w:rsidR="00736310" w:rsidRPr="00C66C24" w:rsidRDefault="00736310" w:rsidP="008C6A9C">
      <w:pPr>
        <w:spacing w:before="0" w:after="0" w:line="257" w:lineRule="auto"/>
      </w:pPr>
      <w:r w:rsidRPr="00C66C24">
        <w:t>There are hotspot areas with significant increase of collision risk between 2017 and 2022 (</w:t>
      </w:r>
      <w:r w:rsidR="000D5AF7" w:rsidRPr="00C66C24">
        <w:rPr>
          <w:szCs w:val="22"/>
        </w:rPr>
        <w:fldChar w:fldCharType="begin"/>
      </w:r>
      <w:r w:rsidR="000D5AF7" w:rsidRPr="00C66C24">
        <w:rPr>
          <w:szCs w:val="22"/>
        </w:rPr>
        <w:instrText xml:space="preserve"> REF Map_38 \h </w:instrText>
      </w:r>
      <w:r w:rsidR="00317715" w:rsidRPr="00C66C24">
        <w:rPr>
          <w:szCs w:val="22"/>
        </w:rPr>
        <w:instrText xml:space="preserve"> \* MERGEFORMAT </w:instrText>
      </w:r>
      <w:r w:rsidR="000D5AF7" w:rsidRPr="00C66C24">
        <w:rPr>
          <w:szCs w:val="22"/>
        </w:rPr>
      </w:r>
      <w:r w:rsidR="000D5AF7" w:rsidRPr="00C66C24">
        <w:rPr>
          <w:szCs w:val="22"/>
        </w:rPr>
        <w:fldChar w:fldCharType="separate"/>
      </w:r>
      <w:r w:rsidR="001E216B" w:rsidRPr="00C66C24">
        <w:t>Map 2.9</w:t>
      </w:r>
      <w:r w:rsidR="000D5AF7" w:rsidRPr="00C66C24">
        <w:rPr>
          <w:szCs w:val="22"/>
        </w:rPr>
        <w:fldChar w:fldCharType="end"/>
      </w:r>
      <w:r w:rsidR="00DC00CD" w:rsidRPr="00C66C24">
        <w:rPr>
          <w:szCs w:val="22"/>
        </w:rPr>
        <w:t>)</w:t>
      </w:r>
      <w:r w:rsidR="00145AEB" w:rsidRPr="00C66C24">
        <w:t xml:space="preserve">. </w:t>
      </w:r>
      <w:r w:rsidR="00F75506" w:rsidRPr="00C66C24">
        <w:t xml:space="preserve">These areas are </w:t>
      </w:r>
      <w:r w:rsidRPr="00C66C24">
        <w:t>Greater North Sea (and Norway coast) and Bay of Biscay with increase of collision index, wider area around Gibraltar and East Mediterranean.</w:t>
      </w:r>
      <w:r w:rsidR="001E216B" w:rsidRPr="00C66C24">
        <w:t xml:space="preserve"> </w:t>
      </w:r>
      <w:r w:rsidRPr="00C66C24">
        <w:t xml:space="preserve">On the other hand, decrease in collision risk is noticeable </w:t>
      </w:r>
      <w:r w:rsidR="00E4720F" w:rsidRPr="00C66C24">
        <w:t xml:space="preserve">on the </w:t>
      </w:r>
      <w:r w:rsidRPr="00C66C24">
        <w:t>western coast of Iberian Peninsula, Celtic Seas, partially in Icelandic Sea (whales</w:t>
      </w:r>
      <w:r w:rsidR="00873C47" w:rsidRPr="00C66C24">
        <w:t xml:space="preserve"> only</w:t>
      </w:r>
      <w:r w:rsidRPr="00C66C24">
        <w:t>), parts of Adriatic Sea and Black Sea</w:t>
      </w:r>
      <w:r w:rsidR="00F14B7C" w:rsidRPr="00C66C24">
        <w:t xml:space="preserve"> (whales, turtles).</w:t>
      </w:r>
    </w:p>
    <w:p w14:paraId="6F6B4A08" w14:textId="77777777" w:rsidR="009B5FDC" w:rsidRPr="00C66C24" w:rsidRDefault="009B5FDC" w:rsidP="008C6A9C">
      <w:pPr>
        <w:spacing w:before="0" w:after="0" w:line="257" w:lineRule="auto"/>
      </w:pPr>
    </w:p>
    <w:p w14:paraId="1F1CE034" w14:textId="75952265" w:rsidR="00F47AC5" w:rsidRPr="00C66C24" w:rsidRDefault="00736310" w:rsidP="008C6A9C">
      <w:pPr>
        <w:keepNext/>
        <w:spacing w:before="0" w:after="0" w:line="257" w:lineRule="auto"/>
        <w:jc w:val="center"/>
      </w:pPr>
      <w:r w:rsidRPr="00C66C24">
        <w:rPr>
          <w:noProof/>
          <w:sz w:val="16"/>
        </w:rPr>
        <w:drawing>
          <wp:inline distT="0" distB="0" distL="0" distR="0" wp14:anchorId="317B257D" wp14:editId="179F23F2">
            <wp:extent cx="3600000" cy="4115330"/>
            <wp:effectExtent l="19050" t="19050" r="19685" b="19050"/>
            <wp:docPr id="693624557" name="Picture 693624557"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624557" name="Picture 1" descr="A map of the world&#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600000" cy="4115330"/>
                    </a:xfrm>
                    <a:prstGeom prst="rect">
                      <a:avLst/>
                    </a:prstGeom>
                    <a:ln>
                      <a:solidFill>
                        <a:schemeClr val="tx1"/>
                      </a:solidFill>
                    </a:ln>
                  </pic:spPr>
                </pic:pic>
              </a:graphicData>
            </a:graphic>
          </wp:inline>
        </w:drawing>
      </w:r>
    </w:p>
    <w:p w14:paraId="16BB5C51" w14:textId="7E647D22" w:rsidR="00736310" w:rsidRPr="00C66C24" w:rsidRDefault="00F47AC5" w:rsidP="008C6A9C">
      <w:pPr>
        <w:pStyle w:val="Caption"/>
        <w:spacing w:after="0" w:line="257" w:lineRule="auto"/>
        <w:jc w:val="center"/>
        <w:rPr>
          <w:sz w:val="20"/>
          <w:szCs w:val="20"/>
        </w:rPr>
      </w:pPr>
      <w:bookmarkStart w:id="178" w:name="Map_38"/>
      <w:r w:rsidRPr="00C66C24">
        <w:rPr>
          <w:sz w:val="20"/>
          <w:szCs w:val="20"/>
        </w:rPr>
        <w:t xml:space="preserve">Map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00022F13" w:rsidRPr="00C66C24">
        <w:rPr>
          <w:noProof/>
          <w:sz w:val="20"/>
          <w:szCs w:val="20"/>
        </w:rPr>
        <w:t>2</w:t>
      </w:r>
      <w:r w:rsidRPr="00C66C24">
        <w:rPr>
          <w:sz w:val="20"/>
          <w:szCs w:val="20"/>
        </w:rPr>
        <w:fldChar w:fldCharType="end"/>
      </w:r>
      <w:r w:rsidRPr="00C66C24">
        <w:rPr>
          <w:sz w:val="20"/>
          <w:szCs w:val="20"/>
        </w:rPr>
        <w:t>.</w:t>
      </w:r>
      <w:r w:rsidRPr="00C66C24">
        <w:rPr>
          <w:sz w:val="20"/>
          <w:szCs w:val="20"/>
        </w:rPr>
        <w:fldChar w:fldCharType="begin"/>
      </w:r>
      <w:r w:rsidRPr="00C66C24">
        <w:rPr>
          <w:sz w:val="20"/>
          <w:szCs w:val="20"/>
        </w:rPr>
        <w:instrText xml:space="preserve"> SEQ Map \* ARABIC \s 1 </w:instrText>
      </w:r>
      <w:r w:rsidRPr="00C66C24">
        <w:rPr>
          <w:sz w:val="20"/>
          <w:szCs w:val="20"/>
        </w:rPr>
        <w:fldChar w:fldCharType="separate"/>
      </w:r>
      <w:r w:rsidR="001E216B" w:rsidRPr="00C66C24">
        <w:rPr>
          <w:noProof/>
          <w:sz w:val="20"/>
          <w:szCs w:val="20"/>
        </w:rPr>
        <w:t>9</w:t>
      </w:r>
      <w:r w:rsidRPr="00C66C24">
        <w:rPr>
          <w:sz w:val="20"/>
          <w:szCs w:val="20"/>
        </w:rPr>
        <w:fldChar w:fldCharType="end"/>
      </w:r>
      <w:bookmarkEnd w:id="178"/>
      <w:r w:rsidRPr="00C66C24">
        <w:rPr>
          <w:sz w:val="20"/>
          <w:szCs w:val="20"/>
        </w:rPr>
        <w:t xml:space="preserve"> Changes in collision risk index for whales between 2017 and 2022</w:t>
      </w:r>
    </w:p>
    <w:p w14:paraId="53EC6D19" w14:textId="4CBC0975" w:rsidR="00736310" w:rsidRPr="00C66C24" w:rsidRDefault="004A7CA6" w:rsidP="00D22930">
      <w:pPr>
        <w:spacing w:before="0" w:after="120" w:line="257" w:lineRule="auto"/>
        <w:jc w:val="center"/>
        <w:rPr>
          <w:sz w:val="20"/>
          <w:szCs w:val="20"/>
        </w:rPr>
      </w:pPr>
      <w:r w:rsidRPr="00C66C24">
        <w:rPr>
          <w:sz w:val="20"/>
          <w:szCs w:val="20"/>
        </w:rPr>
        <w:t xml:space="preserve">Source: </w:t>
      </w:r>
      <w:proofErr w:type="spellStart"/>
      <w:r w:rsidR="00E32811" w:rsidRPr="00C66C24">
        <w:rPr>
          <w:sz w:val="20"/>
          <w:szCs w:val="20"/>
        </w:rPr>
        <w:t>Aquamaps</w:t>
      </w:r>
      <w:proofErr w:type="spellEnd"/>
      <w:r w:rsidR="00E32811" w:rsidRPr="00C66C24">
        <w:rPr>
          <w:sz w:val="20"/>
          <w:szCs w:val="20"/>
        </w:rPr>
        <w:t>, EMODnet</w:t>
      </w:r>
      <w:r w:rsidR="00CB48E3" w:rsidRPr="00C66C24">
        <w:rPr>
          <w:sz w:val="20"/>
          <w:szCs w:val="20"/>
        </w:rPr>
        <w:t>.</w:t>
      </w:r>
    </w:p>
    <w:p w14:paraId="0AE1FF3E" w14:textId="617287E7" w:rsidR="00097E36" w:rsidRPr="00C66C24" w:rsidRDefault="00914111" w:rsidP="008C6A9C">
      <w:pPr>
        <w:spacing w:before="0" w:after="0" w:line="257" w:lineRule="auto"/>
      </w:pPr>
      <w:r w:rsidRPr="00C66C24">
        <w:t>According to the</w:t>
      </w:r>
      <w:r w:rsidR="00736310" w:rsidRPr="00C66C24">
        <w:t xml:space="preserve"> International Whaling Commission </w:t>
      </w:r>
      <w:r w:rsidR="00A75EA1" w:rsidRPr="00C66C24">
        <w:fldChar w:fldCharType="begin"/>
      </w:r>
      <w:r w:rsidR="001855E3" w:rsidRPr="00C66C24">
        <w:instrText xml:space="preserve"> ADDIN ZOTERO_ITEM CSL_CITATION {"citationID":"VzSlNGcH","properties":{"formattedCitation":"(IWC, Cates et al., 2017, pp. 2017\\uc0\\u8211{}2020)","plainCitation":"(IWC, Cates et al., 2017, pp. 2017–2020)","dontUpdate":true,"noteIndex":0},"citationItems":[{"id":52074,"uris":["http://zotero.org/groups/122386/items/PMFI6DVV"],"itemData":{"id":52074,"type":"report","publisher":"International Whaling Commission","title":"Strategic Plan to Mitigate the Impacts of Ship Strikes on Cetacean Populations: 2017-2020","URL":"https://www.researchgate.net/profile/Gregory-Silber-2/publication/332539367_Strategic_Plan_to_Mitigate_the_Impacts_of_Ship_Strikes_on_Cetacean_Populations_2017-2020/links/5cbada314585156cd7a4844f/Strategic-Plan-to-Mitigate-the-Impacts-of-Ship-Strikes-on-Cetacean-Populations-2017-2020.pdf","author":[{"literal":"IWC"}],"issued":{"date-parts":[["2017"]]}},"locator":"2017-2020"}],"schema":"https://github.com/citation-style-language/schema/raw/master/csl-citation.json"} </w:instrText>
      </w:r>
      <w:r w:rsidR="00A75EA1" w:rsidRPr="00C66C24">
        <w:fldChar w:fldCharType="separate"/>
      </w:r>
      <w:r w:rsidR="00A75EA1" w:rsidRPr="00C66C24">
        <w:rPr>
          <w:rFonts w:ascii="Calibri" w:hAnsi="Calibri" w:cs="Calibri"/>
        </w:rPr>
        <w:t>(Cates et al., 2017)</w:t>
      </w:r>
      <w:r w:rsidR="00A75EA1" w:rsidRPr="00C66C24">
        <w:fldChar w:fldCharType="end"/>
      </w:r>
      <w:r w:rsidRPr="00C66C24">
        <w:t>,</w:t>
      </w:r>
      <w:r w:rsidR="00736310" w:rsidRPr="00C66C24">
        <w:t xml:space="preserve"> high-risk areas for ship collisions </w:t>
      </w:r>
      <w:r w:rsidR="00DB45B5" w:rsidRPr="00C66C24">
        <w:t>in</w:t>
      </w:r>
      <w:r w:rsidR="00736310" w:rsidRPr="00C66C24">
        <w:t xml:space="preserve"> Europe are </w:t>
      </w:r>
      <w:r w:rsidR="00B518F0" w:rsidRPr="00C66C24">
        <w:t xml:space="preserve">the </w:t>
      </w:r>
      <w:r w:rsidR="00736310" w:rsidRPr="00C66C24">
        <w:t xml:space="preserve">Canary Islands (especially for sperm whale), Strait of Gibraltar (for fin whale and sperm whale), Balearic Islands (for fin whale and sperm whale), Eastern </w:t>
      </w:r>
      <w:proofErr w:type="spellStart"/>
      <w:r w:rsidR="00736310" w:rsidRPr="00C66C24">
        <w:t>Alboran</w:t>
      </w:r>
      <w:proofErr w:type="spellEnd"/>
      <w:r w:rsidR="00736310" w:rsidRPr="00C66C24">
        <w:t xml:space="preserve"> Sea (for fin whale and sperm whale)</w:t>
      </w:r>
      <w:r w:rsidR="00D50E99" w:rsidRPr="00C66C24">
        <w:t>,</w:t>
      </w:r>
      <w:r w:rsidR="00736310" w:rsidRPr="00C66C24">
        <w:t xml:space="preserve"> and Hellenic Trench (for sperm whales). </w:t>
      </w:r>
    </w:p>
    <w:p w14:paraId="5DC660BE" w14:textId="6D378186" w:rsidR="00736310" w:rsidRPr="00C66C24" w:rsidRDefault="00736310" w:rsidP="008C6A9C">
      <w:pPr>
        <w:spacing w:before="0" w:after="0" w:line="257" w:lineRule="auto"/>
      </w:pPr>
      <w:r w:rsidRPr="00C66C24">
        <w:t xml:space="preserve">There is a clear increasing trend with higher collision risk index values in Natura 2000 areas </w:t>
      </w:r>
      <w:r w:rsidRPr="00C66C24">
        <w:rPr>
          <w:szCs w:val="22"/>
        </w:rPr>
        <w:t>(</w:t>
      </w:r>
      <w:r w:rsidR="00C00627" w:rsidRPr="00C66C24">
        <w:rPr>
          <w:szCs w:val="22"/>
        </w:rPr>
        <w:fldChar w:fldCharType="begin"/>
      </w:r>
      <w:r w:rsidR="00C00627" w:rsidRPr="00C66C24">
        <w:rPr>
          <w:szCs w:val="22"/>
        </w:rPr>
        <w:instrText xml:space="preserve"> REF _Ref151123761 \h </w:instrText>
      </w:r>
      <w:r w:rsidR="002650DE" w:rsidRPr="00C66C24">
        <w:rPr>
          <w:szCs w:val="22"/>
        </w:rPr>
        <w:instrText xml:space="preserve"> \* MERGEFORMAT </w:instrText>
      </w:r>
      <w:r w:rsidR="00C00627" w:rsidRPr="00C66C24">
        <w:rPr>
          <w:szCs w:val="22"/>
        </w:rPr>
      </w:r>
      <w:r w:rsidR="00C00627" w:rsidRPr="00C66C24">
        <w:rPr>
          <w:szCs w:val="22"/>
        </w:rPr>
        <w:fldChar w:fldCharType="separate"/>
      </w:r>
      <w:r w:rsidR="00D22930" w:rsidRPr="00C66C24">
        <w:rPr>
          <w:szCs w:val="22"/>
        </w:rPr>
        <w:t xml:space="preserve">Figure </w:t>
      </w:r>
      <w:r w:rsidR="00D22930" w:rsidRPr="00C66C24">
        <w:rPr>
          <w:noProof/>
          <w:szCs w:val="22"/>
        </w:rPr>
        <w:t>2.45</w:t>
      </w:r>
      <w:r w:rsidR="00C00627" w:rsidRPr="00C66C24">
        <w:rPr>
          <w:szCs w:val="22"/>
        </w:rPr>
        <w:fldChar w:fldCharType="end"/>
      </w:r>
      <w:r w:rsidRPr="00C66C24">
        <w:t xml:space="preserve">) in all marine regions. Natura 2000 sites can be designated in near-shore areas, as well as intersect with high intensity shipping lanes. </w:t>
      </w:r>
    </w:p>
    <w:p w14:paraId="1E7A31D1" w14:textId="77777777" w:rsidR="00736310" w:rsidRPr="00C66C24" w:rsidRDefault="00736310" w:rsidP="008C6A9C">
      <w:pPr>
        <w:spacing w:before="120" w:after="0" w:line="257" w:lineRule="auto"/>
      </w:pPr>
    </w:p>
    <w:p w14:paraId="50D5DBC4" w14:textId="77777777" w:rsidR="00736310" w:rsidRPr="00C66C24" w:rsidRDefault="00736310" w:rsidP="008C6A9C">
      <w:pPr>
        <w:keepNext/>
        <w:spacing w:after="0" w:line="257" w:lineRule="auto"/>
      </w:pPr>
      <w:r w:rsidRPr="00C66C24">
        <w:rPr>
          <w:noProof/>
        </w:rPr>
        <w:drawing>
          <wp:inline distT="0" distB="0" distL="0" distR="0" wp14:anchorId="46C475E4" wp14:editId="79EB7854">
            <wp:extent cx="5403152" cy="2990850"/>
            <wp:effectExtent l="0" t="0" r="7620" b="0"/>
            <wp:docPr id="1982594996" name="Picture 1982594996" descr="A graph of blue and white vertical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94996" name="Picture 1982594996" descr="A graph of blue and white vertical lines&#10;&#10;Description automatically generated"/>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411796" cy="2995635"/>
                    </a:xfrm>
                    <a:prstGeom prst="rect">
                      <a:avLst/>
                    </a:prstGeom>
                    <a:noFill/>
                  </pic:spPr>
                </pic:pic>
              </a:graphicData>
            </a:graphic>
          </wp:inline>
        </w:drawing>
      </w:r>
    </w:p>
    <w:p w14:paraId="375CDAED" w14:textId="529DAD43" w:rsidR="00736310" w:rsidRPr="00C66C24" w:rsidRDefault="00736310" w:rsidP="008C6A9C">
      <w:pPr>
        <w:pStyle w:val="Caption"/>
        <w:spacing w:after="0" w:line="257" w:lineRule="auto"/>
        <w:jc w:val="center"/>
        <w:rPr>
          <w:sz w:val="20"/>
          <w:szCs w:val="20"/>
        </w:rPr>
      </w:pPr>
      <w:bookmarkStart w:id="179" w:name="_Ref151123761"/>
      <w:bookmarkStart w:id="180" w:name="_Ref40261802"/>
      <w:r w:rsidRPr="00C66C24">
        <w:rPr>
          <w:sz w:val="20"/>
          <w:szCs w:val="20"/>
        </w:rPr>
        <w:t>Figure</w:t>
      </w:r>
      <w:r w:rsidR="009F72DE" w:rsidRPr="00C66C24">
        <w:rPr>
          <w:sz w:val="20"/>
          <w:szCs w:val="20"/>
        </w:rPr>
        <w:t xml:space="preserv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45</w:t>
      </w:r>
      <w:r w:rsidR="00A81F61" w:rsidRPr="00C66C24">
        <w:rPr>
          <w:sz w:val="20"/>
          <w:szCs w:val="20"/>
        </w:rPr>
        <w:fldChar w:fldCharType="end"/>
      </w:r>
      <w:bookmarkEnd w:id="179"/>
      <w:r w:rsidRPr="00C66C24">
        <w:rPr>
          <w:sz w:val="20"/>
          <w:szCs w:val="20"/>
        </w:rPr>
        <w:t xml:space="preserve"> Mean whales collision risk index inside Natura 2000 areas in 2017-2022 period, by marine subregion</w:t>
      </w:r>
      <w:r w:rsidR="00931DA1" w:rsidRPr="00C66C24">
        <w:rPr>
          <w:rStyle w:val="FootnoteReference"/>
        </w:rPr>
        <w:footnoteReference w:id="28"/>
      </w:r>
      <w:r w:rsidR="007252E4" w:rsidRPr="00C66C24">
        <w:rPr>
          <w:sz w:val="20"/>
          <w:szCs w:val="20"/>
        </w:rPr>
        <w:t>.</w:t>
      </w:r>
    </w:p>
    <w:p w14:paraId="5CA8B5CF" w14:textId="43084EB1" w:rsidR="008B3A19" w:rsidRPr="00C66C24" w:rsidRDefault="008B3A19" w:rsidP="008C6A9C">
      <w:pPr>
        <w:spacing w:before="0" w:after="0" w:line="257" w:lineRule="auto"/>
        <w:jc w:val="center"/>
        <w:rPr>
          <w:sz w:val="20"/>
          <w:szCs w:val="20"/>
        </w:rPr>
      </w:pPr>
      <w:r w:rsidRPr="00C66C24">
        <w:rPr>
          <w:sz w:val="20"/>
          <w:szCs w:val="20"/>
        </w:rPr>
        <w:t xml:space="preserve">Source: </w:t>
      </w:r>
      <w:proofErr w:type="spellStart"/>
      <w:r w:rsidR="00931DA1" w:rsidRPr="00C66C24">
        <w:rPr>
          <w:sz w:val="20"/>
          <w:szCs w:val="20"/>
        </w:rPr>
        <w:t>Aquamaps</w:t>
      </w:r>
      <w:proofErr w:type="spellEnd"/>
      <w:r w:rsidR="00931DA1" w:rsidRPr="00C66C24">
        <w:rPr>
          <w:sz w:val="20"/>
          <w:szCs w:val="20"/>
        </w:rPr>
        <w:t>, EMODnet</w:t>
      </w:r>
      <w:r w:rsidR="00FE419D" w:rsidRPr="00C66C24">
        <w:rPr>
          <w:sz w:val="20"/>
          <w:szCs w:val="20"/>
        </w:rPr>
        <w:t>.</w:t>
      </w:r>
    </w:p>
    <w:p w14:paraId="4A74FEC8" w14:textId="1861D30F" w:rsidR="00736310" w:rsidRPr="00C66C24" w:rsidRDefault="00CD63EF" w:rsidP="006119EA">
      <w:pPr>
        <w:spacing w:before="0" w:after="0" w:line="257" w:lineRule="auto"/>
      </w:pPr>
      <w:r w:rsidRPr="00C66C24">
        <w:t>23 red-listed cetacean species</w:t>
      </w:r>
      <w:r w:rsidR="000E1A1E" w:rsidRPr="00C66C24">
        <w:rPr>
          <w:rStyle w:val="FootnoteReference"/>
        </w:rPr>
        <w:footnoteReference w:id="29"/>
      </w:r>
      <w:r w:rsidRPr="00C66C24">
        <w:t xml:space="preserve"> are considered, with 19 of these being recognised as protected or important species within Natura 2000 areas. Some of the latter are present in Natura 2000 sites displaying high mean collision indices.</w:t>
      </w:r>
      <w:r w:rsidR="00A01706" w:rsidRPr="00C66C24">
        <w:t xml:space="preserve"> </w:t>
      </w:r>
    </w:p>
    <w:p w14:paraId="055F1341" w14:textId="4B488064" w:rsidR="00736310" w:rsidRPr="00C66C24" w:rsidRDefault="00736310" w:rsidP="006119EA">
      <w:pPr>
        <w:spacing w:before="0" w:after="0" w:line="257" w:lineRule="auto"/>
      </w:pPr>
      <w:r w:rsidRPr="00C66C24">
        <w:t xml:space="preserve">Maritime transport is </w:t>
      </w:r>
      <w:r w:rsidR="008D1BB3" w:rsidRPr="00C66C24">
        <w:t xml:space="preserve">assessed </w:t>
      </w:r>
      <w:r w:rsidR="00B0420B" w:rsidRPr="00C66C24">
        <w:t xml:space="preserve">as </w:t>
      </w:r>
      <w:r w:rsidRPr="00C66C24">
        <w:t>hav</w:t>
      </w:r>
      <w:r w:rsidR="00B0420B" w:rsidRPr="00C66C24">
        <w:t>ing</w:t>
      </w:r>
      <w:r w:rsidRPr="00C66C24">
        <w:t xml:space="preserve"> an important impact on red-list species within Natura 2000 sites in marine regions (</w:t>
      </w:r>
      <w:r w:rsidR="006D400E" w:rsidRPr="00C66C24">
        <w:fldChar w:fldCharType="begin"/>
      </w:r>
      <w:r w:rsidR="006D400E" w:rsidRPr="00C66C24">
        <w:rPr>
          <w:szCs w:val="22"/>
        </w:rPr>
        <w:instrText xml:space="preserve"> REF _Ref151123798 \h </w:instrText>
      </w:r>
      <w:r w:rsidR="006C4CF1" w:rsidRPr="00C66C24">
        <w:rPr>
          <w:szCs w:val="22"/>
        </w:rPr>
        <w:instrText xml:space="preserve"> \* MERGEFORMAT </w:instrText>
      </w:r>
      <w:r w:rsidR="006D400E" w:rsidRPr="00C66C24">
        <w:fldChar w:fldCharType="separate"/>
      </w:r>
      <w:r w:rsidR="006119EA" w:rsidRPr="00C66C24">
        <w:t>Figure 2.46</w:t>
      </w:r>
      <w:r w:rsidR="006D400E" w:rsidRPr="00C66C24">
        <w:fldChar w:fldCharType="end"/>
      </w:r>
      <w:r w:rsidRPr="00C66C24">
        <w:t>). There are</w:t>
      </w:r>
      <w:r w:rsidRPr="00C66C24">
        <w:rPr>
          <w:szCs w:val="22"/>
        </w:rPr>
        <w:t xml:space="preserve"> </w:t>
      </w:r>
      <w:r w:rsidR="00314064" w:rsidRPr="00C66C24">
        <w:t>171</w:t>
      </w:r>
      <w:r w:rsidRPr="00C66C24">
        <w:t xml:space="preserve"> Natura 2000 sites where "shipping lanes, ports, marine constructions" are listed as a significant impact to red-list species. More than 80 sites are in the N</w:t>
      </w:r>
      <w:r w:rsidR="0017680C" w:rsidRPr="00C66C24">
        <w:t>orth</w:t>
      </w:r>
      <w:r w:rsidR="004C233B" w:rsidRPr="00C66C24">
        <w:rPr>
          <w:szCs w:val="22"/>
        </w:rPr>
        <w:t>-</w:t>
      </w:r>
      <w:r w:rsidR="00F4255E" w:rsidRPr="00C66C24">
        <w:t>East</w:t>
      </w:r>
      <w:r w:rsidR="0017680C" w:rsidRPr="00C66C24">
        <w:rPr>
          <w:szCs w:val="22"/>
        </w:rPr>
        <w:t xml:space="preserve"> </w:t>
      </w:r>
      <w:r w:rsidRPr="00C66C24">
        <w:t>A</w:t>
      </w:r>
      <w:r w:rsidR="0017680C" w:rsidRPr="00C66C24">
        <w:t>tlantic</w:t>
      </w:r>
      <w:r w:rsidRPr="00C66C24">
        <w:rPr>
          <w:szCs w:val="22"/>
        </w:rPr>
        <w:t xml:space="preserve"> </w:t>
      </w:r>
      <w:r w:rsidR="00CF7DD2" w:rsidRPr="00C66C24">
        <w:t>Ocean</w:t>
      </w:r>
      <w:r w:rsidRPr="00C66C24">
        <w:t>, 15 of these sites have high impact on 9 whale species. 32 Natura 2000 sites with 18 whale species are exposed to medium impact of shipping (</w:t>
      </w:r>
      <w:r w:rsidR="006D400E" w:rsidRPr="00C66C24">
        <w:rPr>
          <w:szCs w:val="22"/>
        </w:rPr>
        <w:fldChar w:fldCharType="begin"/>
      </w:r>
      <w:r w:rsidR="006D400E" w:rsidRPr="00C66C24">
        <w:rPr>
          <w:szCs w:val="22"/>
        </w:rPr>
        <w:instrText xml:space="preserve"> REF _Ref151123798 \h </w:instrText>
      </w:r>
      <w:r w:rsidR="006C4CF1" w:rsidRPr="00C66C24">
        <w:rPr>
          <w:szCs w:val="22"/>
        </w:rPr>
        <w:instrText xml:space="preserve"> \* MERGEFORMAT </w:instrText>
      </w:r>
      <w:r w:rsidR="006D400E" w:rsidRPr="00C66C24">
        <w:rPr>
          <w:szCs w:val="22"/>
        </w:rPr>
      </w:r>
      <w:r w:rsidR="006D400E" w:rsidRPr="00C66C24">
        <w:rPr>
          <w:szCs w:val="22"/>
        </w:rPr>
        <w:fldChar w:fldCharType="separate"/>
      </w:r>
      <w:r w:rsidR="006119EA" w:rsidRPr="00C66C24">
        <w:t>Figure 2.46</w:t>
      </w:r>
      <w:r w:rsidR="006D400E" w:rsidRPr="00C66C24">
        <w:rPr>
          <w:szCs w:val="22"/>
        </w:rPr>
        <w:fldChar w:fldCharType="end"/>
      </w:r>
      <w:r w:rsidRPr="00C66C24">
        <w:t xml:space="preserve">, left). In the Mediterranean </w:t>
      </w:r>
      <w:r w:rsidR="007405FC" w:rsidRPr="00C66C24">
        <w:t>S</w:t>
      </w:r>
      <w:r w:rsidRPr="00C66C24">
        <w:t xml:space="preserve">ea, there are 8 Natura 2000 sites exposed to high impact, with 8 whale species present at these sites. </w:t>
      </w:r>
    </w:p>
    <w:p w14:paraId="2B725ADD" w14:textId="3858E5F4" w:rsidR="00736310" w:rsidRPr="00C66C24" w:rsidRDefault="00736310" w:rsidP="006119EA">
      <w:pPr>
        <w:spacing w:before="0" w:after="0" w:line="257" w:lineRule="auto"/>
      </w:pPr>
      <w:r w:rsidRPr="00C66C24">
        <w:t xml:space="preserve">Turtles are more exposed to impacts in the Mediterranean Sea, where 28 Natura 2000 sites have shipping identified as a medium or high risk. In these areas, </w:t>
      </w:r>
      <w:r w:rsidR="00163104" w:rsidRPr="00C66C24">
        <w:t xml:space="preserve">four </w:t>
      </w:r>
      <w:r w:rsidRPr="00C66C24">
        <w:t>red-list turtle species are present (</w:t>
      </w:r>
      <w:r w:rsidR="006D400E" w:rsidRPr="00C66C24">
        <w:fldChar w:fldCharType="begin"/>
      </w:r>
      <w:r w:rsidR="006D400E" w:rsidRPr="00C66C24">
        <w:instrText xml:space="preserve"> REF _Ref151123798 \h </w:instrText>
      </w:r>
      <w:r w:rsidR="006C4CF1" w:rsidRPr="00C66C24">
        <w:instrText xml:space="preserve"> \* MERGEFORMAT </w:instrText>
      </w:r>
      <w:r w:rsidR="006D400E" w:rsidRPr="00C66C24">
        <w:fldChar w:fldCharType="separate"/>
      </w:r>
      <w:r w:rsidR="006119EA" w:rsidRPr="00C66C24">
        <w:t>Figure 2.46</w:t>
      </w:r>
      <w:r w:rsidR="006D400E" w:rsidRPr="00C66C24">
        <w:fldChar w:fldCharType="end"/>
      </w:r>
      <w:r w:rsidRPr="00C66C24">
        <w:t>, right</w:t>
      </w:r>
      <w:r w:rsidRPr="00C66C24">
        <w:rPr>
          <w:szCs w:val="22"/>
        </w:rPr>
        <w:t xml:space="preserve">). </w:t>
      </w:r>
    </w:p>
    <w:p w14:paraId="5D14973E" w14:textId="77777777" w:rsidR="00736310" w:rsidRPr="00C66C24" w:rsidRDefault="00736310" w:rsidP="008C6A9C">
      <w:pPr>
        <w:spacing w:before="120" w:line="257" w:lineRule="auto"/>
      </w:pPr>
    </w:p>
    <w:p w14:paraId="07653D59" w14:textId="77777777" w:rsidR="00F47AC5" w:rsidRPr="00C66C24" w:rsidRDefault="00F47AC5" w:rsidP="008C6A9C">
      <w:pPr>
        <w:keepNext/>
        <w:spacing w:line="257" w:lineRule="auto"/>
      </w:pPr>
      <w:r w:rsidRPr="00C66C24">
        <w:rPr>
          <w:noProof/>
        </w:rPr>
        <w:drawing>
          <wp:inline distT="0" distB="0" distL="0" distR="0" wp14:anchorId="0B68B12E" wp14:editId="3E55D24C">
            <wp:extent cx="5400040" cy="1635125"/>
            <wp:effectExtent l="0" t="0" r="0" b="0"/>
            <wp:docPr id="2106174929" name="Picture 210617492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74929" name="Picture 1" descr="A screenshot of a graph&#10;&#10;Description automatically generated"/>
                    <pic:cNvPicPr/>
                  </pic:nvPicPr>
                  <pic:blipFill>
                    <a:blip r:embed="rId80"/>
                    <a:stretch>
                      <a:fillRect/>
                    </a:stretch>
                  </pic:blipFill>
                  <pic:spPr>
                    <a:xfrm>
                      <a:off x="0" y="0"/>
                      <a:ext cx="5400040" cy="1635125"/>
                    </a:xfrm>
                    <a:prstGeom prst="rect">
                      <a:avLst/>
                    </a:prstGeom>
                  </pic:spPr>
                </pic:pic>
              </a:graphicData>
            </a:graphic>
          </wp:inline>
        </w:drawing>
      </w:r>
    </w:p>
    <w:p w14:paraId="79FAFFE2" w14:textId="661961E4" w:rsidR="00736310" w:rsidRPr="00C66C24" w:rsidRDefault="00F47AC5" w:rsidP="008C6A9C">
      <w:pPr>
        <w:pStyle w:val="Caption"/>
        <w:spacing w:after="0" w:line="257" w:lineRule="auto"/>
        <w:jc w:val="center"/>
        <w:rPr>
          <w:rStyle w:val="A21"/>
          <w:sz w:val="20"/>
          <w:szCs w:val="20"/>
        </w:rPr>
      </w:pPr>
      <w:bookmarkStart w:id="181" w:name="_Ref151123798"/>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46</w:t>
      </w:r>
      <w:r w:rsidR="00A81F61" w:rsidRPr="00C66C24">
        <w:rPr>
          <w:sz w:val="20"/>
          <w:szCs w:val="20"/>
        </w:rPr>
        <w:fldChar w:fldCharType="end"/>
      </w:r>
      <w:bookmarkEnd w:id="181"/>
      <w:r w:rsidRPr="00C66C24">
        <w:rPr>
          <w:sz w:val="20"/>
          <w:szCs w:val="20"/>
        </w:rPr>
        <w:t xml:space="preserve"> Natura 2000 sites with red-list whales (left) and turtles (right) species where "shipping lanes, ports, marine constructions" are an identified impact</w:t>
      </w:r>
      <w:r w:rsidR="004C233B" w:rsidRPr="00C66C24">
        <w:rPr>
          <w:sz w:val="20"/>
          <w:szCs w:val="20"/>
        </w:rPr>
        <w:t>.</w:t>
      </w:r>
    </w:p>
    <w:p w14:paraId="2D37838E" w14:textId="3F03FC58" w:rsidR="00736310" w:rsidRPr="00C66C24" w:rsidRDefault="00F47AC5" w:rsidP="008C6A9C">
      <w:pPr>
        <w:pStyle w:val="Caption"/>
        <w:keepNext/>
        <w:spacing w:after="0" w:line="257" w:lineRule="auto"/>
        <w:jc w:val="center"/>
        <w:rPr>
          <w:b w:val="0"/>
          <w:color w:val="auto"/>
          <w:sz w:val="20"/>
          <w:szCs w:val="20"/>
        </w:rPr>
      </w:pPr>
      <w:r w:rsidRPr="00C66C24">
        <w:rPr>
          <w:b w:val="0"/>
          <w:bCs/>
          <w:color w:val="auto"/>
          <w:sz w:val="20"/>
          <w:szCs w:val="20"/>
        </w:rPr>
        <w:t xml:space="preserve">Note: </w:t>
      </w:r>
      <w:r w:rsidR="00736310" w:rsidRPr="00C66C24">
        <w:rPr>
          <w:b w:val="0"/>
          <w:bCs/>
          <w:color w:val="auto"/>
          <w:sz w:val="20"/>
          <w:szCs w:val="20"/>
        </w:rPr>
        <w:t xml:space="preserve">Number of sites and impact intensity classes. </w:t>
      </w:r>
      <w:r w:rsidR="00736310" w:rsidRPr="00C66C24">
        <w:rPr>
          <w:b w:val="0"/>
          <w:color w:val="auto"/>
          <w:sz w:val="20"/>
          <w:szCs w:val="20"/>
        </w:rPr>
        <w:t>Values inside bars represent number of species in impact intensity class.</w:t>
      </w:r>
    </w:p>
    <w:p w14:paraId="50DC1E41" w14:textId="6536B32E" w:rsidR="003354B6" w:rsidRPr="00C66C24" w:rsidRDefault="003354B6" w:rsidP="00EB6EF5">
      <w:pPr>
        <w:spacing w:before="0" w:after="120" w:line="257" w:lineRule="auto"/>
        <w:jc w:val="center"/>
        <w:rPr>
          <w:sz w:val="20"/>
          <w:szCs w:val="20"/>
        </w:rPr>
      </w:pPr>
      <w:r w:rsidRPr="00C66C24">
        <w:rPr>
          <w:sz w:val="20"/>
          <w:szCs w:val="20"/>
        </w:rPr>
        <w:t>Source</w:t>
      </w:r>
      <w:r w:rsidR="00C94E82" w:rsidRPr="00C66C24">
        <w:rPr>
          <w:sz w:val="20"/>
          <w:szCs w:val="20"/>
        </w:rPr>
        <w:t xml:space="preserve">: </w:t>
      </w:r>
      <w:proofErr w:type="spellStart"/>
      <w:r w:rsidR="00931DA1" w:rsidRPr="00C66C24">
        <w:rPr>
          <w:sz w:val="20"/>
          <w:szCs w:val="20"/>
        </w:rPr>
        <w:t>Aquamaps</w:t>
      </w:r>
      <w:proofErr w:type="spellEnd"/>
      <w:r w:rsidR="00931DA1" w:rsidRPr="00C66C24">
        <w:rPr>
          <w:sz w:val="20"/>
          <w:szCs w:val="20"/>
        </w:rPr>
        <w:t>, EMODnet</w:t>
      </w:r>
      <w:r w:rsidR="00FE419D" w:rsidRPr="00C66C24">
        <w:rPr>
          <w:sz w:val="20"/>
          <w:szCs w:val="20"/>
        </w:rPr>
        <w:t>.</w:t>
      </w:r>
    </w:p>
    <w:bookmarkEnd w:id="180"/>
    <w:p w14:paraId="5C54987D" w14:textId="23A14691" w:rsidR="00736310" w:rsidRPr="00C66C24" w:rsidRDefault="00736310" w:rsidP="001F2A7A">
      <w:pPr>
        <w:spacing w:before="0" w:after="120" w:line="257" w:lineRule="auto"/>
      </w:pPr>
      <w:r w:rsidRPr="00C66C24">
        <w:t xml:space="preserve">The overall speed of ships in Europe’s seas has </w:t>
      </w:r>
      <w:r w:rsidR="00E23B13" w:rsidRPr="00C66C24">
        <w:t xml:space="preserve">on average </w:t>
      </w:r>
      <w:r w:rsidRPr="00C66C24">
        <w:t>increased</w:t>
      </w:r>
      <w:r w:rsidR="00D21B82" w:rsidRPr="00C66C24">
        <w:t xml:space="preserve"> marginally</w:t>
      </w:r>
      <w:r w:rsidRPr="00C66C24">
        <w:t xml:space="preserve"> by 1% </w:t>
      </w:r>
      <w:r w:rsidRPr="00C66C24">
        <w:rPr>
          <w:szCs w:val="22"/>
        </w:rPr>
        <w:t xml:space="preserve">between 2017 and 2022 </w:t>
      </w:r>
      <w:r w:rsidR="001A1A29" w:rsidRPr="00C66C24">
        <w:rPr>
          <w:szCs w:val="22"/>
        </w:rPr>
        <w:fldChar w:fldCharType="begin"/>
      </w:r>
      <w:r w:rsidR="001855E3" w:rsidRPr="00C66C24">
        <w:rPr>
          <w:szCs w:val="22"/>
        </w:rPr>
        <w:instrText xml:space="preserve"> ADDIN ZOTERO_ITEM CSL_CITATION {"citationID":"a18e4d3tvfn","properties":{"formattedCitation":"(EMSA, 2023c)","plainCitation":"(EMSA, 2023c)","noteIndex":0},"citationItems":[{"id":59176,"uris":["http://zotero.org/groups/122386/items/77D9AP68"],"itemData":{"id":59176,"type":"webpage","abstract":"At the centre of the European maritime picture, EMSA has developed multiple maritime information systems over the two decades of its existence. These systems provide vital information to national authorities, industry, and all those working in maritime. Each one of EMSA’s systems uses core ...","language":"en-GB","title":"Central ship database","URL":"https://emsa.europa.eu/enhanced-central-ship-database.html","author":[{"family":"EMSA","given":""}],"issued":{"date-parts":[["2023"]]}}}],"schema":"https://github.com/citation-style-language/schema/raw/master/csl-citation.json"} </w:instrText>
      </w:r>
      <w:r w:rsidR="001A1A29" w:rsidRPr="00C66C24">
        <w:rPr>
          <w:szCs w:val="22"/>
        </w:rPr>
        <w:fldChar w:fldCharType="separate"/>
      </w:r>
      <w:r w:rsidR="001855E3" w:rsidRPr="00C66C24">
        <w:rPr>
          <w:rFonts w:ascii="Calibri" w:hAnsi="Calibri" w:cs="Calibri"/>
        </w:rPr>
        <w:t>(EMSA, 2023</w:t>
      </w:r>
      <w:r w:rsidR="007C166D">
        <w:rPr>
          <w:rFonts w:ascii="Calibri" w:hAnsi="Calibri" w:cs="Calibri"/>
        </w:rPr>
        <w:t>a</w:t>
      </w:r>
      <w:r w:rsidR="001855E3" w:rsidRPr="00C66C24">
        <w:rPr>
          <w:rFonts w:ascii="Calibri" w:hAnsi="Calibri" w:cs="Calibri"/>
        </w:rPr>
        <w:t>)</w:t>
      </w:r>
      <w:r w:rsidR="001A1A29" w:rsidRPr="00C66C24">
        <w:rPr>
          <w:szCs w:val="22"/>
        </w:rPr>
        <w:fldChar w:fldCharType="end"/>
      </w:r>
      <w:r w:rsidR="001A1A29" w:rsidRPr="00C66C24">
        <w:rPr>
          <w:szCs w:val="22"/>
        </w:rPr>
        <w:t>.</w:t>
      </w:r>
      <w:r w:rsidR="008D4980" w:rsidRPr="00C66C24">
        <w:rPr>
          <w:szCs w:val="22"/>
        </w:rPr>
        <w:t xml:space="preserve"> </w:t>
      </w:r>
      <w:r w:rsidRPr="00C66C24">
        <w:t xml:space="preserve">The impact on </w:t>
      </w:r>
      <w:r w:rsidR="00B843EC" w:rsidRPr="00C66C24">
        <w:t xml:space="preserve">the </w:t>
      </w:r>
      <w:r w:rsidRPr="00C66C24">
        <w:t xml:space="preserve">collision risk is </w:t>
      </w:r>
      <w:r w:rsidR="00B843EC" w:rsidRPr="00C66C24">
        <w:t xml:space="preserve">therefore </w:t>
      </w:r>
      <w:r w:rsidR="007D23E0" w:rsidRPr="00C66C24">
        <w:t>assessed as marginal</w:t>
      </w:r>
      <w:r w:rsidRPr="00C66C24">
        <w:t>.</w:t>
      </w:r>
    </w:p>
    <w:p w14:paraId="346ACE26" w14:textId="77777777" w:rsidR="00736310" w:rsidRPr="00C66C24" w:rsidRDefault="00736310" w:rsidP="008C6A9C">
      <w:pPr>
        <w:pStyle w:val="Heading3"/>
        <w:spacing w:line="257" w:lineRule="auto"/>
      </w:pPr>
      <w:bookmarkStart w:id="182" w:name="_Toc148005992"/>
      <w:bookmarkStart w:id="183" w:name="_Toc156316338"/>
      <w:bookmarkStart w:id="184" w:name="_Toc157762079"/>
      <w:r w:rsidRPr="00C66C24">
        <w:t>Physical disturbance of the seabed</w:t>
      </w:r>
      <w:bookmarkEnd w:id="182"/>
      <w:bookmarkEnd w:id="183"/>
      <w:bookmarkEnd w:id="184"/>
    </w:p>
    <w:p w14:paraId="16E0D990" w14:textId="59FC2A5F" w:rsidR="00736310" w:rsidRPr="00C66C24" w:rsidRDefault="00736310" w:rsidP="008C6A9C">
      <w:pPr>
        <w:spacing w:before="0" w:after="0" w:line="257" w:lineRule="auto"/>
        <w:rPr>
          <w:b/>
          <w:bCs/>
        </w:rPr>
      </w:pPr>
      <w:r w:rsidRPr="00C66C24">
        <w:rPr>
          <w:b/>
          <w:bCs/>
        </w:rPr>
        <w:t>Wake</w:t>
      </w:r>
      <w:r w:rsidR="001C3EC4" w:rsidRPr="00C66C24">
        <w:rPr>
          <w:b/>
          <w:bCs/>
        </w:rPr>
        <w:t>-</w:t>
      </w:r>
      <w:r w:rsidRPr="00C66C24">
        <w:rPr>
          <w:b/>
          <w:bCs/>
        </w:rPr>
        <w:t xml:space="preserve">induced habitat disturbance </w:t>
      </w:r>
      <w:r w:rsidR="00BE7BC1" w:rsidRPr="00C66C24">
        <w:rPr>
          <w:b/>
          <w:bCs/>
        </w:rPr>
        <w:t>–</w:t>
      </w:r>
      <w:r w:rsidRPr="00C66C24">
        <w:rPr>
          <w:b/>
          <w:bCs/>
        </w:rPr>
        <w:t xml:space="preserve"> turbidity</w:t>
      </w:r>
    </w:p>
    <w:p w14:paraId="5AC0AE38" w14:textId="7B6E5179" w:rsidR="00736310" w:rsidRPr="00C66C24" w:rsidRDefault="00736310" w:rsidP="00C84496">
      <w:pPr>
        <w:spacing w:before="0" w:after="120" w:line="257" w:lineRule="auto"/>
      </w:pPr>
      <w:r w:rsidRPr="00C66C24">
        <w:t xml:space="preserve">In the </w:t>
      </w:r>
      <w:r w:rsidR="00A810E1" w:rsidRPr="00C66C24">
        <w:t xml:space="preserve">Baltic Sea, </w:t>
      </w:r>
      <w:r w:rsidRPr="00C66C24">
        <w:t>Adriatic Sea, Greater North Sea, incl. the Kattegat and the English Channel marine subregions</w:t>
      </w:r>
      <w:r w:rsidR="00B82843" w:rsidRPr="00C66C24">
        <w:t>,</w:t>
      </w:r>
      <w:r w:rsidRPr="00C66C24">
        <w:t xml:space="preserve"> more than </w:t>
      </w:r>
      <w:r w:rsidR="000332FC" w:rsidRPr="00C66C24">
        <w:t>6 </w:t>
      </w:r>
      <w:r w:rsidRPr="00C66C24">
        <w:t>% of total area is impacted by ship-generated turbidity. These seas have a significant share of marine area impacted by high shipping traffic in areas not deeper than 30 metres. Nevertheless, most of the affected areas in the European Seas are subject to low pressure causing only minor impact to marine habitats.</w:t>
      </w:r>
    </w:p>
    <w:p w14:paraId="2CE8936E" w14:textId="77777777" w:rsidR="00736310" w:rsidRPr="00C66C24" w:rsidRDefault="00736310" w:rsidP="008C6A9C">
      <w:pPr>
        <w:spacing w:before="0" w:after="0" w:line="257" w:lineRule="auto"/>
        <w:rPr>
          <w:bCs/>
        </w:rPr>
      </w:pPr>
      <w:r w:rsidRPr="00C66C24">
        <w:rPr>
          <w:b/>
          <w:bCs/>
        </w:rPr>
        <w:t>Dredging</w:t>
      </w:r>
    </w:p>
    <w:p w14:paraId="11BB6926" w14:textId="1DEE763E" w:rsidR="005463A1" w:rsidRPr="00C66C24" w:rsidRDefault="00736310" w:rsidP="00C84496">
      <w:pPr>
        <w:spacing w:before="0" w:after="120" w:line="257" w:lineRule="auto"/>
      </w:pPr>
      <w:r w:rsidRPr="00C66C24">
        <w:t>In the past ten years</w:t>
      </w:r>
      <w:r w:rsidR="00F136C5" w:rsidRPr="00C66C24">
        <w:t>,</w:t>
      </w:r>
      <w:r w:rsidRPr="00C66C24">
        <w:t xml:space="preserve"> there </w:t>
      </w:r>
      <w:r w:rsidR="00F136C5" w:rsidRPr="00C66C24">
        <w:t>has been</w:t>
      </w:r>
      <w:r w:rsidRPr="00C66C24">
        <w:t xml:space="preserve"> more than 1700 dredging activities reported in Europe. Extracted amount of dredged material in that period exceeded 300 million tonnes. 90% of these activities are associated with maintenance and capital </w:t>
      </w:r>
      <w:r w:rsidRPr="00C66C24">
        <w:rPr>
          <w:color w:val="000000" w:themeColor="text1"/>
        </w:rPr>
        <w:t>dredging</w:t>
      </w:r>
      <w:r w:rsidR="00BE7BC1" w:rsidRPr="00C66C24">
        <w:rPr>
          <w:color w:val="000000" w:themeColor="text1"/>
        </w:rPr>
        <w:t xml:space="preserve"> </w:t>
      </w:r>
      <w:r w:rsidR="00814E95" w:rsidRPr="00C66C24">
        <w:rPr>
          <w:color w:val="000000" w:themeColor="text1"/>
        </w:rPr>
        <w:fldChar w:fldCharType="begin"/>
      </w:r>
      <w:r w:rsidR="001855E3" w:rsidRPr="00C66C24">
        <w:instrText xml:space="preserve"> ADDIN ZOTERO_ITEM CSL_CITATION {"citationID":"a1ck6aj599a","properties":{"formattedCitation":"(EMODnet, 2023)","plainCitation":"(EMODnet, 2023)","noteIndex":0},"citationItems":[{"id":57127,"uris":["http://zotero.org/groups/122386/items/TY9MIDPX"],"itemData":{"id":57127,"type":"dataset","abstract":"The dataset on dredging in the European waters was created in 2014 by AZTI for the European Marine Observation and Data Network (EMODnet). It is the result of the aggregation and harmonization of datasets provided by several sources from all across the European countries. It is available for viewing and download on EMODnet web portal (Human Activities, https://emodnet.ec.europa.eu/en/human-activities). The dataset contains points representing dredging sites in the following countries: Belgium, Bulgaria, Cyprus, Denmark, Estonia, Finland, France, Germany, Greece, Iceland, Ireland, Italy, Latvia, Lithuania, Malta, Norway, Poland, Portugal, Spain, Sweden, The Netherlands and United Kingdom. Where available, each point has the following attributes: Id (Identifier), Position Information (e.g.: Estimated, Original, Polygon centroid of dredging area, Polygon centroid of dredging polygon), Country, Sea basin, Sea, Extraction Area, Year (when data is for a time period, the first year of the period is indicated), Permitted Amount (m3), Permitted Amount (t), Extracted Amount (m3), Extracted Amount (t), Extraction Type (e.g.: Harbour dredging, Estuary dredging, Sea lane), Purpose (e.g.: Maintenance dredging, Capital dredging, Others), End Use (e.g.: Beach nourishment, Commercialization, Confined deposit, Construction material, Embankment, Filling material, Land deposit, Reuse, Sea disposal, Wetland restoration), Material type (e.g.: silt, sand, gravel), Notes, Link to Web Sources.In the 2023 update, extraction data until 2022 has been included.","publisher":"European Marine Observation and Data Network","title":"EMODnet Human activities, dredging","URL":"https://ows.emodnet-humanactivities.eu/geonetwork/srv/api/records/d3e86612-35a7-4c0f-a995-245062fd2792","author":[{"literal":"EMODnet"}],"issued":{"date-parts":[["2023"]]}}}],"schema":"https://github.com/citation-style-language/schema/raw/master/csl-citation.json"} </w:instrText>
      </w:r>
      <w:r w:rsidR="00814E95" w:rsidRPr="00C66C24">
        <w:rPr>
          <w:color w:val="000000" w:themeColor="text1"/>
        </w:rPr>
        <w:fldChar w:fldCharType="separate"/>
      </w:r>
      <w:r w:rsidR="001855E3" w:rsidRPr="00C66C24">
        <w:rPr>
          <w:rFonts w:ascii="Calibri" w:hAnsi="Calibri" w:cs="Calibri"/>
        </w:rPr>
        <w:t>(EMODnet, 2023)</w:t>
      </w:r>
      <w:r w:rsidR="00814E95" w:rsidRPr="00C66C24">
        <w:rPr>
          <w:color w:val="000000" w:themeColor="text1"/>
        </w:rPr>
        <w:fldChar w:fldCharType="end"/>
      </w:r>
      <w:r w:rsidRPr="00C66C24">
        <w:rPr>
          <w:color w:val="000000" w:themeColor="text1"/>
        </w:rPr>
        <w:t xml:space="preserve">. </w:t>
      </w:r>
      <w:r w:rsidRPr="00C66C24">
        <w:t>The purpose of maintenance dredging is to deepen or maintain navigable waterways or channels which are threatened to become silted with the passage of time, due to sedimented sand and mud, whereas the capital dredging is carried out to create a new harbour, berth, or waterway, or to deepen existing facilities to allow access to larger ships</w:t>
      </w:r>
      <w:r w:rsidR="005923AC" w:rsidRPr="00C66C24">
        <w:t xml:space="preserve"> </w:t>
      </w:r>
      <w:r w:rsidR="00FF5D03" w:rsidRPr="00C66C24">
        <w:fldChar w:fldCharType="begin"/>
      </w:r>
      <w:r w:rsidR="001855E3" w:rsidRPr="00C66C24">
        <w:instrText xml:space="preserve"> ADDIN ZOTERO_ITEM CSL_CITATION {"citationID":"a5809v2g4v","properties":{"formattedCitation":"\\uldash{(IADC, n.d.)}","plainCitation":"(IADC, n.d.)","dontUpdate":true,"noteIndex":0},"citationItems":[{"id":59192,"uris":["http://zotero.org/groups/122386/items/B9GHE24E"],"itemData":{"id":59192,"type":"webpage","abstract":"Dredging projects are often classified into three categories: capital, that is, for new infrastructure, maintenance, or remedial (environmental) projects.","container-title":"IADC Dredging","language":"en-US","title":"Types of dredging projects - Dredging projects are often classified into three categories: capital, that is, for new infrastructure, maintenance, or remedial (environmental) projects.","title-short":"Types of dredging projects - Dredging projects are often classified into three categories","URL":"https://iadc-dredging.com/subject/concept-contract-completion/types-dredging-projects/","author":[{"literal":"IADC"}],"accessed":{"date-parts":[["2024",1,18]]}}}],"schema":"https://github.com/citation-style-language/schema/raw/master/csl-citation.json"} </w:instrText>
      </w:r>
      <w:r w:rsidR="00FF5D03" w:rsidRPr="00C66C24">
        <w:fldChar w:fldCharType="separate"/>
      </w:r>
      <w:r w:rsidR="00FF5D03" w:rsidRPr="00C66C24">
        <w:t xml:space="preserve">(IADC, </w:t>
      </w:r>
      <w:r w:rsidR="005923AC" w:rsidRPr="00C66C24">
        <w:t>2023</w:t>
      </w:r>
      <w:r w:rsidR="00FF5D03" w:rsidRPr="00C66C24">
        <w:t>)</w:t>
      </w:r>
      <w:r w:rsidR="00FF5D03" w:rsidRPr="00C66C24">
        <w:fldChar w:fldCharType="end"/>
      </w:r>
      <w:r w:rsidRPr="00C66C24">
        <w:t>.</w:t>
      </w:r>
    </w:p>
    <w:p w14:paraId="70E1F52E" w14:textId="77777777" w:rsidR="00736310" w:rsidRPr="00C66C24" w:rsidRDefault="00736310" w:rsidP="008C6A9C">
      <w:pPr>
        <w:spacing w:before="0" w:after="0" w:line="257" w:lineRule="auto"/>
        <w:rPr>
          <w:bCs/>
        </w:rPr>
      </w:pPr>
      <w:r w:rsidRPr="00C66C24">
        <w:rPr>
          <w:b/>
          <w:bCs/>
        </w:rPr>
        <w:t>Anchoring</w:t>
      </w:r>
    </w:p>
    <w:p w14:paraId="36607084" w14:textId="60A79B0F" w:rsidR="0076201F" w:rsidRPr="00C66C24" w:rsidRDefault="0004131E" w:rsidP="00C84496">
      <w:pPr>
        <w:spacing w:before="0" w:after="120" w:line="257" w:lineRule="auto"/>
      </w:pPr>
      <w:r w:rsidRPr="00C66C24">
        <w:t>A</w:t>
      </w:r>
      <w:r w:rsidR="0029455A" w:rsidRPr="00C66C24">
        <w:t>n area of 11,475 km</w:t>
      </w:r>
      <w:r w:rsidR="0029455A" w:rsidRPr="00C66C24">
        <w:rPr>
          <w:vertAlign w:val="superscript"/>
        </w:rPr>
        <w:t>2</w:t>
      </w:r>
      <w:r w:rsidR="0029455A" w:rsidRPr="00C66C24">
        <w:t xml:space="preserve"> – representing less than 0.</w:t>
      </w:r>
      <w:r w:rsidR="00082D7F" w:rsidRPr="00C66C24">
        <w:t>6</w:t>
      </w:r>
      <w:r w:rsidR="0029455A" w:rsidRPr="00C66C24">
        <w:t xml:space="preserve"> % of Europe</w:t>
      </w:r>
      <w:r w:rsidR="00643C19" w:rsidRPr="00C66C24">
        <w:t>’s</w:t>
      </w:r>
      <w:r w:rsidR="0029455A" w:rsidRPr="00C66C24">
        <w:t xml:space="preserve"> seas </w:t>
      </w:r>
      <w:r w:rsidR="00A974B3" w:rsidRPr="00C66C24">
        <w:t xml:space="preserve">shallow areas, </w:t>
      </w:r>
      <w:r w:rsidR="00DB04B4" w:rsidRPr="00C66C24">
        <w:t>with depths not exceeding 110 meters</w:t>
      </w:r>
      <w:r w:rsidR="0029455A" w:rsidRPr="00C66C24">
        <w:t xml:space="preserve"> </w:t>
      </w:r>
      <w:r w:rsidR="00DB04B4" w:rsidRPr="00C66C24">
        <w:t>are</w:t>
      </w:r>
      <w:r w:rsidR="0029455A" w:rsidRPr="00C66C24">
        <w:t xml:space="preserve"> potentially affected by the pressure of anchoring. Nevertheless, since this pressure takes place within shallow near-shore area</w:t>
      </w:r>
      <w:r w:rsidR="007B6D7C" w:rsidRPr="00C66C24">
        <w:t>s</w:t>
      </w:r>
      <w:r w:rsidR="0029455A" w:rsidRPr="00C66C24">
        <w:t xml:space="preserve"> where biodiversity is rich, it can still negatively affect benthic habitats. The marine subregions with the largest estimated anchoring area</w:t>
      </w:r>
      <w:r w:rsidR="00ED5BED" w:rsidRPr="00C66C24">
        <w:t>s</w:t>
      </w:r>
      <w:r w:rsidR="0029455A" w:rsidRPr="00C66C24">
        <w:t xml:space="preserve"> are the Greater North Sea (3,074 km</w:t>
      </w:r>
      <w:r w:rsidR="0029455A" w:rsidRPr="00C66C24">
        <w:rPr>
          <w:vertAlign w:val="superscript"/>
        </w:rPr>
        <w:t>2</w:t>
      </w:r>
      <w:r w:rsidR="0029455A" w:rsidRPr="00C66C24">
        <w:t>), the Black Sea (1,492 km</w:t>
      </w:r>
      <w:r w:rsidR="0029455A" w:rsidRPr="00C66C24">
        <w:rPr>
          <w:vertAlign w:val="superscript"/>
        </w:rPr>
        <w:t>2</w:t>
      </w:r>
      <w:r w:rsidR="0029455A" w:rsidRPr="00C66C24">
        <w:t>)</w:t>
      </w:r>
      <w:r w:rsidR="00ED5BED" w:rsidRPr="00C66C24">
        <w:t>,</w:t>
      </w:r>
      <w:r w:rsidR="0029455A" w:rsidRPr="00C66C24">
        <w:t xml:space="preserve"> and </w:t>
      </w:r>
      <w:r w:rsidR="00ED5BED" w:rsidRPr="00C66C24">
        <w:t>the</w:t>
      </w:r>
      <w:r w:rsidR="0029455A" w:rsidRPr="00C66C24">
        <w:t xml:space="preserve"> Aegean-Levantine Sea </w:t>
      </w:r>
      <w:r w:rsidR="0029455A" w:rsidRPr="00C66C24">
        <w:rPr>
          <w:szCs w:val="22"/>
        </w:rPr>
        <w:t>(1,400 km</w:t>
      </w:r>
      <w:r w:rsidR="0029455A" w:rsidRPr="00C66C24">
        <w:rPr>
          <w:szCs w:val="22"/>
          <w:vertAlign w:val="superscript"/>
        </w:rPr>
        <w:t>2</w:t>
      </w:r>
      <w:r w:rsidR="0029455A" w:rsidRPr="00C66C24">
        <w:rPr>
          <w:szCs w:val="22"/>
        </w:rPr>
        <w:t>).</w:t>
      </w:r>
      <w:bookmarkStart w:id="185" w:name="_Hlk148532537"/>
    </w:p>
    <w:bookmarkEnd w:id="185"/>
    <w:p w14:paraId="6F03A4AC" w14:textId="77777777" w:rsidR="00736310" w:rsidRPr="00C66C24" w:rsidRDefault="00736310" w:rsidP="008C6A9C">
      <w:pPr>
        <w:spacing w:before="0" w:after="0" w:line="257" w:lineRule="auto"/>
      </w:pPr>
      <w:r w:rsidRPr="00C66C24">
        <w:rPr>
          <w:b/>
          <w:bCs/>
        </w:rPr>
        <w:t>Combined multiple pressures</w:t>
      </w:r>
    </w:p>
    <w:p w14:paraId="79D158F6" w14:textId="60884C91" w:rsidR="00736310" w:rsidRPr="00C66C24" w:rsidRDefault="00736310" w:rsidP="001F2A7A">
      <w:pPr>
        <w:spacing w:before="0" w:after="120" w:line="257" w:lineRule="auto"/>
      </w:pPr>
      <w:r w:rsidRPr="00C66C24">
        <w:t>Physical disturbance is caused by several human activities that affect the seabed either directly or indirectly. The following indicator shows the combined effects of maritime traffic, including port activities (e.g. expansion of port facilities, harbour dredging), ship lane maintenance by dredging, ship anchoring</w:t>
      </w:r>
      <w:r w:rsidR="00002E15" w:rsidRPr="00C66C24">
        <w:t>,</w:t>
      </w:r>
      <w:r w:rsidRPr="00C66C24">
        <w:t xml:space="preserve"> as well as shipping </w:t>
      </w:r>
      <w:r w:rsidR="00E6776D" w:rsidRPr="00C66C24">
        <w:t xml:space="preserve">related </w:t>
      </w:r>
      <w:r w:rsidRPr="00C66C24">
        <w:t xml:space="preserve">turbidity. Pressure and impacts layers, analysed in the sections above, have been combined into </w:t>
      </w:r>
      <w:r w:rsidR="0026286A" w:rsidRPr="00C66C24">
        <w:t>a</w:t>
      </w:r>
      <w:r w:rsidRPr="00C66C24">
        <w:t xml:space="preserve"> composite indicator where </w:t>
      </w:r>
      <w:r w:rsidR="006A5804" w:rsidRPr="00C66C24">
        <w:t xml:space="preserve">the </w:t>
      </w:r>
      <w:r w:rsidRPr="00C66C24">
        <w:t>intensity of the pressure</w:t>
      </w:r>
      <w:r w:rsidR="0026286A" w:rsidRPr="00C66C24">
        <w:t>s</w:t>
      </w:r>
      <w:r w:rsidRPr="00C66C24">
        <w:t xml:space="preserve"> has been estimated on </w:t>
      </w:r>
      <w:r w:rsidR="0026286A" w:rsidRPr="00C66C24">
        <w:t xml:space="preserve">a </w:t>
      </w:r>
      <w:r w:rsidRPr="00C66C24">
        <w:t xml:space="preserve">scale from 0.1 (Low pressure) to 1 (High pressure) </w:t>
      </w:r>
      <w:r w:rsidRPr="00C66C24">
        <w:rPr>
          <w:szCs w:val="22"/>
        </w:rPr>
        <w:t>(</w:t>
      </w:r>
      <w:r w:rsidR="004D6605" w:rsidRPr="00C66C24">
        <w:fldChar w:fldCharType="begin"/>
      </w:r>
      <w:r w:rsidR="004D6605" w:rsidRPr="00C66C24">
        <w:instrText xml:space="preserve"> REF Map_311 \h </w:instrText>
      </w:r>
      <w:r w:rsidR="004D6605" w:rsidRPr="00C66C24">
        <w:fldChar w:fldCharType="separate"/>
      </w:r>
      <w:r w:rsidR="00D56174" w:rsidRPr="00C66C24">
        <w:rPr>
          <w:sz w:val="20"/>
          <w:szCs w:val="20"/>
        </w:rPr>
        <w:t xml:space="preserve">Map </w:t>
      </w:r>
      <w:r w:rsidR="00D56174" w:rsidRPr="00C66C24">
        <w:rPr>
          <w:noProof/>
          <w:sz w:val="20"/>
          <w:szCs w:val="20"/>
        </w:rPr>
        <w:t>2</w:t>
      </w:r>
      <w:r w:rsidR="00D56174" w:rsidRPr="00C66C24">
        <w:rPr>
          <w:sz w:val="20"/>
          <w:szCs w:val="20"/>
        </w:rPr>
        <w:t>.</w:t>
      </w:r>
      <w:r w:rsidR="00D56174" w:rsidRPr="00C66C24">
        <w:rPr>
          <w:noProof/>
          <w:sz w:val="20"/>
          <w:szCs w:val="20"/>
        </w:rPr>
        <w:t>10</w:t>
      </w:r>
      <w:r w:rsidR="004D6605" w:rsidRPr="00C66C24">
        <w:fldChar w:fldCharType="end"/>
      </w:r>
      <w:r w:rsidRPr="00C66C24">
        <w:t xml:space="preserve">). </w:t>
      </w:r>
      <w:r w:rsidR="0050787D" w:rsidRPr="00C66C24">
        <w:t>The cumulative effect of these pressures is damaging the state of marine ecosystem.</w:t>
      </w:r>
    </w:p>
    <w:p w14:paraId="3C252DA7" w14:textId="7E870289" w:rsidR="00736310" w:rsidRPr="00C66C24" w:rsidRDefault="00F777B2" w:rsidP="008C6A9C">
      <w:pPr>
        <w:keepNext/>
        <w:spacing w:after="0" w:line="257" w:lineRule="auto"/>
        <w:jc w:val="center"/>
      </w:pPr>
      <w:r w:rsidRPr="00C66C24">
        <w:rPr>
          <w:noProof/>
        </w:rPr>
        <w:drawing>
          <wp:inline distT="0" distB="0" distL="0" distR="0" wp14:anchorId="1D47634C" wp14:editId="4F3214F4">
            <wp:extent cx="4050000" cy="3697200"/>
            <wp:effectExtent l="0" t="0" r="8255" b="0"/>
            <wp:docPr id="1537868186" name="Picture 1537868186" descr="A map of europe with blue water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68186" name="Picture 1537868186" descr="A map of europe with blue water and white text&#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4050000" cy="3697200"/>
                    </a:xfrm>
                    <a:prstGeom prst="rect">
                      <a:avLst/>
                    </a:prstGeom>
                  </pic:spPr>
                </pic:pic>
              </a:graphicData>
            </a:graphic>
          </wp:inline>
        </w:drawing>
      </w:r>
    </w:p>
    <w:p w14:paraId="79552C51" w14:textId="5812A0C2" w:rsidR="00736310" w:rsidRPr="00C66C24" w:rsidRDefault="00EC0AFA" w:rsidP="008C6A9C">
      <w:pPr>
        <w:pStyle w:val="Caption"/>
        <w:spacing w:after="0" w:line="257" w:lineRule="auto"/>
        <w:jc w:val="center"/>
        <w:rPr>
          <w:sz w:val="20"/>
          <w:szCs w:val="20"/>
        </w:rPr>
      </w:pPr>
      <w:bookmarkStart w:id="186" w:name="Map_311"/>
      <w:r w:rsidRPr="00C66C24">
        <w:rPr>
          <w:sz w:val="20"/>
          <w:szCs w:val="20"/>
        </w:rPr>
        <w:t xml:space="preserve">Map </w:t>
      </w:r>
      <w:r w:rsidR="00F47AC5" w:rsidRPr="00C66C24">
        <w:rPr>
          <w:sz w:val="20"/>
          <w:szCs w:val="20"/>
        </w:rPr>
        <w:fldChar w:fldCharType="begin"/>
      </w:r>
      <w:r w:rsidR="00F47AC5" w:rsidRPr="00C66C24">
        <w:rPr>
          <w:sz w:val="20"/>
          <w:szCs w:val="20"/>
        </w:rPr>
        <w:instrText xml:space="preserve"> STYLEREF 1 \s </w:instrText>
      </w:r>
      <w:r w:rsidR="00F47AC5" w:rsidRPr="00C66C24">
        <w:rPr>
          <w:sz w:val="20"/>
          <w:szCs w:val="20"/>
        </w:rPr>
        <w:fldChar w:fldCharType="separate"/>
      </w:r>
      <w:r w:rsidR="00ED46E1" w:rsidRPr="00C66C24">
        <w:rPr>
          <w:noProof/>
          <w:sz w:val="20"/>
          <w:szCs w:val="20"/>
        </w:rPr>
        <w:t>2</w:t>
      </w:r>
      <w:r w:rsidR="00F47AC5" w:rsidRPr="00C66C24">
        <w:rPr>
          <w:sz w:val="20"/>
          <w:szCs w:val="20"/>
        </w:rPr>
        <w:fldChar w:fldCharType="end"/>
      </w:r>
      <w:r w:rsidR="00F47AC5" w:rsidRPr="00C66C24">
        <w:rPr>
          <w:sz w:val="20"/>
          <w:szCs w:val="20"/>
        </w:rPr>
        <w:t>.</w:t>
      </w:r>
      <w:r w:rsidR="00F47AC5" w:rsidRPr="00C66C24">
        <w:rPr>
          <w:sz w:val="20"/>
          <w:szCs w:val="20"/>
        </w:rPr>
        <w:fldChar w:fldCharType="begin"/>
      </w:r>
      <w:r w:rsidR="00F47AC5" w:rsidRPr="00C66C24">
        <w:rPr>
          <w:sz w:val="20"/>
          <w:szCs w:val="20"/>
        </w:rPr>
        <w:instrText xml:space="preserve"> SEQ Map \* ARABIC \s 1 </w:instrText>
      </w:r>
      <w:r w:rsidR="00F47AC5" w:rsidRPr="00C66C24">
        <w:rPr>
          <w:sz w:val="20"/>
          <w:szCs w:val="20"/>
        </w:rPr>
        <w:fldChar w:fldCharType="separate"/>
      </w:r>
      <w:r w:rsidR="001F2A7A" w:rsidRPr="00C66C24">
        <w:rPr>
          <w:noProof/>
          <w:sz w:val="20"/>
          <w:szCs w:val="20"/>
        </w:rPr>
        <w:t>10</w:t>
      </w:r>
      <w:r w:rsidR="00F47AC5" w:rsidRPr="00C66C24">
        <w:rPr>
          <w:sz w:val="20"/>
          <w:szCs w:val="20"/>
        </w:rPr>
        <w:fldChar w:fldCharType="end"/>
      </w:r>
      <w:bookmarkEnd w:id="186"/>
      <w:r w:rsidR="00736310" w:rsidRPr="00C66C24">
        <w:rPr>
          <w:sz w:val="20"/>
          <w:szCs w:val="20"/>
        </w:rPr>
        <w:t xml:space="preserve"> Physical disturbance of seabed from maritime traffic</w:t>
      </w:r>
      <w:r w:rsidR="00736310" w:rsidRPr="00C66C24">
        <w:rPr>
          <w:noProof/>
          <w:sz w:val="20"/>
          <w:szCs w:val="20"/>
        </w:rPr>
        <w:t xml:space="preserve"> </w:t>
      </w:r>
      <w:r w:rsidR="003A54EA" w:rsidRPr="00C66C24">
        <w:rPr>
          <w:noProof/>
          <w:sz w:val="20"/>
          <w:szCs w:val="20"/>
        </w:rPr>
        <w:t>–</w:t>
      </w:r>
      <w:r w:rsidR="00736310" w:rsidRPr="00C66C24">
        <w:rPr>
          <w:noProof/>
          <w:sz w:val="20"/>
          <w:szCs w:val="20"/>
        </w:rPr>
        <w:t xml:space="preserve"> effects of </w:t>
      </w:r>
      <w:r w:rsidR="00F47AC5" w:rsidRPr="00C66C24">
        <w:rPr>
          <w:sz w:val="20"/>
          <w:szCs w:val="20"/>
        </w:rPr>
        <w:t>multiple</w:t>
      </w:r>
      <w:r w:rsidR="00736310" w:rsidRPr="00C66C24">
        <w:rPr>
          <w:noProof/>
          <w:sz w:val="20"/>
          <w:szCs w:val="20"/>
        </w:rPr>
        <w:t xml:space="preserve"> pressures (ports, dredging, anchoring and shipping-generated turbidity) to seabed</w:t>
      </w:r>
      <w:r w:rsidR="009F305E" w:rsidRPr="00C66C24">
        <w:rPr>
          <w:rStyle w:val="FootnoteReference"/>
        </w:rPr>
        <w:footnoteReference w:id="30"/>
      </w:r>
      <w:r w:rsidR="007055F6" w:rsidRPr="00C66C24">
        <w:rPr>
          <w:sz w:val="20"/>
          <w:szCs w:val="20"/>
        </w:rPr>
        <w:t>.</w:t>
      </w:r>
    </w:p>
    <w:p w14:paraId="539218A9" w14:textId="72E77EE4" w:rsidR="00736310" w:rsidRPr="00C66C24" w:rsidRDefault="00736310" w:rsidP="008C6A9C">
      <w:pPr>
        <w:keepNext/>
        <w:spacing w:before="0" w:after="120" w:line="257" w:lineRule="auto"/>
        <w:jc w:val="center"/>
        <w:rPr>
          <w:sz w:val="20"/>
          <w:szCs w:val="20"/>
        </w:rPr>
      </w:pPr>
      <w:r w:rsidRPr="00C66C24">
        <w:rPr>
          <w:bCs/>
          <w:sz w:val="20"/>
          <w:szCs w:val="20"/>
        </w:rPr>
        <w:t xml:space="preserve">Source: </w:t>
      </w:r>
      <w:r w:rsidRPr="00C66C24">
        <w:rPr>
          <w:sz w:val="20"/>
          <w:szCs w:val="20"/>
        </w:rPr>
        <w:t>EMODNET bathymetry, Regional Seas Around Europe, EMODNet benthic habitats, MSFD Benthic Broad Habitat Types, EMODNET vessel density, EMODENT dredging, Copernicus Corine Land Cover (2018)</w:t>
      </w:r>
      <w:r w:rsidR="00BC4889" w:rsidRPr="00C66C24">
        <w:rPr>
          <w:sz w:val="20"/>
          <w:szCs w:val="20"/>
        </w:rPr>
        <w:t>.</w:t>
      </w:r>
    </w:p>
    <w:p w14:paraId="2B66D97F" w14:textId="4CEC45B8" w:rsidR="00736310" w:rsidRPr="00C66C24" w:rsidRDefault="00736310" w:rsidP="008C6A9C">
      <w:pPr>
        <w:spacing w:before="0" w:after="0" w:line="257" w:lineRule="auto"/>
      </w:pPr>
      <w:r w:rsidRPr="00C66C24">
        <w:t xml:space="preserve">About </w:t>
      </w:r>
      <w:r w:rsidR="0050787D" w:rsidRPr="00C66C24">
        <w:t>170</w:t>
      </w:r>
      <w:r w:rsidR="003C3786" w:rsidRPr="00C66C24">
        <w:t>,</w:t>
      </w:r>
      <w:r w:rsidRPr="00C66C24">
        <w:t>000 km</w:t>
      </w:r>
      <w:r w:rsidRPr="00C66C24">
        <w:rPr>
          <w:vertAlign w:val="superscript"/>
        </w:rPr>
        <w:t>2</w:t>
      </w:r>
      <w:r w:rsidRPr="00C66C24">
        <w:t xml:space="preserve"> of Europe’s seas</w:t>
      </w:r>
      <w:r w:rsidR="00A93FF7" w:rsidRPr="00C66C24">
        <w:t>,</w:t>
      </w:r>
      <w:r w:rsidRPr="00C66C24">
        <w:t xml:space="preserve"> or 1.</w:t>
      </w:r>
      <w:r w:rsidR="00172BEB" w:rsidRPr="00C66C24">
        <w:t>2</w:t>
      </w:r>
      <w:r w:rsidRPr="00C66C24">
        <w:t xml:space="preserve"> %</w:t>
      </w:r>
      <w:r w:rsidR="00A93FF7" w:rsidRPr="00C66C24">
        <w:t>,</w:t>
      </w:r>
      <w:r w:rsidRPr="00C66C24">
        <w:t xml:space="preserve"> are subject to physical disturbance of seabed by maritime transport </w:t>
      </w:r>
      <w:r w:rsidR="00C97C65" w:rsidRPr="00C66C24">
        <w:t xml:space="preserve">only, </w:t>
      </w:r>
      <w:r w:rsidRPr="00C66C24">
        <w:t>with notable subregional differences</w:t>
      </w:r>
      <w:r w:rsidR="003A54EA" w:rsidRPr="00C66C24">
        <w:t xml:space="preserve">. The </w:t>
      </w:r>
      <w:r w:rsidRPr="00C66C24">
        <w:t xml:space="preserve">MSFD threshold value for </w:t>
      </w:r>
      <w:r w:rsidR="008359AB" w:rsidRPr="00C66C24">
        <w:t xml:space="preserve">GES in relation with </w:t>
      </w:r>
      <w:r w:rsidRPr="00C66C24">
        <w:t xml:space="preserve">seabed disturbance </w:t>
      </w:r>
      <w:r w:rsidR="008359AB" w:rsidRPr="00C66C24">
        <w:t xml:space="preserve">is </w:t>
      </w:r>
      <w:r w:rsidRPr="00C66C24">
        <w:t xml:space="preserve">2% </w:t>
      </w:r>
      <w:r w:rsidR="00C97C65" w:rsidRPr="00C66C24">
        <w:t>for all human activities</w:t>
      </w:r>
      <w:r w:rsidRPr="00C66C24">
        <w:t>.</w:t>
      </w:r>
    </w:p>
    <w:p w14:paraId="6B0440C7" w14:textId="4E9E78C2" w:rsidR="00805255" w:rsidRPr="00C66C24" w:rsidRDefault="008B26E8" w:rsidP="008C6A9C">
      <w:pPr>
        <w:spacing w:before="0" w:after="0" w:line="257" w:lineRule="auto"/>
      </w:pPr>
      <w:r w:rsidRPr="00C66C24">
        <w:t>The highest percentage of impacted area is in the Greater North Sea, incl. the Kattegat and the English Channel (1</w:t>
      </w:r>
      <w:r w:rsidR="005B2B27" w:rsidRPr="00C66C24">
        <w:t>0</w:t>
      </w:r>
      <w:r w:rsidR="00871ADD" w:rsidRPr="00C66C24">
        <w:t>.4</w:t>
      </w:r>
      <w:r w:rsidRPr="00C66C24">
        <w:t xml:space="preserve"> %)</w:t>
      </w:r>
      <w:r w:rsidRPr="00C66C24">
        <w:rPr>
          <w:szCs w:val="22"/>
        </w:rPr>
        <w:t>, Adriatic Sea (</w:t>
      </w:r>
      <w:r w:rsidR="00871ADD" w:rsidRPr="00C66C24">
        <w:rPr>
          <w:szCs w:val="22"/>
        </w:rPr>
        <w:t>8.7</w:t>
      </w:r>
      <w:r w:rsidRPr="00C66C24">
        <w:rPr>
          <w:szCs w:val="22"/>
        </w:rPr>
        <w:t xml:space="preserve"> %)</w:t>
      </w:r>
      <w:r w:rsidR="00871ADD" w:rsidRPr="00C66C24">
        <w:rPr>
          <w:szCs w:val="22"/>
        </w:rPr>
        <w:t xml:space="preserve"> and</w:t>
      </w:r>
      <w:r w:rsidRPr="00C66C24">
        <w:rPr>
          <w:szCs w:val="22"/>
        </w:rPr>
        <w:t xml:space="preserve"> </w:t>
      </w:r>
      <w:r w:rsidR="00871ADD" w:rsidRPr="00C66C24">
        <w:rPr>
          <w:szCs w:val="22"/>
        </w:rPr>
        <w:t>Baltic Sea (8.4 %).</w:t>
      </w:r>
      <w:r w:rsidRPr="00C66C24">
        <w:rPr>
          <w:szCs w:val="22"/>
        </w:rPr>
        <w:t xml:space="preserve"> These seas have a </w:t>
      </w:r>
      <w:r w:rsidRPr="00C66C24">
        <w:t>significant share of marine area impacted by high shipping traffic in areas not deeper than 30 metres.</w:t>
      </w:r>
    </w:p>
    <w:p w14:paraId="461515BA" w14:textId="6F4D7AB6" w:rsidR="00DC77F2" w:rsidRPr="00C66C24" w:rsidRDefault="00DC77F2" w:rsidP="008C6A9C">
      <w:pPr>
        <w:spacing w:before="0" w:after="0" w:line="257" w:lineRule="auto"/>
      </w:pPr>
      <w:r w:rsidRPr="00C66C24">
        <w:rPr>
          <w:szCs w:val="22"/>
        </w:rPr>
        <w:t xml:space="preserve">In </w:t>
      </w:r>
      <w:r w:rsidRPr="00C66C24">
        <w:rPr>
          <w:szCs w:val="22"/>
        </w:rPr>
        <w:fldChar w:fldCharType="begin"/>
      </w:r>
      <w:r w:rsidRPr="00C66C24">
        <w:rPr>
          <w:szCs w:val="22"/>
        </w:rPr>
        <w:instrText xml:space="preserve"> REF _Ref151716452 \h </w:instrText>
      </w:r>
      <w:r w:rsidR="00D56174" w:rsidRPr="00C66C24">
        <w:rPr>
          <w:szCs w:val="22"/>
        </w:rPr>
        <w:instrText xml:space="preserve"> \* MERGEFORMAT </w:instrText>
      </w:r>
      <w:r w:rsidRPr="00C66C24">
        <w:rPr>
          <w:szCs w:val="22"/>
        </w:rPr>
      </w:r>
      <w:r w:rsidRPr="00C66C24">
        <w:rPr>
          <w:szCs w:val="22"/>
        </w:rPr>
        <w:fldChar w:fldCharType="separate"/>
      </w:r>
      <w:proofErr w:type="spellStart"/>
      <w:r w:rsidR="00D56174" w:rsidRPr="00C66C24">
        <w:rPr>
          <w:szCs w:val="22"/>
        </w:rPr>
        <w:t>Map</w:t>
      </w:r>
      <w:proofErr w:type="spellEnd"/>
      <w:r w:rsidR="00D56174" w:rsidRPr="00C66C24">
        <w:rPr>
          <w:szCs w:val="22"/>
        </w:rPr>
        <w:t xml:space="preserve"> </w:t>
      </w:r>
      <w:r w:rsidR="00D56174" w:rsidRPr="00C66C24">
        <w:rPr>
          <w:noProof/>
          <w:szCs w:val="22"/>
        </w:rPr>
        <w:t>2</w:t>
      </w:r>
      <w:r w:rsidR="00D56174" w:rsidRPr="00C66C24">
        <w:rPr>
          <w:szCs w:val="22"/>
        </w:rPr>
        <w:t>.</w:t>
      </w:r>
      <w:r w:rsidR="00D56174" w:rsidRPr="00C66C24">
        <w:rPr>
          <w:noProof/>
          <w:szCs w:val="22"/>
        </w:rPr>
        <w:t>11</w:t>
      </w:r>
      <w:r w:rsidRPr="00C66C24">
        <w:rPr>
          <w:szCs w:val="22"/>
        </w:rPr>
        <w:fldChar w:fldCharType="end"/>
      </w:r>
      <w:r w:rsidRPr="00C66C24">
        <w:rPr>
          <w:szCs w:val="22"/>
        </w:rPr>
        <w:t>,</w:t>
      </w:r>
      <w:r w:rsidRPr="00C66C24">
        <w:t xml:space="preserve"> the yellow colour shows moderate impact to physical disturbance of seabed in Kattegat, mainly caused by turbidity of vessels. High impact (red colour) mostly occurs at ports and their vicinity, where seafloor is deepened to maintain navigable waterways. Marine habitats in such areas are assessed as highly physically disturbed or even completely degraded.</w:t>
      </w:r>
    </w:p>
    <w:p w14:paraId="11BF3BCA" w14:textId="77777777" w:rsidR="009B5FDC" w:rsidRPr="00C66C24" w:rsidRDefault="009B5FDC" w:rsidP="008C6A9C">
      <w:pPr>
        <w:keepNext/>
        <w:spacing w:before="0" w:after="0" w:line="257" w:lineRule="auto"/>
        <w:jc w:val="center"/>
        <w:rPr>
          <w:szCs w:val="22"/>
        </w:rPr>
      </w:pPr>
    </w:p>
    <w:p w14:paraId="40405A41" w14:textId="09697DF7" w:rsidR="00736310" w:rsidRPr="00C66C24" w:rsidRDefault="00BE78B4" w:rsidP="008C6A9C">
      <w:pPr>
        <w:keepNext/>
        <w:spacing w:before="0" w:after="0" w:line="257" w:lineRule="auto"/>
        <w:jc w:val="center"/>
      </w:pPr>
      <w:r w:rsidRPr="00C66C24">
        <w:rPr>
          <w:noProof/>
        </w:rPr>
        <w:drawing>
          <wp:inline distT="0" distB="0" distL="0" distR="0" wp14:anchorId="162ECB30" wp14:editId="3B1EC847">
            <wp:extent cx="4050000" cy="3697200"/>
            <wp:effectExtent l="0" t="0" r="8255" b="0"/>
            <wp:docPr id="1777083484" name="Picture 1777083484" descr="A map of seabeds and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083484" name="Picture 1777083484" descr="A map of seabeds and water&#10;&#10;Description automatically generated with medium confidenc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4050000" cy="3697200"/>
                    </a:xfrm>
                    <a:prstGeom prst="rect">
                      <a:avLst/>
                    </a:prstGeom>
                  </pic:spPr>
                </pic:pic>
              </a:graphicData>
            </a:graphic>
          </wp:inline>
        </w:drawing>
      </w:r>
    </w:p>
    <w:p w14:paraId="7FD34720" w14:textId="54983C5F" w:rsidR="00736310" w:rsidRPr="00C66C24" w:rsidRDefault="00736310" w:rsidP="008C6A9C">
      <w:pPr>
        <w:pStyle w:val="Caption"/>
        <w:spacing w:after="0" w:line="257" w:lineRule="auto"/>
        <w:jc w:val="center"/>
        <w:rPr>
          <w:sz w:val="20"/>
          <w:szCs w:val="20"/>
        </w:rPr>
      </w:pPr>
      <w:bookmarkStart w:id="187" w:name="_Ref151716452"/>
      <w:r w:rsidRPr="00C66C24">
        <w:rPr>
          <w:sz w:val="20"/>
          <w:szCs w:val="20"/>
        </w:rPr>
        <w:t>Map</w:t>
      </w:r>
      <w:r w:rsidR="00A0142A" w:rsidRPr="00C66C24">
        <w:rPr>
          <w:sz w:val="20"/>
          <w:szCs w:val="20"/>
        </w:rPr>
        <w:t xml:space="preserve"> </w:t>
      </w:r>
      <w:r w:rsidR="00F47AC5" w:rsidRPr="00C66C24">
        <w:rPr>
          <w:sz w:val="20"/>
          <w:szCs w:val="20"/>
        </w:rPr>
        <w:fldChar w:fldCharType="begin"/>
      </w:r>
      <w:r w:rsidR="00F47AC5" w:rsidRPr="00C66C24">
        <w:rPr>
          <w:sz w:val="20"/>
          <w:szCs w:val="20"/>
        </w:rPr>
        <w:instrText xml:space="preserve"> STYLEREF 1 \s </w:instrText>
      </w:r>
      <w:r w:rsidR="00F47AC5" w:rsidRPr="00C66C24">
        <w:rPr>
          <w:sz w:val="20"/>
          <w:szCs w:val="20"/>
        </w:rPr>
        <w:fldChar w:fldCharType="separate"/>
      </w:r>
      <w:r w:rsidR="00ED46E1" w:rsidRPr="00C66C24">
        <w:rPr>
          <w:noProof/>
          <w:sz w:val="20"/>
          <w:szCs w:val="20"/>
        </w:rPr>
        <w:t>2</w:t>
      </w:r>
      <w:r w:rsidR="00F47AC5" w:rsidRPr="00C66C24">
        <w:rPr>
          <w:sz w:val="20"/>
          <w:szCs w:val="20"/>
        </w:rPr>
        <w:fldChar w:fldCharType="end"/>
      </w:r>
      <w:r w:rsidR="00F47AC5" w:rsidRPr="00C66C24">
        <w:rPr>
          <w:sz w:val="20"/>
          <w:szCs w:val="20"/>
        </w:rPr>
        <w:t>.</w:t>
      </w:r>
      <w:r w:rsidR="00F47AC5" w:rsidRPr="00C66C24">
        <w:rPr>
          <w:sz w:val="20"/>
          <w:szCs w:val="20"/>
        </w:rPr>
        <w:fldChar w:fldCharType="begin"/>
      </w:r>
      <w:r w:rsidR="00F47AC5" w:rsidRPr="00C66C24">
        <w:rPr>
          <w:sz w:val="20"/>
          <w:szCs w:val="20"/>
        </w:rPr>
        <w:instrText xml:space="preserve"> SEQ Map \* ARABIC \s 1 </w:instrText>
      </w:r>
      <w:r w:rsidR="00F47AC5" w:rsidRPr="00C66C24">
        <w:rPr>
          <w:sz w:val="20"/>
          <w:szCs w:val="20"/>
        </w:rPr>
        <w:fldChar w:fldCharType="separate"/>
      </w:r>
      <w:r w:rsidR="00D24CAB" w:rsidRPr="00C66C24">
        <w:rPr>
          <w:noProof/>
          <w:sz w:val="20"/>
          <w:szCs w:val="20"/>
        </w:rPr>
        <w:t>11</w:t>
      </w:r>
      <w:r w:rsidR="00F47AC5" w:rsidRPr="00C66C24">
        <w:rPr>
          <w:sz w:val="20"/>
          <w:szCs w:val="20"/>
        </w:rPr>
        <w:fldChar w:fldCharType="end"/>
      </w:r>
      <w:bookmarkEnd w:id="187"/>
      <w:r w:rsidRPr="00C66C24">
        <w:rPr>
          <w:sz w:val="20"/>
          <w:szCs w:val="20"/>
        </w:rPr>
        <w:t xml:space="preserve"> Intensity of physical disturbance of seabed at the Kattegat</w:t>
      </w:r>
      <w:r w:rsidR="009F305E" w:rsidRPr="00C66C24">
        <w:rPr>
          <w:rStyle w:val="FootnoteReference"/>
        </w:rPr>
        <w:footnoteReference w:id="31"/>
      </w:r>
      <w:r w:rsidR="008C4AD2" w:rsidRPr="00C66C24">
        <w:rPr>
          <w:sz w:val="20"/>
          <w:szCs w:val="20"/>
        </w:rPr>
        <w:t>.</w:t>
      </w:r>
    </w:p>
    <w:p w14:paraId="7B117473" w14:textId="1AD958CB" w:rsidR="00736310" w:rsidRPr="00C66C24" w:rsidRDefault="00736310" w:rsidP="008C6A9C">
      <w:pPr>
        <w:keepNext/>
        <w:spacing w:before="0" w:after="120" w:line="257" w:lineRule="auto"/>
        <w:jc w:val="center"/>
        <w:rPr>
          <w:sz w:val="20"/>
          <w:szCs w:val="20"/>
        </w:rPr>
      </w:pPr>
      <w:r w:rsidRPr="00C66C24">
        <w:rPr>
          <w:bCs/>
          <w:sz w:val="20"/>
          <w:szCs w:val="20"/>
        </w:rPr>
        <w:t>Source: EMODNET</w:t>
      </w:r>
      <w:r w:rsidRPr="00C66C24">
        <w:rPr>
          <w:sz w:val="20"/>
          <w:szCs w:val="20"/>
        </w:rPr>
        <w:t xml:space="preserve"> bathymetry, Regional Seas Around Europe, EMODNet benthic habitats, MSFD Benthic Broad Habitat Types, EMODNET vessel density, EMODENT dredging, Copernicus Corine Land Cover (2018)</w:t>
      </w:r>
      <w:r w:rsidR="008275CC" w:rsidRPr="00C66C24">
        <w:rPr>
          <w:sz w:val="20"/>
          <w:szCs w:val="20"/>
        </w:rPr>
        <w:t>.</w:t>
      </w:r>
    </w:p>
    <w:p w14:paraId="663F9C7C" w14:textId="77777777" w:rsidR="00DC77F2" w:rsidRPr="00C66C24" w:rsidRDefault="00DC77F2" w:rsidP="008C6A9C">
      <w:pPr>
        <w:spacing w:before="0" w:after="0" w:line="257" w:lineRule="auto"/>
      </w:pPr>
      <w:r w:rsidRPr="00C66C24">
        <w:t>Biodiversity is the richest in near-shore waters, where land and sea meet. Near-shore habitats, which may be affected by marine traffic, are also among the most productive and vulnerable ecosystems, as they are the interface between freshwater and marine waters.</w:t>
      </w:r>
    </w:p>
    <w:p w14:paraId="31633317" w14:textId="77777777" w:rsidR="00DC77F2" w:rsidRPr="00C66C24" w:rsidRDefault="00DC77F2" w:rsidP="008C6A9C">
      <w:pPr>
        <w:spacing w:before="0" w:after="0" w:line="257" w:lineRule="auto"/>
      </w:pPr>
      <w:r w:rsidRPr="00C66C24">
        <w:t>Analyses indicate that 27% of the seabed in near-shore marine waters, extending up to one nautical mile from the coastline, experiences physical disturbance from maritime traffic, with 5% of the area being subject to high impact. The level of impact diminishes with increasing distance from the coastline. It is estimated that 10% of territorial waters (1-12 nautical miles from the coastline) are affected. Beyond 12 nautical miles from the coastline, in the offshore waters, only 0.4% of seabed are impacted by marine traffic.</w:t>
      </w:r>
    </w:p>
    <w:p w14:paraId="264306E3" w14:textId="77777777" w:rsidR="00DC77F2" w:rsidRPr="00C66C24" w:rsidRDefault="00DC77F2" w:rsidP="008C6A9C">
      <w:pPr>
        <w:spacing w:before="0" w:after="0" w:line="257" w:lineRule="auto"/>
        <w:rPr>
          <w:b/>
          <w:bCs/>
        </w:rPr>
      </w:pPr>
    </w:p>
    <w:p w14:paraId="68B2DAC9" w14:textId="77777777" w:rsidR="00DC77F2" w:rsidRPr="00C66C24" w:rsidRDefault="00DC77F2" w:rsidP="008C6A9C">
      <w:pPr>
        <w:spacing w:before="0" w:after="0" w:line="257" w:lineRule="auto"/>
      </w:pPr>
      <w:r w:rsidRPr="00C66C24">
        <w:rPr>
          <w:noProof/>
        </w:rPr>
        <w:drawing>
          <wp:inline distT="0" distB="0" distL="0" distR="0" wp14:anchorId="44DE5335" wp14:editId="7A6CACCC">
            <wp:extent cx="5375082" cy="1591049"/>
            <wp:effectExtent l="0" t="0" r="0" b="9525"/>
            <wp:docPr id="136005673" name="Picture 136005673" descr="A graph with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5673" name="Picture 1" descr="A graph with numbers and a number of people&#10;&#10;Description automatically generated with medium confidence"/>
                    <pic:cNvPicPr/>
                  </pic:nvPicPr>
                  <pic:blipFill rotWithShape="1">
                    <a:blip r:embed="rId83"/>
                    <a:srcRect r="377"/>
                    <a:stretch/>
                  </pic:blipFill>
                  <pic:spPr bwMode="auto">
                    <a:xfrm>
                      <a:off x="0" y="0"/>
                      <a:ext cx="5388460" cy="1595009"/>
                    </a:xfrm>
                    <a:prstGeom prst="rect">
                      <a:avLst/>
                    </a:prstGeom>
                    <a:ln>
                      <a:noFill/>
                    </a:ln>
                    <a:extLst>
                      <a:ext uri="{53640926-AAD7-44D8-BBD7-CCE9431645EC}">
                        <a14:shadowObscured xmlns:a14="http://schemas.microsoft.com/office/drawing/2010/main"/>
                      </a:ext>
                    </a:extLst>
                  </pic:spPr>
                </pic:pic>
              </a:graphicData>
            </a:graphic>
          </wp:inline>
        </w:drawing>
      </w:r>
    </w:p>
    <w:p w14:paraId="22C5E81C" w14:textId="326E6E4A" w:rsidR="00DC77F2" w:rsidRPr="00C66C24" w:rsidRDefault="00DC77F2" w:rsidP="008C6A9C">
      <w:pPr>
        <w:pStyle w:val="Caption"/>
        <w:spacing w:after="0" w:line="257" w:lineRule="auto"/>
        <w:jc w:val="center"/>
        <w:rPr>
          <w:rFonts w:cstheme="minorHAnsi"/>
          <w:b w:val="0"/>
          <w:bCs/>
          <w:sz w:val="20"/>
          <w:szCs w:val="20"/>
        </w:rPr>
      </w:pPr>
      <w:r w:rsidRPr="00C66C24">
        <w:rPr>
          <w:rFonts w:cstheme="minorBidi"/>
          <w:sz w:val="20"/>
          <w:szCs w:val="20"/>
        </w:rPr>
        <w:t xml:space="preserve">Figure </w:t>
      </w:r>
      <w:r w:rsidR="00A81F61" w:rsidRPr="00C66C24">
        <w:rPr>
          <w:rFonts w:cstheme="minorBidi"/>
          <w:sz w:val="20"/>
          <w:szCs w:val="20"/>
        </w:rPr>
        <w:fldChar w:fldCharType="begin"/>
      </w:r>
      <w:r w:rsidR="00A81F61" w:rsidRPr="00C66C24">
        <w:rPr>
          <w:rFonts w:cstheme="minorBidi"/>
          <w:sz w:val="20"/>
          <w:szCs w:val="20"/>
        </w:rPr>
        <w:instrText xml:space="preserve"> STYLEREF 1 \s </w:instrText>
      </w:r>
      <w:r w:rsidR="00A81F61" w:rsidRPr="00C66C24">
        <w:rPr>
          <w:rFonts w:cstheme="minorBidi"/>
          <w:sz w:val="20"/>
          <w:szCs w:val="20"/>
        </w:rPr>
        <w:fldChar w:fldCharType="separate"/>
      </w:r>
      <w:r w:rsidR="00A81F61" w:rsidRPr="00C66C24">
        <w:rPr>
          <w:rFonts w:cstheme="minorBidi"/>
          <w:noProof/>
          <w:sz w:val="20"/>
          <w:szCs w:val="20"/>
        </w:rPr>
        <w:t>2</w:t>
      </w:r>
      <w:r w:rsidR="00A81F61" w:rsidRPr="00C66C24">
        <w:rPr>
          <w:rFonts w:cstheme="minorBidi"/>
          <w:sz w:val="20"/>
          <w:szCs w:val="20"/>
        </w:rPr>
        <w:fldChar w:fldCharType="end"/>
      </w:r>
      <w:r w:rsidR="00A81F61" w:rsidRPr="00C66C24">
        <w:rPr>
          <w:rFonts w:cstheme="minorBidi"/>
          <w:sz w:val="20"/>
          <w:szCs w:val="20"/>
        </w:rPr>
        <w:t>.</w:t>
      </w:r>
      <w:r w:rsidR="00A81F61" w:rsidRPr="00C66C24">
        <w:rPr>
          <w:rFonts w:cstheme="minorBidi"/>
          <w:sz w:val="20"/>
          <w:szCs w:val="20"/>
        </w:rPr>
        <w:fldChar w:fldCharType="begin"/>
      </w:r>
      <w:r w:rsidR="00A81F61" w:rsidRPr="00C66C24">
        <w:rPr>
          <w:rFonts w:cstheme="minorBidi"/>
          <w:sz w:val="20"/>
          <w:szCs w:val="20"/>
        </w:rPr>
        <w:instrText xml:space="preserve"> SEQ Figure \* ARABIC \s 1 </w:instrText>
      </w:r>
      <w:r w:rsidR="00A81F61" w:rsidRPr="00C66C24">
        <w:rPr>
          <w:rFonts w:cstheme="minorBidi"/>
          <w:sz w:val="20"/>
          <w:szCs w:val="20"/>
        </w:rPr>
        <w:fldChar w:fldCharType="separate"/>
      </w:r>
      <w:r w:rsidR="00A81F61" w:rsidRPr="00C66C24">
        <w:rPr>
          <w:rFonts w:cstheme="minorBidi"/>
          <w:noProof/>
          <w:sz w:val="20"/>
          <w:szCs w:val="20"/>
        </w:rPr>
        <w:t>47</w:t>
      </w:r>
      <w:r w:rsidR="00A81F61" w:rsidRPr="00C66C24">
        <w:rPr>
          <w:rFonts w:cstheme="minorBidi"/>
          <w:sz w:val="20"/>
          <w:szCs w:val="20"/>
        </w:rPr>
        <w:fldChar w:fldCharType="end"/>
      </w:r>
      <w:r w:rsidRPr="005C3A34">
        <w:rPr>
          <w:rFonts w:cstheme="minorBidi"/>
          <w:bCs/>
          <w:sz w:val="20"/>
          <w:szCs w:val="20"/>
        </w:rPr>
        <w:t xml:space="preserve"> Percentage of physically disturbed seabed in near-shore (0-1NM), coastal (1-12 NM) and offshore (&gt;12 NM) waters</w:t>
      </w:r>
      <w:r w:rsidR="00750C99" w:rsidRPr="00C66C24">
        <w:rPr>
          <w:rStyle w:val="FootnoteReference"/>
        </w:rPr>
        <w:footnoteReference w:id="32"/>
      </w:r>
    </w:p>
    <w:p w14:paraId="1F13D5EE" w14:textId="3B29BE85" w:rsidR="00DC77F2" w:rsidRPr="00C66C24" w:rsidRDefault="01C0A08C" w:rsidP="00D76FFD">
      <w:pPr>
        <w:spacing w:before="0" w:after="120" w:line="257" w:lineRule="auto"/>
        <w:jc w:val="center"/>
        <w:rPr>
          <w:rFonts w:cstheme="minorBidi"/>
          <w:sz w:val="20"/>
          <w:szCs w:val="20"/>
          <w:highlight w:val="yellow"/>
        </w:rPr>
      </w:pPr>
      <w:r w:rsidRPr="00C66C24">
        <w:rPr>
          <w:rFonts w:cstheme="minorBidi"/>
          <w:sz w:val="20"/>
          <w:szCs w:val="20"/>
        </w:rPr>
        <w:t>Source: EMODnet Digital Bathymetry, MSFD Benthic Broad Habitat Types , EMODNET vessel density, EMODnet Human Activities – Dredging , EEA marine assessment areas buffer zones</w:t>
      </w:r>
      <w:r w:rsidR="00885079" w:rsidRPr="00C66C24">
        <w:rPr>
          <w:rFonts w:cstheme="minorBidi"/>
          <w:sz w:val="20"/>
          <w:szCs w:val="20"/>
        </w:rPr>
        <w:t>.</w:t>
      </w:r>
    </w:p>
    <w:p w14:paraId="0B2D7593" w14:textId="2418035A" w:rsidR="3D7639D7" w:rsidRPr="00C66C24" w:rsidRDefault="6C20069A" w:rsidP="008C6A9C">
      <w:pPr>
        <w:pStyle w:val="Heading3"/>
        <w:spacing w:line="257" w:lineRule="auto"/>
      </w:pPr>
      <w:bookmarkStart w:id="188" w:name="_Toc156316339"/>
      <w:bookmarkStart w:id="189" w:name="_Toc157762080"/>
      <w:r w:rsidRPr="00C66C24">
        <w:t>Seabed disturbance: A special focus on ports</w:t>
      </w:r>
      <w:bookmarkEnd w:id="189"/>
      <w:r w:rsidRPr="00C66C24">
        <w:t>  </w:t>
      </w:r>
      <w:bookmarkEnd w:id="188"/>
    </w:p>
    <w:p w14:paraId="57B3445B" w14:textId="183DB3B5" w:rsidR="00736310" w:rsidRDefault="007C0214" w:rsidP="00D76FFD">
      <w:pPr>
        <w:spacing w:before="0" w:after="120" w:line="257" w:lineRule="auto"/>
      </w:pPr>
      <w:r w:rsidRPr="00C66C24">
        <w:t xml:space="preserve">Ports represent the core of the maritime shipping industry, functioning as the departure, entry, and transfer points for a vast spectrum of goods, services, and individuals transported via ships. </w:t>
      </w:r>
      <w:r w:rsidR="00736310" w:rsidRPr="00C66C24">
        <w:t>Port expansion in Europe has experienced a significant surge between 2000-2018, resulting in a 1</w:t>
      </w:r>
      <w:r w:rsidR="00375012" w:rsidRPr="00C66C24">
        <w:t>3</w:t>
      </w:r>
      <w:r w:rsidR="00736310" w:rsidRPr="00C66C24">
        <w:t>% increase in port area</w:t>
      </w:r>
      <w:r w:rsidR="004F42C8" w:rsidRPr="00C66C24">
        <w:t xml:space="preserve"> (</w:t>
      </w:r>
      <w:r w:rsidR="002A32C7" w:rsidRPr="00C66C24">
        <w:t xml:space="preserve">see </w:t>
      </w:r>
      <w:r w:rsidR="00F66A71" w:rsidRPr="00C66C24">
        <w:fldChar w:fldCharType="begin"/>
      </w:r>
      <w:r w:rsidR="00F66A71" w:rsidRPr="00C66C24">
        <w:instrText xml:space="preserve"> REF _Ref151715769 \h </w:instrText>
      </w:r>
      <w:r w:rsidR="00F66A71" w:rsidRPr="00C66C24">
        <w:fldChar w:fldCharType="separate"/>
      </w:r>
      <w:r w:rsidR="00F66A71" w:rsidRPr="00C66C24">
        <w:t xml:space="preserve">Figure </w:t>
      </w:r>
      <w:r w:rsidR="00F66A71" w:rsidRPr="00C66C24">
        <w:rPr>
          <w:noProof/>
        </w:rPr>
        <w:t>2</w:t>
      </w:r>
      <w:r w:rsidR="00F66A71" w:rsidRPr="00C66C24">
        <w:t>.</w:t>
      </w:r>
      <w:r w:rsidR="00F66A71" w:rsidRPr="00C66C24">
        <w:rPr>
          <w:noProof/>
        </w:rPr>
        <w:t>48</w:t>
      </w:r>
      <w:r w:rsidR="00F66A71" w:rsidRPr="00C66C24">
        <w:fldChar w:fldCharType="end"/>
      </w:r>
      <w:r w:rsidR="004F42C8" w:rsidRPr="00C66C24">
        <w:rPr>
          <w:szCs w:val="22"/>
        </w:rPr>
        <w:t>)</w:t>
      </w:r>
      <w:r w:rsidR="00736310" w:rsidRPr="00C66C24">
        <w:rPr>
          <w:szCs w:val="22"/>
        </w:rPr>
        <w:t xml:space="preserve">. </w:t>
      </w:r>
      <w:r w:rsidR="00736310" w:rsidRPr="00C66C24">
        <w:t>The expansion has been the most prominent in the Black Sea</w:t>
      </w:r>
      <w:r w:rsidR="00CC4A58" w:rsidRPr="00C66C24">
        <w:t>,</w:t>
      </w:r>
      <w:r w:rsidR="00736310" w:rsidRPr="00C66C24">
        <w:t xml:space="preserve"> </w:t>
      </w:r>
      <w:r w:rsidR="00D86AB8" w:rsidRPr="00C66C24">
        <w:t>(</w:t>
      </w:r>
      <w:r w:rsidR="0067015C" w:rsidRPr="00C66C24">
        <w:t>17</w:t>
      </w:r>
      <w:r w:rsidR="00736310" w:rsidRPr="00C66C24">
        <w:t xml:space="preserve">% or </w:t>
      </w:r>
      <w:r w:rsidR="00A6489B" w:rsidRPr="00C66C24">
        <w:t>9</w:t>
      </w:r>
      <w:r w:rsidR="00736310" w:rsidRPr="00C66C24">
        <w:t xml:space="preserve"> km</w:t>
      </w:r>
      <w:r w:rsidR="00736310" w:rsidRPr="00C66C24">
        <w:rPr>
          <w:vertAlign w:val="superscript"/>
        </w:rPr>
        <w:t>2</w:t>
      </w:r>
      <w:r w:rsidR="00D86AB8" w:rsidRPr="00C66C24">
        <w:t>)</w:t>
      </w:r>
      <w:r w:rsidR="00514FD2" w:rsidRPr="00C66C24">
        <w:t xml:space="preserve">, followed by </w:t>
      </w:r>
      <w:r w:rsidR="00646FF3" w:rsidRPr="00C66C24">
        <w:t xml:space="preserve">the </w:t>
      </w:r>
      <w:r w:rsidR="00735A6F" w:rsidRPr="00C66C24">
        <w:t>Mediterranean Sea (12% or 35 km</w:t>
      </w:r>
      <w:r w:rsidR="00735A6F" w:rsidRPr="00C66C24">
        <w:rPr>
          <w:vertAlign w:val="superscript"/>
        </w:rPr>
        <w:t>2</w:t>
      </w:r>
      <w:r w:rsidR="00735A6F" w:rsidRPr="00C66C24">
        <w:t>)</w:t>
      </w:r>
      <w:r w:rsidR="00EB6483" w:rsidRPr="00C66C24">
        <w:t>, the North-East Atlantic Ocean (11% or 53 km</w:t>
      </w:r>
      <w:r w:rsidR="00EB6483" w:rsidRPr="00C66C24">
        <w:rPr>
          <w:vertAlign w:val="superscript"/>
        </w:rPr>
        <w:t>2</w:t>
      </w:r>
      <w:r w:rsidR="00EB6483" w:rsidRPr="00C66C24">
        <w:t>)</w:t>
      </w:r>
      <w:r w:rsidR="00735A6F" w:rsidRPr="00C66C24">
        <w:t xml:space="preserve"> </w:t>
      </w:r>
      <w:r w:rsidR="00EA508F" w:rsidRPr="00C66C24">
        <w:t xml:space="preserve">and </w:t>
      </w:r>
      <w:r w:rsidR="00646FF3" w:rsidRPr="00C66C24">
        <w:t xml:space="preserve">the </w:t>
      </w:r>
      <w:r w:rsidR="00736310" w:rsidRPr="00C66C24">
        <w:t>Baltic Sea (</w:t>
      </w:r>
      <w:r w:rsidR="0054166D" w:rsidRPr="00C66C24">
        <w:t>8</w:t>
      </w:r>
      <w:r w:rsidR="00736310" w:rsidRPr="00C66C24">
        <w:t xml:space="preserve">% or </w:t>
      </w:r>
      <w:r w:rsidR="0054166D" w:rsidRPr="00C66C24">
        <w:t>14</w:t>
      </w:r>
      <w:r w:rsidR="00736310" w:rsidRPr="00C66C24">
        <w:t xml:space="preserve"> km</w:t>
      </w:r>
      <w:r w:rsidR="00736310" w:rsidRPr="00C66C24">
        <w:rPr>
          <w:vertAlign w:val="superscript"/>
        </w:rPr>
        <w:t>2</w:t>
      </w:r>
      <w:r w:rsidR="00736310" w:rsidRPr="00C66C24">
        <w:t>). This surge in port development can be mainly attributed to an increase in international cargo movement</w:t>
      </w:r>
      <w:r w:rsidR="00736310" w:rsidRPr="00C66C24">
        <w:rPr>
          <w:rFonts w:ascii="Calibri" w:hAnsi="Calibri" w:cs="Calibri"/>
          <w:color w:val="D13438"/>
          <w:shd w:val="clear" w:color="auto" w:fill="FFFFFF"/>
        </w:rPr>
        <w:t xml:space="preserve"> </w:t>
      </w:r>
      <w:r w:rsidR="001000F4" w:rsidRPr="00C66C24">
        <w:rPr>
          <w:rFonts w:ascii="Calibri" w:hAnsi="Calibri" w:cs="Calibri"/>
          <w:color w:val="D13438"/>
          <w:shd w:val="clear" w:color="auto" w:fill="FFFFFF"/>
        </w:rPr>
        <w:fldChar w:fldCharType="begin"/>
      </w:r>
      <w:r w:rsidR="001855E3" w:rsidRPr="00C66C24">
        <w:rPr>
          <w:rFonts w:ascii="Calibri" w:hAnsi="Calibri" w:cs="Calibri"/>
          <w:color w:val="D13438"/>
          <w:shd w:val="clear" w:color="auto" w:fill="FFFFFF"/>
        </w:rPr>
        <w:instrText xml:space="preserve"> ADDIN ZOTERO_ITEM CSL_CITATION {"citationID":"au092huelp","properties":{"formattedCitation":"(EEA &amp; EMSA, 2021)","plainCitation":"(EEA &amp; EMSA, 2021)","noteIndex":0},"citationItems":[{"id":52050,"uris":["http://zotero.org/groups/122386/items/Y38U89PG"],"itemData":{"id":52050,"type":"report","publisher":"Europeam Environment Agency (EEA)","title":"European Maritime Transport Environmental Report 2021","URL":"https://www.eea.europa.eu/publications/maritime-transport","author":[{"literal":"EEA &amp; EMSA"}],"issued":{"date-parts":[["2021"]]}}}],"schema":"https://github.com/citation-style-language/schema/raw/master/csl-citation.json"} </w:instrText>
      </w:r>
      <w:r w:rsidR="001000F4" w:rsidRPr="00C66C24">
        <w:rPr>
          <w:rFonts w:ascii="Calibri" w:hAnsi="Calibri" w:cs="Calibri"/>
          <w:color w:val="D13438"/>
          <w:shd w:val="clear" w:color="auto" w:fill="FFFFFF"/>
        </w:rPr>
        <w:fldChar w:fldCharType="separate"/>
      </w:r>
      <w:r w:rsidR="001855E3" w:rsidRPr="00C66C24">
        <w:rPr>
          <w:rFonts w:ascii="Calibri" w:hAnsi="Calibri" w:cs="Calibri"/>
        </w:rPr>
        <w:t>(EEA &amp; EMSA, 2021)</w:t>
      </w:r>
      <w:r w:rsidR="001000F4" w:rsidRPr="00C66C24">
        <w:rPr>
          <w:rFonts w:ascii="Calibri" w:hAnsi="Calibri" w:cs="Calibri"/>
          <w:color w:val="D13438"/>
          <w:shd w:val="clear" w:color="auto" w:fill="FFFFFF"/>
        </w:rPr>
        <w:fldChar w:fldCharType="end"/>
      </w:r>
      <w:r w:rsidR="00736310" w:rsidRPr="00C66C24">
        <w:t xml:space="preserve">. The rise in tourism and recreational activities has </w:t>
      </w:r>
      <w:r w:rsidR="00773E78" w:rsidRPr="00C66C24">
        <w:t xml:space="preserve">also </w:t>
      </w:r>
      <w:r w:rsidR="00736310" w:rsidRPr="00C66C24">
        <w:t>led to an increased demand for marinas to accommodate private boats and yachts. European countries, particularly those with attractive coastlines and waterfronts, have expanded marina facilities to cater to this growing demand, promoting tourism</w:t>
      </w:r>
      <w:r w:rsidR="008059CD" w:rsidRPr="00C66C24">
        <w:t>,</w:t>
      </w:r>
      <w:r w:rsidR="00736310" w:rsidRPr="00C66C24">
        <w:t xml:space="preserve"> and supporting local economies. </w:t>
      </w:r>
    </w:p>
    <w:p w14:paraId="4CF325CA" w14:textId="77777777" w:rsidR="00275E31" w:rsidRDefault="00275E31" w:rsidP="00D76FFD">
      <w:pPr>
        <w:spacing w:before="0" w:after="120" w:line="257" w:lineRule="auto"/>
      </w:pPr>
    </w:p>
    <w:p w14:paraId="673C9BC4" w14:textId="77777777" w:rsidR="00275E31" w:rsidRPr="00C66C24" w:rsidRDefault="00275E31" w:rsidP="00D76FFD">
      <w:pPr>
        <w:spacing w:before="0" w:after="120" w:line="257" w:lineRule="auto"/>
      </w:pPr>
    </w:p>
    <w:p w14:paraId="13523FE3" w14:textId="6DCA2C60" w:rsidR="00736310" w:rsidRPr="00C66C24" w:rsidRDefault="00736310" w:rsidP="008C6A9C">
      <w:pPr>
        <w:keepNext/>
        <w:spacing w:before="0" w:after="0" w:line="257" w:lineRule="auto"/>
        <w:jc w:val="center"/>
      </w:pPr>
      <w:r w:rsidRPr="00C66C24">
        <w:rPr>
          <w:noProof/>
        </w:rPr>
        <w:drawing>
          <wp:inline distT="0" distB="0" distL="0" distR="0" wp14:anchorId="7F660EC4" wp14:editId="690B5B94">
            <wp:extent cx="2376247" cy="2372770"/>
            <wp:effectExtent l="0" t="0" r="5080" b="8890"/>
            <wp:docPr id="2036856513" name="Picture 2036856513" descr="A graph of a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856513" name="Picture 2036856513" descr="A graph of a chart&#10;&#10;Description automatically generated with medium confidence"/>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395653" cy="2392147"/>
                    </a:xfrm>
                    <a:prstGeom prst="rect">
                      <a:avLst/>
                    </a:prstGeom>
                    <a:noFill/>
                  </pic:spPr>
                </pic:pic>
              </a:graphicData>
            </a:graphic>
          </wp:inline>
        </w:drawing>
      </w:r>
      <w:r w:rsidR="00F47AC5" w:rsidRPr="00C66C24">
        <w:rPr>
          <w:noProof/>
        </w:rPr>
        <w:drawing>
          <wp:inline distT="0" distB="0" distL="0" distR="0" wp14:anchorId="00155185" wp14:editId="502BF7AD">
            <wp:extent cx="2406701" cy="2403526"/>
            <wp:effectExtent l="0" t="0" r="0" b="0"/>
            <wp:docPr id="37041851" name="Picture 3704185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41851" name="Picture 37041851" descr="A graph of different colored lines&#10;&#10;Description automatically generated"/>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34894" cy="2431682"/>
                    </a:xfrm>
                    <a:prstGeom prst="rect">
                      <a:avLst/>
                    </a:prstGeom>
                    <a:noFill/>
                  </pic:spPr>
                </pic:pic>
              </a:graphicData>
            </a:graphic>
          </wp:inline>
        </w:drawing>
      </w:r>
    </w:p>
    <w:p w14:paraId="55699F5C" w14:textId="2EEA4128" w:rsidR="00736310" w:rsidRPr="00C66C24" w:rsidRDefault="009119C9" w:rsidP="008C6A9C">
      <w:pPr>
        <w:pStyle w:val="Caption"/>
        <w:spacing w:after="0" w:line="257" w:lineRule="auto"/>
        <w:jc w:val="center"/>
      </w:pPr>
      <w:bookmarkStart w:id="190" w:name="_Ref151715769"/>
      <w:bookmarkStart w:id="191" w:name="_Ref151715757"/>
      <w:r w:rsidRPr="00C66C24">
        <w:t xml:space="preserve">Figure </w:t>
      </w:r>
      <w:r w:rsidR="00A81F61" w:rsidRPr="00C66C24">
        <w:fldChar w:fldCharType="begin"/>
      </w:r>
      <w:r w:rsidR="00A81F61" w:rsidRPr="00C66C24">
        <w:instrText xml:space="preserve"> STYLEREF 1 \s </w:instrText>
      </w:r>
      <w:r w:rsidR="00A81F61" w:rsidRPr="00C66C24">
        <w:fldChar w:fldCharType="separate"/>
      </w:r>
      <w:r w:rsidR="00A81F61" w:rsidRPr="00C66C24">
        <w:rPr>
          <w:noProof/>
        </w:rPr>
        <w:t>2</w:t>
      </w:r>
      <w:r w:rsidR="00A81F61" w:rsidRPr="00C66C24">
        <w:fldChar w:fldCharType="end"/>
      </w:r>
      <w:r w:rsidR="00A81F61" w:rsidRPr="00C66C24">
        <w:t>.</w:t>
      </w:r>
      <w:r w:rsidR="00A81F61" w:rsidRPr="00C66C24">
        <w:fldChar w:fldCharType="begin"/>
      </w:r>
      <w:r w:rsidR="00A81F61" w:rsidRPr="00C66C24">
        <w:instrText xml:space="preserve"> SEQ Figure \* ARABIC \s 1 </w:instrText>
      </w:r>
      <w:r w:rsidR="00A81F61" w:rsidRPr="00C66C24">
        <w:fldChar w:fldCharType="separate"/>
      </w:r>
      <w:r w:rsidR="00CC76C2" w:rsidRPr="00C66C24">
        <w:rPr>
          <w:noProof/>
        </w:rPr>
        <w:t>48</w:t>
      </w:r>
      <w:r w:rsidR="00A81F61" w:rsidRPr="00C66C24">
        <w:fldChar w:fldCharType="end"/>
      </w:r>
      <w:bookmarkEnd w:id="190"/>
      <w:r w:rsidR="00736310" w:rsidRPr="00C66C24">
        <w:t xml:space="preserve"> </w:t>
      </w:r>
      <w:r w:rsidR="00736310" w:rsidRPr="00C66C24">
        <w:rPr>
          <w:sz w:val="20"/>
          <w:szCs w:val="20"/>
        </w:rPr>
        <w:t>Expansion of ports between 2000</w:t>
      </w:r>
      <w:r w:rsidR="00CD019E">
        <w:rPr>
          <w:sz w:val="20"/>
          <w:szCs w:val="20"/>
        </w:rPr>
        <w:t>-</w:t>
      </w:r>
      <w:r w:rsidR="00736310" w:rsidRPr="00C66C24">
        <w:rPr>
          <w:sz w:val="20"/>
          <w:szCs w:val="20"/>
        </w:rPr>
        <w:t>2018 in Europe (left) and per marine region (right)</w:t>
      </w:r>
      <w:r w:rsidR="009F305E" w:rsidRPr="00C66C24">
        <w:rPr>
          <w:rStyle w:val="FootnoteReference"/>
        </w:rPr>
        <w:footnoteReference w:id="33"/>
      </w:r>
      <w:bookmarkEnd w:id="191"/>
      <w:r w:rsidR="002871A9">
        <w:rPr>
          <w:sz w:val="20"/>
          <w:szCs w:val="20"/>
        </w:rPr>
        <w:t>.</w:t>
      </w:r>
    </w:p>
    <w:p w14:paraId="520A5E5E" w14:textId="61390CAE" w:rsidR="00327515" w:rsidRPr="00C66C24" w:rsidRDefault="00736310" w:rsidP="00D76FFD">
      <w:pPr>
        <w:spacing w:before="0" w:after="120" w:line="257" w:lineRule="auto"/>
        <w:jc w:val="center"/>
        <w:rPr>
          <w:sz w:val="20"/>
          <w:szCs w:val="20"/>
        </w:rPr>
      </w:pPr>
      <w:r w:rsidRPr="00C66C24">
        <w:rPr>
          <w:b/>
          <w:sz w:val="20"/>
          <w:szCs w:val="20"/>
        </w:rPr>
        <w:t>Source:</w:t>
      </w:r>
      <w:r w:rsidRPr="00C66C24">
        <w:rPr>
          <w:sz w:val="20"/>
          <w:szCs w:val="20"/>
        </w:rPr>
        <w:t xml:space="preserve"> Copernicus Corine Land Cover (2018, 2012, 2006, 2000), Regional seas around Europe</w:t>
      </w:r>
      <w:r w:rsidR="008C4DDC" w:rsidRPr="00C66C24">
        <w:rPr>
          <w:sz w:val="20"/>
          <w:szCs w:val="20"/>
        </w:rPr>
        <w:t>.</w:t>
      </w:r>
    </w:p>
    <w:p w14:paraId="02BC5A90" w14:textId="3412CE04" w:rsidR="00FE1CB9" w:rsidRPr="00C66C24" w:rsidRDefault="004F5CA6" w:rsidP="00BB0A3E">
      <w:pPr>
        <w:spacing w:before="0" w:after="120" w:line="257" w:lineRule="auto"/>
      </w:pPr>
      <w:r w:rsidRPr="00C66C24">
        <w:t xml:space="preserve">Almost 3 % of European coastline is occupied by ports. </w:t>
      </w:r>
      <w:r w:rsidR="00736310" w:rsidRPr="00C66C24">
        <w:t>The port area is the largest in North-east Atlantic Ocean, where the largest ports such as Rotterdam (400</w:t>
      </w:r>
      <w:r w:rsidR="00411440" w:rsidRPr="00C66C24">
        <w:t xml:space="preserve"> </w:t>
      </w:r>
      <w:r w:rsidR="00A91D5F" w:rsidRPr="00C66C24">
        <w:t>million</w:t>
      </w:r>
      <w:r w:rsidR="00736310" w:rsidRPr="00C66C24">
        <w:t xml:space="preserve"> tonnes per year) in the Netherlands, Hamburg in Germany (200 </w:t>
      </w:r>
      <w:r w:rsidR="0071599A" w:rsidRPr="00C66C24">
        <w:t>million</w:t>
      </w:r>
      <w:r w:rsidR="00736310" w:rsidRPr="00C66C24">
        <w:t xml:space="preserve"> tonnes per year), and Antwerp in Belgium (100 </w:t>
      </w:r>
      <w:r w:rsidR="00C06A05" w:rsidRPr="00C66C24">
        <w:t>million</w:t>
      </w:r>
      <w:r w:rsidR="00736310" w:rsidRPr="00C66C24">
        <w:t xml:space="preserve"> tonnes per year) are leading ports in terms of inward and outward transferred tonnes.</w:t>
      </w:r>
      <w:r w:rsidR="00267A19" w:rsidRPr="00C66C24">
        <w:t xml:space="preserve"> </w:t>
      </w:r>
      <w:r w:rsidR="00736310" w:rsidRPr="00C66C24">
        <w:t>Even though the total area of ports in the Black Sea is relatively small,</w:t>
      </w:r>
      <w:r w:rsidR="00736310" w:rsidRPr="00C66C24">
        <w:rPr>
          <w:u w:val="single"/>
        </w:rPr>
        <w:t xml:space="preserve"> </w:t>
      </w:r>
      <w:r w:rsidR="00736310" w:rsidRPr="00C66C24">
        <w:t>accounting for only 51 km</w:t>
      </w:r>
      <w:r w:rsidR="00736310" w:rsidRPr="00C66C24">
        <w:rPr>
          <w:vertAlign w:val="superscript"/>
        </w:rPr>
        <w:t>2</w:t>
      </w:r>
      <w:r w:rsidR="00736310" w:rsidRPr="00C66C24">
        <w:t xml:space="preserve"> or 5% of Europe's total, it is the region with the highest percentage (</w:t>
      </w:r>
      <w:r w:rsidRPr="00C66C24">
        <w:t>5</w:t>
      </w:r>
      <w:r w:rsidR="00736310" w:rsidRPr="00C66C24">
        <w:t>.</w:t>
      </w:r>
      <w:r w:rsidRPr="00C66C24">
        <w:t>9</w:t>
      </w:r>
      <w:r w:rsidR="00D45601" w:rsidRPr="00C66C24">
        <w:t>%</w:t>
      </w:r>
      <w:r w:rsidRPr="00C66C24">
        <w:t xml:space="preserve"> or 249 km</w:t>
      </w:r>
      <w:r w:rsidR="00736310" w:rsidRPr="00C66C24">
        <w:t>) of coastline affected by ports</w:t>
      </w:r>
      <w:r w:rsidR="00736310" w:rsidRPr="00C66C24">
        <w:rPr>
          <w:rStyle w:val="FootnoteReference"/>
        </w:rPr>
        <w:footnoteReference w:id="34"/>
      </w:r>
      <w:r w:rsidR="00736310" w:rsidRPr="00C66C24">
        <w:t xml:space="preserve"> (</w:t>
      </w:r>
      <w:r w:rsidR="00411440" w:rsidRPr="00C66C24">
        <w:rPr>
          <w:szCs w:val="22"/>
        </w:rPr>
        <w:fldChar w:fldCharType="begin"/>
      </w:r>
      <w:r w:rsidR="00411440" w:rsidRPr="00C66C24">
        <w:rPr>
          <w:szCs w:val="22"/>
        </w:rPr>
        <w:instrText xml:space="preserve"> REF _Ref151124069 \h </w:instrText>
      </w:r>
      <w:r w:rsidR="004C3014" w:rsidRPr="00C66C24">
        <w:rPr>
          <w:szCs w:val="22"/>
        </w:rPr>
        <w:instrText xml:space="preserve"> \* MERGEFORMAT </w:instrText>
      </w:r>
      <w:r w:rsidR="00411440" w:rsidRPr="00C66C24">
        <w:rPr>
          <w:szCs w:val="22"/>
        </w:rPr>
      </w:r>
      <w:r w:rsidR="00411440" w:rsidRPr="00C66C24">
        <w:rPr>
          <w:szCs w:val="22"/>
        </w:rPr>
        <w:fldChar w:fldCharType="separate"/>
      </w:r>
      <w:r w:rsidR="00D76FFD" w:rsidRPr="00C66C24">
        <w:t>Figure 2.49</w:t>
      </w:r>
      <w:r w:rsidR="00411440" w:rsidRPr="00C66C24">
        <w:rPr>
          <w:szCs w:val="22"/>
        </w:rPr>
        <w:fldChar w:fldCharType="end"/>
      </w:r>
      <w:r w:rsidR="00736310" w:rsidRPr="00C66C24">
        <w:t xml:space="preserve">). The lowest percentage of coastline affected by ports </w:t>
      </w:r>
      <w:r w:rsidR="00080756" w:rsidRPr="00C66C24">
        <w:t xml:space="preserve">is </w:t>
      </w:r>
      <w:r w:rsidR="00736310" w:rsidRPr="00C66C24">
        <w:t xml:space="preserve">the Baltic Sea </w:t>
      </w:r>
      <w:r w:rsidR="00E60F19" w:rsidRPr="00C66C24">
        <w:t xml:space="preserve">(1.2 % or 757 km), </w:t>
      </w:r>
      <w:r w:rsidR="00080756" w:rsidRPr="00C66C24">
        <w:t xml:space="preserve">and </w:t>
      </w:r>
      <w:r w:rsidR="00E60F19" w:rsidRPr="00C66C24">
        <w:t>this</w:t>
      </w:r>
      <w:r w:rsidR="00080756" w:rsidRPr="00C66C24">
        <w:t xml:space="preserve"> </w:t>
      </w:r>
      <w:r w:rsidR="00736310" w:rsidRPr="00C66C24">
        <w:t>is caused by the very long and rugged coastline composed by numerous islands and archipelagos.</w:t>
      </w:r>
    </w:p>
    <w:p w14:paraId="50871CA3" w14:textId="392985FE" w:rsidR="00736310" w:rsidRPr="00C66C24" w:rsidRDefault="00736310" w:rsidP="008C6A9C">
      <w:pPr>
        <w:keepNext/>
        <w:spacing w:before="0" w:after="0" w:line="257" w:lineRule="auto"/>
        <w:jc w:val="center"/>
      </w:pPr>
      <w:r w:rsidRPr="00C66C24">
        <w:rPr>
          <w:noProof/>
        </w:rPr>
        <w:drawing>
          <wp:inline distT="0" distB="0" distL="0" distR="0" wp14:anchorId="2BCA1015" wp14:editId="3D2CF133">
            <wp:extent cx="2537257" cy="2342664"/>
            <wp:effectExtent l="0" t="0" r="0" b="635"/>
            <wp:docPr id="72393862" name="Picture 72393862" descr="A graph of different sizes and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93862" name="Picture 72393862" descr="A graph of different sizes and colors&#10;&#10;Description automatically generated with medium confidence"/>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563948" cy="2367308"/>
                    </a:xfrm>
                    <a:prstGeom prst="rect">
                      <a:avLst/>
                    </a:prstGeom>
                    <a:noFill/>
                  </pic:spPr>
                </pic:pic>
              </a:graphicData>
            </a:graphic>
          </wp:inline>
        </w:drawing>
      </w:r>
      <w:r w:rsidR="00F47AC5" w:rsidRPr="00C66C24">
        <w:rPr>
          <w:noProof/>
        </w:rPr>
        <w:drawing>
          <wp:inline distT="0" distB="0" distL="0" distR="0" wp14:anchorId="09063E57" wp14:editId="7B7F2C69">
            <wp:extent cx="2468328" cy="2330552"/>
            <wp:effectExtent l="0" t="0" r="8255" b="0"/>
            <wp:docPr id="1069544997" name="Picture 1069544997" descr="A graph of a number of different sea sta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44997" name="Picture 1069544997" descr="A graph of a number of different sea states&#10;&#10;Description automatically generated with medium confidence"/>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507680" cy="2367708"/>
                    </a:xfrm>
                    <a:prstGeom prst="rect">
                      <a:avLst/>
                    </a:prstGeom>
                    <a:noFill/>
                  </pic:spPr>
                </pic:pic>
              </a:graphicData>
            </a:graphic>
          </wp:inline>
        </w:drawing>
      </w:r>
    </w:p>
    <w:p w14:paraId="333E66B1" w14:textId="4EC6C1DA" w:rsidR="00871852" w:rsidRPr="00C66C24" w:rsidRDefault="00871852" w:rsidP="008C6A9C">
      <w:pPr>
        <w:pStyle w:val="Caption"/>
        <w:spacing w:after="0" w:line="257" w:lineRule="auto"/>
        <w:jc w:val="center"/>
        <w:rPr>
          <w:sz w:val="20"/>
          <w:szCs w:val="20"/>
        </w:rPr>
      </w:pPr>
      <w:bookmarkStart w:id="192" w:name="_Ref151124069"/>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49</w:t>
      </w:r>
      <w:r w:rsidR="00A81F61" w:rsidRPr="00C66C24">
        <w:rPr>
          <w:sz w:val="20"/>
          <w:szCs w:val="20"/>
        </w:rPr>
        <w:fldChar w:fldCharType="end"/>
      </w:r>
      <w:bookmarkEnd w:id="192"/>
      <w:r w:rsidRPr="00C66C24">
        <w:rPr>
          <w:sz w:val="20"/>
          <w:szCs w:val="20"/>
        </w:rPr>
        <w:t xml:space="preserve"> </w:t>
      </w:r>
      <w:r w:rsidR="00B4219D" w:rsidRPr="00C66C24">
        <w:rPr>
          <w:sz w:val="20"/>
          <w:szCs w:val="20"/>
        </w:rPr>
        <w:t>T</w:t>
      </w:r>
      <w:r w:rsidRPr="00C66C24">
        <w:rPr>
          <w:sz w:val="20"/>
          <w:szCs w:val="20"/>
        </w:rPr>
        <w:t>ransferred goods in thousands of tonnes in 2021 (left) and percentage of coastline affected by ports (right)</w:t>
      </w:r>
      <w:r w:rsidRPr="00C66C24">
        <w:rPr>
          <w:rStyle w:val="FootnoteReference"/>
        </w:rPr>
        <w:footnoteReference w:id="35"/>
      </w:r>
      <w:r w:rsidRPr="00C66C24">
        <w:rPr>
          <w:sz w:val="20"/>
          <w:szCs w:val="20"/>
        </w:rPr>
        <w:t>.</w:t>
      </w:r>
    </w:p>
    <w:p w14:paraId="7DB5C01F" w14:textId="4A42D291" w:rsidR="00871852" w:rsidRPr="00C66C24" w:rsidRDefault="00871852" w:rsidP="009421AC">
      <w:pPr>
        <w:spacing w:before="0" w:after="120" w:line="257" w:lineRule="auto"/>
        <w:jc w:val="center"/>
        <w:rPr>
          <w:sz w:val="20"/>
          <w:szCs w:val="20"/>
        </w:rPr>
      </w:pPr>
      <w:r w:rsidRPr="00C66C24">
        <w:rPr>
          <w:sz w:val="20"/>
          <w:szCs w:val="20"/>
        </w:rPr>
        <w:t>Source: EMODNET main ports (goods traffic 2021), Regional seas around Europe, EEA marine assessment areas buffer zones</w:t>
      </w:r>
      <w:r w:rsidR="001326F9" w:rsidRPr="00C66C24">
        <w:rPr>
          <w:sz w:val="20"/>
          <w:szCs w:val="20"/>
        </w:rPr>
        <w:t>.</w:t>
      </w:r>
    </w:p>
    <w:p w14:paraId="1B32F49A" w14:textId="36B33CAA" w:rsidR="00736310" w:rsidRPr="00C66C24" w:rsidRDefault="00736310" w:rsidP="008C6A9C">
      <w:pPr>
        <w:spacing w:before="0" w:after="0" w:line="257" w:lineRule="auto"/>
      </w:pPr>
      <w:r w:rsidRPr="00C66C24">
        <w:t xml:space="preserve">The process of constructing port infrastructure involves activities like land conversion, reclamation, breakwater construction, pile driving, and extensive earthworks, all of which contribute to considerable degradation of marine habitats. In addition, operational port activities such as ship manoeuvres and seabed modifications </w:t>
      </w:r>
      <w:r w:rsidR="000D7D02" w:rsidRPr="00C66C24">
        <w:t xml:space="preserve">impact </w:t>
      </w:r>
      <w:r w:rsidRPr="00C66C24">
        <w:t>the area</w:t>
      </w:r>
      <w:r w:rsidR="000D7D02" w:rsidRPr="00C66C24">
        <w:t xml:space="preserve"> as well</w:t>
      </w:r>
      <w:r w:rsidRPr="00C66C24">
        <w:t>. Infralittoral biological zone (shallow water closest to the shore) is subject to the most intense and widespread degradation</w:t>
      </w:r>
      <w:r w:rsidR="000311CC" w:rsidRPr="00C66C24">
        <w:t>,</w:t>
      </w:r>
      <w:r w:rsidRPr="00C66C24">
        <w:t xml:space="preserve"> whereas other biological zones (e.g., shallow circalittoral, </w:t>
      </w:r>
      <w:r w:rsidRPr="00C66C24">
        <w:rPr>
          <w:szCs w:val="22"/>
        </w:rPr>
        <w:t>circalittoral) are significantly less impacted</w:t>
      </w:r>
      <w:r w:rsidR="003836C4" w:rsidRPr="00C66C24">
        <w:rPr>
          <w:szCs w:val="22"/>
        </w:rPr>
        <w:t xml:space="preserve"> (</w:t>
      </w:r>
      <w:r w:rsidR="003836C4" w:rsidRPr="00C66C24">
        <w:rPr>
          <w:szCs w:val="22"/>
        </w:rPr>
        <w:fldChar w:fldCharType="begin"/>
      </w:r>
      <w:r w:rsidR="003836C4" w:rsidRPr="00C66C24">
        <w:rPr>
          <w:szCs w:val="22"/>
        </w:rPr>
        <w:instrText xml:space="preserve"> REF _Ref151124205 \h </w:instrText>
      </w:r>
      <w:r w:rsidR="004C3014" w:rsidRPr="00C66C24">
        <w:rPr>
          <w:szCs w:val="22"/>
        </w:rPr>
        <w:instrText xml:space="preserve"> \* MERGEFORMAT </w:instrText>
      </w:r>
      <w:r w:rsidR="003836C4" w:rsidRPr="00C66C24">
        <w:rPr>
          <w:szCs w:val="22"/>
        </w:rPr>
      </w:r>
      <w:r w:rsidR="003836C4" w:rsidRPr="00C66C24">
        <w:rPr>
          <w:szCs w:val="22"/>
        </w:rPr>
        <w:fldChar w:fldCharType="separate"/>
      </w:r>
      <w:r w:rsidR="00711934" w:rsidRPr="00C66C24">
        <w:rPr>
          <w:szCs w:val="22"/>
        </w:rPr>
        <w:t xml:space="preserve">Figure </w:t>
      </w:r>
      <w:r w:rsidR="00711934" w:rsidRPr="00C66C24">
        <w:rPr>
          <w:noProof/>
          <w:szCs w:val="22"/>
        </w:rPr>
        <w:t>2.50</w:t>
      </w:r>
      <w:r w:rsidR="003836C4" w:rsidRPr="00C66C24">
        <w:rPr>
          <w:szCs w:val="22"/>
        </w:rPr>
        <w:fldChar w:fldCharType="end"/>
      </w:r>
      <w:r w:rsidR="003836C4" w:rsidRPr="00C66C24">
        <w:t>)</w:t>
      </w:r>
      <w:r w:rsidRPr="00C66C24">
        <w:t>.</w:t>
      </w:r>
    </w:p>
    <w:p w14:paraId="0CDE7192" w14:textId="0450DECF" w:rsidR="00736310" w:rsidRPr="00C66C24" w:rsidRDefault="00736310" w:rsidP="008C6A9C">
      <w:pPr>
        <w:pStyle w:val="Caption"/>
        <w:keepNext/>
        <w:spacing w:after="0" w:line="257" w:lineRule="auto"/>
        <w:jc w:val="center"/>
      </w:pPr>
      <w:r w:rsidRPr="00C66C24">
        <w:rPr>
          <w:noProof/>
          <w:color w:val="auto"/>
        </w:rPr>
        <w:drawing>
          <wp:inline distT="0" distB="0" distL="0" distR="0" wp14:anchorId="316EFA9A" wp14:editId="76981EB8">
            <wp:extent cx="2662361" cy="2040275"/>
            <wp:effectExtent l="0" t="0" r="5080" b="0"/>
            <wp:docPr id="153464635" name="Picture 153464635"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4635" name="Picture 153464635" descr="A graph of a number of people&#10;&#10;Description automatically generated with medium confidence"/>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757223" cy="2112971"/>
                    </a:xfrm>
                    <a:prstGeom prst="rect">
                      <a:avLst/>
                    </a:prstGeom>
                    <a:noFill/>
                  </pic:spPr>
                </pic:pic>
              </a:graphicData>
            </a:graphic>
          </wp:inline>
        </w:drawing>
      </w:r>
      <w:r w:rsidR="00F47AC5" w:rsidRPr="00C66C24">
        <w:rPr>
          <w:noProof/>
          <w:color w:val="auto"/>
        </w:rPr>
        <w:drawing>
          <wp:inline distT="0" distB="0" distL="0" distR="0" wp14:anchorId="2D806DF6" wp14:editId="6AC5ED64">
            <wp:extent cx="2644195" cy="2039290"/>
            <wp:effectExtent l="0" t="0" r="3810" b="0"/>
            <wp:docPr id="1078632095" name="Picture 1078632095"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632095" name="Picture 1078632095" descr="A graph of different colored squares&#10;&#10;Description automatically generated"/>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661441" cy="2052591"/>
                    </a:xfrm>
                    <a:prstGeom prst="rect">
                      <a:avLst/>
                    </a:prstGeom>
                    <a:noFill/>
                  </pic:spPr>
                </pic:pic>
              </a:graphicData>
            </a:graphic>
          </wp:inline>
        </w:drawing>
      </w:r>
    </w:p>
    <w:p w14:paraId="4CB7954D" w14:textId="5EAA777D" w:rsidR="00736310" w:rsidRPr="00C66C24" w:rsidRDefault="00736310" w:rsidP="008C6A9C">
      <w:pPr>
        <w:pStyle w:val="Caption"/>
        <w:spacing w:after="0" w:line="257" w:lineRule="auto"/>
        <w:jc w:val="center"/>
        <w:rPr>
          <w:sz w:val="20"/>
          <w:szCs w:val="20"/>
        </w:rPr>
      </w:pPr>
      <w:bookmarkStart w:id="193" w:name="_Ref151124205"/>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50</w:t>
      </w:r>
      <w:r w:rsidR="00A81F61" w:rsidRPr="00C66C24">
        <w:rPr>
          <w:sz w:val="20"/>
          <w:szCs w:val="20"/>
        </w:rPr>
        <w:fldChar w:fldCharType="end"/>
      </w:r>
      <w:bookmarkEnd w:id="193"/>
      <w:r w:rsidRPr="00C66C24">
        <w:rPr>
          <w:sz w:val="20"/>
          <w:szCs w:val="20"/>
        </w:rPr>
        <w:t xml:space="preserve"> Percentage of biological zones affected by ports facilities and intensity of port pressure to biological zones</w:t>
      </w:r>
      <w:r w:rsidR="00454C37" w:rsidRPr="00C66C24">
        <w:rPr>
          <w:rStyle w:val="FootnoteReference"/>
        </w:rPr>
        <w:footnoteReference w:id="36"/>
      </w:r>
      <w:r w:rsidRPr="00C66C24">
        <w:rPr>
          <w:sz w:val="20"/>
          <w:szCs w:val="20"/>
        </w:rPr>
        <w:t>.</w:t>
      </w:r>
    </w:p>
    <w:p w14:paraId="274593D0" w14:textId="7806C65E" w:rsidR="000D7D02" w:rsidRPr="00C66C24" w:rsidRDefault="00736310" w:rsidP="002A0520">
      <w:pPr>
        <w:pStyle w:val="Caption"/>
        <w:keepNext/>
        <w:spacing w:after="120" w:line="257" w:lineRule="auto"/>
        <w:jc w:val="center"/>
        <w:rPr>
          <w:b w:val="0"/>
          <w:bCs/>
          <w:color w:val="auto"/>
          <w:sz w:val="20"/>
          <w:szCs w:val="20"/>
        </w:rPr>
      </w:pPr>
      <w:r w:rsidRPr="00C66C24">
        <w:rPr>
          <w:b w:val="0"/>
          <w:bCs/>
          <w:color w:val="auto"/>
          <w:sz w:val="20"/>
          <w:szCs w:val="20"/>
        </w:rPr>
        <w:t xml:space="preserve">Source: </w:t>
      </w:r>
      <w:hyperlink r:id="rId90" w:anchor="/metadata/ff0933f1-d6df-45d1-8c4e-3f5a95a2296e" w:history="1">
        <w:r w:rsidRPr="00C66C24">
          <w:rPr>
            <w:rStyle w:val="Hyperlink"/>
            <w:b w:val="0"/>
            <w:bCs/>
            <w:sz w:val="20"/>
            <w:szCs w:val="20"/>
          </w:rPr>
          <w:t>MSFD Benthic Broad Habitat Types</w:t>
        </w:r>
      </w:hyperlink>
      <w:r w:rsidRPr="00C66C24">
        <w:rPr>
          <w:b w:val="0"/>
          <w:bCs/>
          <w:color w:val="auto"/>
          <w:sz w:val="20"/>
          <w:szCs w:val="20"/>
        </w:rPr>
        <w:t>, Copernicus Corine Land Cover (2018)</w:t>
      </w:r>
      <w:r w:rsidR="007C384F" w:rsidRPr="00C66C24">
        <w:rPr>
          <w:b w:val="0"/>
          <w:bCs/>
          <w:color w:val="auto"/>
          <w:sz w:val="20"/>
          <w:szCs w:val="20"/>
        </w:rPr>
        <w:t>.</w:t>
      </w:r>
    </w:p>
    <w:p w14:paraId="315FC1E8" w14:textId="206D1A1B" w:rsidR="00144B64" w:rsidRPr="00C66C24" w:rsidRDefault="00736310" w:rsidP="009421AC">
      <w:pPr>
        <w:spacing w:before="0" w:after="120" w:line="257" w:lineRule="auto"/>
      </w:pPr>
      <w:r w:rsidRPr="00C66C24">
        <w:t xml:space="preserve">The damage caused by ports create a range of issues, such as diminished water quality, alterations in coastal morphology and hydrology, and the deterioration of sand and mud </w:t>
      </w:r>
      <w:r w:rsidRPr="00C66C24">
        <w:rPr>
          <w:szCs w:val="22"/>
        </w:rPr>
        <w:t>substrates (</w:t>
      </w:r>
      <w:r w:rsidR="003836C4" w:rsidRPr="00C66C24">
        <w:rPr>
          <w:szCs w:val="22"/>
        </w:rPr>
        <w:fldChar w:fldCharType="begin"/>
      </w:r>
      <w:r w:rsidR="003836C4" w:rsidRPr="00C66C24">
        <w:rPr>
          <w:szCs w:val="22"/>
        </w:rPr>
        <w:instrText xml:space="preserve"> REF _Ref151124228 \h </w:instrText>
      </w:r>
      <w:r w:rsidR="00FD6B9D" w:rsidRPr="00C66C24">
        <w:rPr>
          <w:szCs w:val="22"/>
        </w:rPr>
        <w:instrText xml:space="preserve"> \* MERGEFORMAT </w:instrText>
      </w:r>
      <w:r w:rsidR="003836C4" w:rsidRPr="00C66C24">
        <w:rPr>
          <w:szCs w:val="22"/>
        </w:rPr>
      </w:r>
      <w:r w:rsidR="003836C4" w:rsidRPr="00C66C24">
        <w:rPr>
          <w:szCs w:val="22"/>
        </w:rPr>
        <w:fldChar w:fldCharType="separate"/>
      </w:r>
      <w:r w:rsidR="00C9511B" w:rsidRPr="00C66C24">
        <w:rPr>
          <w:szCs w:val="22"/>
        </w:rPr>
        <w:t xml:space="preserve">Figure </w:t>
      </w:r>
      <w:r w:rsidR="00C9511B" w:rsidRPr="00C66C24">
        <w:rPr>
          <w:noProof/>
          <w:szCs w:val="22"/>
        </w:rPr>
        <w:t>2.51</w:t>
      </w:r>
      <w:r w:rsidR="003836C4" w:rsidRPr="00C66C24">
        <w:rPr>
          <w:szCs w:val="22"/>
        </w:rPr>
        <w:fldChar w:fldCharType="end"/>
      </w:r>
      <w:r w:rsidRPr="00C66C24">
        <w:t>). The most impacted substrate is sand (28% of affected habitats) followed by muddy sand (12%)</w:t>
      </w:r>
      <w:r w:rsidR="007F0E4B" w:rsidRPr="00C66C24">
        <w:t>,</w:t>
      </w:r>
      <w:r w:rsidRPr="00C66C24">
        <w:t xml:space="preserve"> and sandy mud (9%). The sand and mud substrata present important habitats for seagrass, microalgae, mangroves, saltmarsh, prawns, bivalves, mud crabs</w:t>
      </w:r>
      <w:r w:rsidR="007F0E4B" w:rsidRPr="00C66C24">
        <w:t>,</w:t>
      </w:r>
      <w:r w:rsidRPr="00C66C24">
        <w:t xml:space="preserve"> and fish</w:t>
      </w:r>
      <w:r w:rsidR="00234BAC" w:rsidRPr="00C66C24">
        <w:t>:</w:t>
      </w:r>
      <w:r w:rsidRPr="00C66C24">
        <w:t xml:space="preserve"> all of which can be severely degraded due to ports and port related activities (e.g., dredging, turbidity).</w:t>
      </w:r>
    </w:p>
    <w:p w14:paraId="1BCCFF41" w14:textId="1FDD9333" w:rsidR="00736310" w:rsidRPr="00C66C24" w:rsidRDefault="00736310" w:rsidP="00C45D85">
      <w:pPr>
        <w:pStyle w:val="Caption"/>
        <w:keepNext/>
        <w:spacing w:after="0" w:line="257" w:lineRule="auto"/>
        <w:jc w:val="center"/>
      </w:pPr>
      <w:r w:rsidRPr="00C66C24">
        <w:rPr>
          <w:b w:val="0"/>
          <w:noProof/>
          <w:color w:val="5B9BD5" w:themeColor="accent1"/>
          <w:sz w:val="18"/>
        </w:rPr>
        <w:drawing>
          <wp:inline distT="0" distB="0" distL="0" distR="0" wp14:anchorId="3CE7CD08" wp14:editId="7A740756">
            <wp:extent cx="2836191" cy="1993827"/>
            <wp:effectExtent l="0" t="0" r="2540" b="6985"/>
            <wp:docPr id="1164877164" name="Picture 1164877164" descr="A graph of a number of different types of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77164" name="Picture 1164877164" descr="A graph of a number of different types of sand&#10;&#10;Description automatically generated"/>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879013" cy="2023930"/>
                    </a:xfrm>
                    <a:prstGeom prst="rect">
                      <a:avLst/>
                    </a:prstGeom>
                    <a:noFill/>
                  </pic:spPr>
                </pic:pic>
              </a:graphicData>
            </a:graphic>
          </wp:inline>
        </w:drawing>
      </w:r>
      <w:r w:rsidR="00F47AC5" w:rsidRPr="00C66C24">
        <w:rPr>
          <w:b w:val="0"/>
          <w:noProof/>
          <w:color w:val="5B9BD5" w:themeColor="accent1"/>
          <w:sz w:val="18"/>
        </w:rPr>
        <w:drawing>
          <wp:inline distT="0" distB="0" distL="0" distR="0" wp14:anchorId="1264CE97" wp14:editId="709B6B7F">
            <wp:extent cx="2540829" cy="1994916"/>
            <wp:effectExtent l="0" t="0" r="0" b="5715"/>
            <wp:docPr id="872357866" name="Picture 872357866" descr="A graph of different types of so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357866" name="Picture 872357866" descr="A graph of different types of soil&#10;&#10;Description automatically generated"/>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612985" cy="2051569"/>
                    </a:xfrm>
                    <a:prstGeom prst="rect">
                      <a:avLst/>
                    </a:prstGeom>
                    <a:noFill/>
                  </pic:spPr>
                </pic:pic>
              </a:graphicData>
            </a:graphic>
          </wp:inline>
        </w:drawing>
      </w:r>
    </w:p>
    <w:p w14:paraId="333916DB" w14:textId="4D9E37D0" w:rsidR="00F47AC5" w:rsidRPr="00C66C24" w:rsidRDefault="00F47AC5" w:rsidP="008C6A9C">
      <w:pPr>
        <w:pStyle w:val="Caption"/>
        <w:spacing w:after="0" w:line="257" w:lineRule="auto"/>
        <w:jc w:val="center"/>
        <w:rPr>
          <w:sz w:val="20"/>
          <w:szCs w:val="20"/>
        </w:rPr>
      </w:pPr>
      <w:bookmarkStart w:id="194" w:name="_Ref151124228"/>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51</w:t>
      </w:r>
      <w:r w:rsidR="00A81F61" w:rsidRPr="00C66C24">
        <w:rPr>
          <w:sz w:val="20"/>
          <w:szCs w:val="20"/>
        </w:rPr>
        <w:fldChar w:fldCharType="end"/>
      </w:r>
      <w:bookmarkEnd w:id="194"/>
      <w:r w:rsidRPr="00C66C24">
        <w:rPr>
          <w:sz w:val="20"/>
          <w:szCs w:val="20"/>
        </w:rPr>
        <w:t xml:space="preserve"> Percentage of substrata affected by ports facilities and intensity of port pressure to biological zones</w:t>
      </w:r>
      <w:r w:rsidR="00454C37" w:rsidRPr="00C66C24">
        <w:rPr>
          <w:rStyle w:val="FootnoteReference"/>
        </w:rPr>
        <w:footnoteReference w:id="37"/>
      </w:r>
      <w:r w:rsidR="001326F9" w:rsidRPr="00C66C24">
        <w:rPr>
          <w:sz w:val="20"/>
          <w:szCs w:val="20"/>
        </w:rPr>
        <w:t>.</w:t>
      </w:r>
    </w:p>
    <w:p w14:paraId="41073F96" w14:textId="3351E948" w:rsidR="00F33862" w:rsidRPr="00C66C24" w:rsidRDefault="00736310" w:rsidP="008C6A9C">
      <w:pPr>
        <w:pStyle w:val="Caption"/>
        <w:spacing w:after="0" w:line="257" w:lineRule="auto"/>
        <w:jc w:val="center"/>
        <w:rPr>
          <w:b w:val="0"/>
          <w:bCs/>
          <w:color w:val="auto"/>
          <w:sz w:val="20"/>
          <w:szCs w:val="20"/>
        </w:rPr>
      </w:pPr>
      <w:r w:rsidRPr="00C66C24">
        <w:rPr>
          <w:b w:val="0"/>
          <w:bCs/>
          <w:color w:val="auto"/>
          <w:sz w:val="20"/>
          <w:szCs w:val="20"/>
        </w:rPr>
        <w:t xml:space="preserve">Source: </w:t>
      </w:r>
      <w:hyperlink r:id="rId93" w:anchor="/metadata/ff0933f1-d6df-45d1-8c4e-3f5a95a2296e" w:history="1">
        <w:r w:rsidRPr="00C66C24">
          <w:rPr>
            <w:rStyle w:val="Hyperlink"/>
            <w:b w:val="0"/>
            <w:color w:val="auto"/>
            <w:sz w:val="20"/>
            <w:szCs w:val="20"/>
            <w:u w:val="none"/>
          </w:rPr>
          <w:t>MSFD Benthic Broad Habitat Types</w:t>
        </w:r>
      </w:hyperlink>
      <w:r w:rsidRPr="00C66C24">
        <w:rPr>
          <w:b w:val="0"/>
          <w:bCs/>
          <w:color w:val="auto"/>
          <w:sz w:val="20"/>
          <w:szCs w:val="20"/>
        </w:rPr>
        <w:t>, Copernicus Corine Land Cover (2018)</w:t>
      </w:r>
      <w:r w:rsidR="007C384F" w:rsidRPr="00C66C24">
        <w:rPr>
          <w:b w:val="0"/>
          <w:bCs/>
          <w:color w:val="auto"/>
          <w:sz w:val="20"/>
          <w:szCs w:val="20"/>
        </w:rPr>
        <w:t>.</w:t>
      </w:r>
    </w:p>
    <w:p w14:paraId="4E8FE412" w14:textId="1BD22230" w:rsidR="00F33862" w:rsidRPr="00C66C24" w:rsidRDefault="00BE798D" w:rsidP="008C6A9C">
      <w:pPr>
        <w:pStyle w:val="Heading1"/>
        <w:spacing w:line="257" w:lineRule="auto"/>
      </w:pPr>
      <w:bookmarkStart w:id="195" w:name="_Toc156316340"/>
      <w:bookmarkStart w:id="196" w:name="_Toc156316493"/>
      <w:bookmarkStart w:id="197" w:name="_Ref157421566"/>
      <w:bookmarkStart w:id="198" w:name="_Toc157762081"/>
      <w:r w:rsidRPr="00C66C24">
        <w:rPr>
          <w:iCs/>
        </w:rPr>
        <w:t>Achieving</w:t>
      </w:r>
      <w:r w:rsidR="00C40C54" w:rsidRPr="00C66C24">
        <w:rPr>
          <w:iCs/>
        </w:rPr>
        <w:t xml:space="preserve"> decarbonisation targets</w:t>
      </w:r>
      <w:bookmarkEnd w:id="195"/>
      <w:bookmarkEnd w:id="196"/>
      <w:bookmarkEnd w:id="197"/>
      <w:bookmarkEnd w:id="198"/>
    </w:p>
    <w:p w14:paraId="0B5EB62F" w14:textId="204DF5E2" w:rsidR="00A9144C" w:rsidRPr="00C66C24" w:rsidRDefault="00DC4594" w:rsidP="008D2A79">
      <w:pPr>
        <w:spacing w:before="0" w:after="120" w:line="257" w:lineRule="auto"/>
        <w:rPr>
          <w:rFonts w:eastAsiaTheme="minorEastAsia"/>
        </w:rPr>
      </w:pPr>
      <w:r w:rsidRPr="00C66C24">
        <w:rPr>
          <w:rFonts w:eastAsiaTheme="minorEastAsia"/>
        </w:rPr>
        <w:t>Spurred by the ambition of the European Green Deal</w:t>
      </w:r>
      <w:r w:rsidR="00661FFD">
        <w:rPr>
          <w:rFonts w:eastAsiaTheme="minorEastAsia"/>
        </w:rPr>
        <w:t>,</w:t>
      </w:r>
      <w:r w:rsidR="0021340C">
        <w:rPr>
          <w:rFonts w:eastAsiaTheme="minorEastAsia"/>
        </w:rPr>
        <w:t xml:space="preserve"> </w:t>
      </w:r>
      <w:r w:rsidRPr="00C66C24">
        <w:rPr>
          <w:rFonts w:eastAsiaTheme="minorEastAsia"/>
        </w:rPr>
        <w:t>th</w:t>
      </w:r>
      <w:r w:rsidR="00661FFD">
        <w:rPr>
          <w:rFonts w:eastAsiaTheme="minorEastAsia"/>
        </w:rPr>
        <w:t>is</w:t>
      </w:r>
      <w:r w:rsidRPr="00C66C24">
        <w:rPr>
          <w:rFonts w:eastAsiaTheme="minorEastAsia"/>
        </w:rPr>
        <w:t xml:space="preserve"> chapter </w:t>
      </w:r>
      <w:r w:rsidR="006B7D00" w:rsidRPr="00C66C24">
        <w:rPr>
          <w:rFonts w:eastAsiaTheme="minorEastAsia"/>
        </w:rPr>
        <w:t>review</w:t>
      </w:r>
      <w:r w:rsidR="00C40D00" w:rsidRPr="00C66C24">
        <w:rPr>
          <w:rFonts w:eastAsiaTheme="minorEastAsia"/>
        </w:rPr>
        <w:t>s</w:t>
      </w:r>
      <w:r w:rsidR="006B7D00" w:rsidRPr="00C66C24">
        <w:rPr>
          <w:rFonts w:eastAsiaTheme="minorEastAsia"/>
        </w:rPr>
        <w:t xml:space="preserve"> </w:t>
      </w:r>
      <w:r w:rsidRPr="00C66C24">
        <w:rPr>
          <w:rFonts w:eastAsiaTheme="minorEastAsia"/>
        </w:rPr>
        <w:t>the “EU basket of measures”</w:t>
      </w:r>
      <w:r w:rsidR="00A74CDB" w:rsidRPr="00A74CDB">
        <w:t xml:space="preserve"> </w:t>
      </w:r>
      <w:r w:rsidR="00A74CDB" w:rsidRPr="00A74CDB">
        <w:rPr>
          <w:rFonts w:eastAsiaTheme="minorEastAsia"/>
        </w:rPr>
        <w:t>reflect</w:t>
      </w:r>
      <w:r w:rsidR="00A74CDB">
        <w:rPr>
          <w:rFonts w:eastAsiaTheme="minorEastAsia"/>
        </w:rPr>
        <w:t>ing</w:t>
      </w:r>
      <w:r w:rsidR="00A74CDB" w:rsidRPr="00A74CDB">
        <w:rPr>
          <w:rFonts w:eastAsiaTheme="minorEastAsia"/>
        </w:rPr>
        <w:t xml:space="preserve"> the EU's goal to cut greenhouse gas emissions</w:t>
      </w:r>
      <w:r w:rsidRPr="00C66C24">
        <w:rPr>
          <w:rFonts w:eastAsiaTheme="minorEastAsia"/>
        </w:rPr>
        <w:t>, analyse</w:t>
      </w:r>
      <w:r w:rsidR="00D054EE" w:rsidRPr="00C66C24">
        <w:rPr>
          <w:rFonts w:eastAsiaTheme="minorEastAsia"/>
        </w:rPr>
        <w:t>s</w:t>
      </w:r>
      <w:r w:rsidRPr="00C66C24">
        <w:rPr>
          <w:rFonts w:eastAsiaTheme="minorEastAsia"/>
        </w:rPr>
        <w:t xml:space="preserve"> the CO</w:t>
      </w:r>
      <w:r w:rsidRPr="00C66C24">
        <w:rPr>
          <w:rFonts w:eastAsiaTheme="minorEastAsia"/>
          <w:vertAlign w:val="subscript"/>
        </w:rPr>
        <w:t>2</w:t>
      </w:r>
      <w:r w:rsidRPr="00C66C24">
        <w:rPr>
          <w:rFonts w:eastAsiaTheme="minorEastAsia"/>
        </w:rPr>
        <w:t xml:space="preserve"> emission outlook scenarios of the maritime sector, </w:t>
      </w:r>
      <w:r w:rsidR="00E36CA4" w:rsidRPr="00C66C24">
        <w:rPr>
          <w:rFonts w:eastAsiaTheme="minorEastAsia"/>
        </w:rPr>
        <w:t xml:space="preserve">and </w:t>
      </w:r>
      <w:r w:rsidRPr="00C66C24">
        <w:rPr>
          <w:rFonts w:eastAsiaTheme="minorEastAsia"/>
        </w:rPr>
        <w:t>describe</w:t>
      </w:r>
      <w:r w:rsidR="00D054EE" w:rsidRPr="00C66C24">
        <w:rPr>
          <w:rFonts w:eastAsiaTheme="minorEastAsia"/>
        </w:rPr>
        <w:t>s</w:t>
      </w:r>
      <w:r w:rsidRPr="00C66C24">
        <w:rPr>
          <w:rFonts w:eastAsiaTheme="minorEastAsia"/>
        </w:rPr>
        <w:t xml:space="preserve"> the </w:t>
      </w:r>
      <w:r w:rsidR="002A4827" w:rsidRPr="00C66C24">
        <w:rPr>
          <w:rFonts w:eastAsiaTheme="minorEastAsia"/>
        </w:rPr>
        <w:t xml:space="preserve">major </w:t>
      </w:r>
      <w:r w:rsidRPr="00C66C24">
        <w:rPr>
          <w:rFonts w:eastAsiaTheme="minorEastAsia"/>
        </w:rPr>
        <w:t>alternative energy carrier solutions to reach the required CO</w:t>
      </w:r>
      <w:r w:rsidRPr="00C66C24">
        <w:rPr>
          <w:rFonts w:eastAsiaTheme="minorEastAsia"/>
          <w:vertAlign w:val="subscript"/>
        </w:rPr>
        <w:t xml:space="preserve">2 </w:t>
      </w:r>
      <w:r w:rsidRPr="00C66C24">
        <w:rPr>
          <w:rFonts w:eastAsiaTheme="minorEastAsia"/>
        </w:rPr>
        <w:t>targets</w:t>
      </w:r>
      <w:r w:rsidR="00E36CA4" w:rsidRPr="00C66C24">
        <w:rPr>
          <w:rFonts w:eastAsiaTheme="minorEastAsia"/>
        </w:rPr>
        <w:t xml:space="preserve">. </w:t>
      </w:r>
      <w:r w:rsidR="0021340C">
        <w:rPr>
          <w:rFonts w:eastAsiaTheme="minorEastAsia"/>
        </w:rPr>
        <w:t>I</w:t>
      </w:r>
      <w:r w:rsidR="00964747">
        <w:rPr>
          <w:rFonts w:eastAsiaTheme="minorEastAsia"/>
        </w:rPr>
        <w:t>t</w:t>
      </w:r>
      <w:r w:rsidR="0021340C">
        <w:rPr>
          <w:rFonts w:eastAsiaTheme="minorEastAsia"/>
        </w:rPr>
        <w:t xml:space="preserve"> has a particular focus on</w:t>
      </w:r>
      <w:r w:rsidRPr="00C66C24">
        <w:rPr>
          <w:rFonts w:eastAsiaTheme="minorEastAsia"/>
        </w:rPr>
        <w:t xml:space="preserve"> the “Fit-for-55” proposals related to the </w:t>
      </w:r>
      <w:r w:rsidR="00D655B8" w:rsidRPr="00C66C24">
        <w:rPr>
          <w:rFonts w:eastAsiaTheme="minorEastAsia"/>
        </w:rPr>
        <w:t>decarbo</w:t>
      </w:r>
      <w:r w:rsidR="0009544B" w:rsidRPr="00C66C24">
        <w:rPr>
          <w:rFonts w:eastAsiaTheme="minorEastAsia"/>
        </w:rPr>
        <w:t xml:space="preserve">nisation of the </w:t>
      </w:r>
      <w:r w:rsidRPr="00C66C24">
        <w:rPr>
          <w:rFonts w:eastAsiaTheme="minorEastAsia"/>
        </w:rPr>
        <w:t>maritime transport sector</w:t>
      </w:r>
      <w:r w:rsidR="008F1829">
        <w:rPr>
          <w:rFonts w:eastAsiaTheme="minorEastAsia"/>
        </w:rPr>
        <w:t>,</w:t>
      </w:r>
      <w:r w:rsidRPr="00C66C24">
        <w:rPr>
          <w:rFonts w:eastAsiaTheme="minorEastAsia"/>
        </w:rPr>
        <w:t xml:space="preserve"> which focus on the introduction of market-based measures and the uptake of new renewable energy sources, as well as the global targets as agreed in the new IMO GHG Strategy</w:t>
      </w:r>
      <w:r w:rsidR="0036241B">
        <w:rPr>
          <w:rFonts w:eastAsiaTheme="minorEastAsia"/>
        </w:rPr>
        <w:t xml:space="preserve">. </w:t>
      </w:r>
      <w:r w:rsidR="00E36CA4" w:rsidRPr="00C66C24">
        <w:rPr>
          <w:rFonts w:eastAsiaTheme="minorEastAsia"/>
        </w:rPr>
        <w:t>In addition, it will</w:t>
      </w:r>
      <w:r w:rsidRPr="00C66C24">
        <w:rPr>
          <w:rFonts w:eastAsiaTheme="minorEastAsia"/>
        </w:rPr>
        <w:t xml:space="preserve"> </w:t>
      </w:r>
      <w:r w:rsidR="00C63450" w:rsidRPr="00C66C24">
        <w:rPr>
          <w:rFonts w:eastAsiaTheme="minorEastAsia"/>
        </w:rPr>
        <w:t xml:space="preserve">bring together </w:t>
      </w:r>
      <w:r w:rsidR="00E36CA4" w:rsidRPr="00C66C24">
        <w:rPr>
          <w:rFonts w:eastAsiaTheme="minorEastAsia"/>
        </w:rPr>
        <w:t xml:space="preserve">the aforementioned sections </w:t>
      </w:r>
      <w:r w:rsidR="0087249D" w:rsidRPr="00C66C24">
        <w:rPr>
          <w:rFonts w:eastAsiaTheme="minorEastAsia"/>
        </w:rPr>
        <w:t xml:space="preserve">and </w:t>
      </w:r>
      <w:r w:rsidRPr="00C66C24">
        <w:rPr>
          <w:rFonts w:eastAsiaTheme="minorEastAsia"/>
        </w:rPr>
        <w:t>provide an energy transition foresight analysis</w:t>
      </w:r>
      <w:r w:rsidR="0080748A" w:rsidRPr="00C66C24">
        <w:rPr>
          <w:rFonts w:eastAsiaTheme="minorEastAsia"/>
        </w:rPr>
        <w:t xml:space="preserve">, firstly to 2030 and </w:t>
      </w:r>
      <w:r w:rsidR="00BA233B" w:rsidRPr="00C66C24">
        <w:rPr>
          <w:rFonts w:eastAsiaTheme="minorEastAsia"/>
        </w:rPr>
        <w:t>in a second instance to 2050</w:t>
      </w:r>
      <w:r w:rsidRPr="00C66C24">
        <w:rPr>
          <w:rFonts w:eastAsiaTheme="minorEastAsia"/>
        </w:rPr>
        <w:t xml:space="preserve">. This will enable to assess the challenges and opportunities the sector </w:t>
      </w:r>
      <w:r w:rsidR="00D42114">
        <w:rPr>
          <w:rFonts w:eastAsiaTheme="minorEastAsia"/>
        </w:rPr>
        <w:t xml:space="preserve">is </w:t>
      </w:r>
      <w:r w:rsidR="00D42114" w:rsidRPr="00C66C24">
        <w:rPr>
          <w:rFonts w:eastAsiaTheme="minorEastAsia"/>
        </w:rPr>
        <w:t xml:space="preserve">facing </w:t>
      </w:r>
      <w:r w:rsidR="00D42114">
        <w:rPr>
          <w:rFonts w:eastAsiaTheme="minorEastAsia"/>
        </w:rPr>
        <w:t>in</w:t>
      </w:r>
      <w:r w:rsidRPr="00C66C24">
        <w:rPr>
          <w:rFonts w:eastAsiaTheme="minorEastAsia"/>
        </w:rPr>
        <w:t xml:space="preserve"> the implementation of the new </w:t>
      </w:r>
      <w:r w:rsidR="00543834" w:rsidRPr="00C66C24">
        <w:rPr>
          <w:rFonts w:eastAsiaTheme="minorEastAsia"/>
        </w:rPr>
        <w:t>decarbonisation</w:t>
      </w:r>
      <w:r w:rsidR="74A9A04C" w:rsidRPr="00C66C24">
        <w:rPr>
          <w:rFonts w:eastAsiaTheme="minorEastAsia"/>
        </w:rPr>
        <w:t xml:space="preserve"> </w:t>
      </w:r>
      <w:r w:rsidRPr="00C66C24">
        <w:rPr>
          <w:rFonts w:eastAsiaTheme="minorEastAsia"/>
        </w:rPr>
        <w:t>targets.</w:t>
      </w:r>
    </w:p>
    <w:p w14:paraId="533A1B76" w14:textId="527EE7D2" w:rsidR="00BC1D27" w:rsidRPr="00C66C24" w:rsidRDefault="00BC1D27" w:rsidP="008C6A9C">
      <w:pPr>
        <w:pStyle w:val="Heading2"/>
        <w:spacing w:before="0" w:after="0" w:line="257" w:lineRule="auto"/>
      </w:pPr>
      <w:bookmarkStart w:id="199" w:name="_Toc156316341"/>
      <w:bookmarkStart w:id="200" w:name="_Toc156316494"/>
      <w:bookmarkStart w:id="201" w:name="_Toc157762082"/>
      <w:r w:rsidRPr="00C66C24">
        <w:t>An EU basket of measures</w:t>
      </w:r>
      <w:bookmarkEnd w:id="199"/>
      <w:bookmarkEnd w:id="200"/>
      <w:bookmarkEnd w:id="201"/>
    </w:p>
    <w:p w14:paraId="773C511C" w14:textId="3C47B437" w:rsidR="00BC1D27" w:rsidRPr="00C66C24" w:rsidRDefault="00BC1D27" w:rsidP="00C43DC8">
      <w:pPr>
        <w:spacing w:before="0" w:after="120" w:line="257" w:lineRule="auto"/>
        <w:rPr>
          <w:bCs/>
        </w:rPr>
      </w:pPr>
      <w:r w:rsidRPr="00C66C24">
        <w:rPr>
          <w:bCs/>
        </w:rPr>
        <w:t>In 2021, all</w:t>
      </w:r>
      <w:r w:rsidRPr="00C66C24">
        <w:rPr>
          <w:rFonts w:eastAsiaTheme="minorEastAsia"/>
        </w:rPr>
        <w:t xml:space="preserve"> EU Member States committed to turn the EU into the first climate neutral continent by 2050. </w:t>
      </w:r>
      <w:r w:rsidRPr="00C66C24">
        <w:rPr>
          <w:bCs/>
        </w:rPr>
        <w:t>To meet this ambition, the European Commission proposed a basket of measures to increase the contribution of maritime transport to the EU climate efforts. These measures, part of the ‘Fit for 55' package of legislation to reduce EU greenhouse gas emissions by at least 55% by 2030</w:t>
      </w:r>
      <w:r w:rsidRPr="00C66C24">
        <w:rPr>
          <w:rFonts w:eastAsiaTheme="minorEastAsia"/>
        </w:rPr>
        <w:t xml:space="preserve"> compared to 1990 levels </w:t>
      </w:r>
      <w:r w:rsidRPr="00C66C24">
        <w:rPr>
          <w:rFonts w:eastAsiaTheme="minorEastAsia"/>
        </w:rPr>
        <w:fldChar w:fldCharType="begin"/>
      </w:r>
      <w:r w:rsidR="001855E3" w:rsidRPr="00C66C24">
        <w:rPr>
          <w:rFonts w:eastAsiaTheme="minorEastAsia"/>
        </w:rPr>
        <w:instrText xml:space="preserve"> ADDIN ZOTERO_ITEM CSL_CITATION {"citationID":"279TA306","properties":{"formattedCitation":"(EC, 2021g)","plainCitation":"(EC, 2021g)","dontUpdate":true,"noteIndex":0},"citationItems":[{"id":32689,"uris":["http://zotero.org/groups/122386/items/PWYEKITE"],"itemData":{"id":32689,"type":"webpage","title":"Fit for 55: delivering the EU's 2030 Climate Target on the way to climate neutrality","URL":"https://eur-lex.europa.eu/legal-content/EN/TXT/HTML/?uri=CELEX:52021DC0550&amp;from=EN","author":[{"family":"EC","given":""}],"accessed":{"date-parts":[["2023",1,26]]},"issued":{"date-parts":[["2021"]]}}}],"schema":"https://github.com/citation-style-language/schema/raw/master/csl-citation.json"} </w:instrText>
      </w:r>
      <w:r w:rsidRPr="00C66C24">
        <w:rPr>
          <w:rFonts w:eastAsiaTheme="minorEastAsia"/>
        </w:rPr>
        <w:fldChar w:fldCharType="separate"/>
      </w:r>
      <w:r w:rsidR="001A5A7B" w:rsidRPr="00C66C24">
        <w:rPr>
          <w:rFonts w:ascii="Calibri" w:hAnsi="Calibri" w:cs="Calibri"/>
        </w:rPr>
        <w:t xml:space="preserve">(EC, </w:t>
      </w:r>
      <w:r w:rsidR="00D23551" w:rsidRPr="00C66C24">
        <w:rPr>
          <w:rFonts w:ascii="Calibri" w:hAnsi="Calibri" w:cs="Calibri"/>
        </w:rPr>
        <w:t>2021</w:t>
      </w:r>
      <w:r w:rsidR="00B51ACE">
        <w:rPr>
          <w:rFonts w:ascii="Calibri" w:hAnsi="Calibri" w:cs="Calibri"/>
        </w:rPr>
        <w:t>c</w:t>
      </w:r>
      <w:r w:rsidR="001A5A7B" w:rsidRPr="00C66C24">
        <w:rPr>
          <w:rFonts w:ascii="Calibri" w:hAnsi="Calibri" w:cs="Calibri"/>
        </w:rPr>
        <w:t>)</w:t>
      </w:r>
      <w:r w:rsidRPr="00C66C24">
        <w:rPr>
          <w:rFonts w:eastAsiaTheme="minorEastAsia"/>
        </w:rPr>
        <w:fldChar w:fldCharType="end"/>
      </w:r>
      <w:r w:rsidRPr="00C66C24">
        <w:rPr>
          <w:rFonts w:eastAsiaTheme="minorEastAsia"/>
        </w:rPr>
        <w:t>,</w:t>
      </w:r>
      <w:r w:rsidRPr="00C66C24">
        <w:rPr>
          <w:bCs/>
        </w:rPr>
        <w:t xml:space="preserve"> were a</w:t>
      </w:r>
      <w:r w:rsidR="008F46C9" w:rsidRPr="00C66C24">
        <w:rPr>
          <w:bCs/>
        </w:rPr>
        <w:t>dopted</w:t>
      </w:r>
      <w:r w:rsidRPr="00C66C24">
        <w:rPr>
          <w:bCs/>
        </w:rPr>
        <w:t xml:space="preserve"> in 2023 and include the </w:t>
      </w:r>
      <w:r w:rsidR="00B83372" w:rsidRPr="00C66C24">
        <w:rPr>
          <w:bCs/>
        </w:rPr>
        <w:t xml:space="preserve">EU ETS extension to maritime transport, </w:t>
      </w:r>
      <w:r w:rsidR="000263EC">
        <w:rPr>
          <w:bCs/>
        </w:rPr>
        <w:t xml:space="preserve">the </w:t>
      </w:r>
      <w:r w:rsidRPr="00C66C24">
        <w:rPr>
          <w:bCs/>
        </w:rPr>
        <w:t xml:space="preserve">revised </w:t>
      </w:r>
      <w:proofErr w:type="spellStart"/>
      <w:r w:rsidRPr="00C66C24">
        <w:rPr>
          <w:rFonts w:eastAsiaTheme="minorEastAsia"/>
        </w:rPr>
        <w:t>FuelEU</w:t>
      </w:r>
      <w:proofErr w:type="spellEnd"/>
      <w:r w:rsidRPr="00C66C24">
        <w:rPr>
          <w:rFonts w:eastAsiaTheme="minorEastAsia"/>
        </w:rPr>
        <w:t xml:space="preserve"> Maritime Regulation </w:t>
      </w:r>
      <w:r w:rsidR="00C04ECD" w:rsidRPr="00C66C24">
        <w:rPr>
          <w:rFonts w:eastAsiaTheme="minorEastAsia"/>
        </w:rPr>
        <w:fldChar w:fldCharType="begin"/>
      </w:r>
      <w:r w:rsidR="001855E3" w:rsidRPr="00C66C24">
        <w:rPr>
          <w:rFonts w:eastAsiaTheme="minorEastAsia"/>
        </w:rPr>
        <w:instrText xml:space="preserve"> ADDIN ZOTERO_ITEM CSL_CITATION {"citationID":"a2ecrfd3j57","properties":{"formattedCitation":"(EU, 2023c)","plainCitation":"(EU, 2023c)","noteIndex":0},"citationItems":[{"id":59163,"uris":["http://zotero.org/groups/122386/items/JBVN29UV"],"itemData":{"id":59163,"type":"document","publisher":"European Parliament and Council","title":"Regulation (EU) 2023/1805 of the European Parliament and of the Council of 13 September 2023 on the use of renewable and low-carbon fuels in maritime transport, and amending Directive 2009/16/EC (Text with EEA relevance)","title-short":"FuelEU Maritime","URL":"https://eur-lex.europa.eu/legal-content/EN/TXT/?uri=CELEX%3A32023R1805","author":[{"literal":"EU"}],"issued":{"date-parts":[["2023"]]}}}],"schema":"https://github.com/citation-style-language/schema/raw/master/csl-citation.json"} </w:instrText>
      </w:r>
      <w:r w:rsidR="00C04ECD" w:rsidRPr="00C66C24">
        <w:rPr>
          <w:rFonts w:eastAsiaTheme="minorEastAsia"/>
        </w:rPr>
        <w:fldChar w:fldCharType="separate"/>
      </w:r>
      <w:r w:rsidR="001855E3" w:rsidRPr="00C66C24">
        <w:rPr>
          <w:rFonts w:ascii="Calibri" w:hAnsi="Calibri" w:cs="Calibri"/>
        </w:rPr>
        <w:t xml:space="preserve">(EU, </w:t>
      </w:r>
      <w:r w:rsidR="001855E3" w:rsidRPr="001855E3">
        <w:rPr>
          <w:rFonts w:ascii="Calibri" w:hAnsi="Calibri" w:cs="Calibri"/>
        </w:rPr>
        <w:t>2023</w:t>
      </w:r>
      <w:r w:rsidR="00DE528D">
        <w:rPr>
          <w:rFonts w:ascii="Calibri" w:hAnsi="Calibri" w:cs="Calibri"/>
        </w:rPr>
        <w:t>b</w:t>
      </w:r>
      <w:r w:rsidR="001855E3" w:rsidRPr="00C66C24">
        <w:rPr>
          <w:rFonts w:ascii="Calibri" w:hAnsi="Calibri" w:cs="Calibri"/>
        </w:rPr>
        <w:t>)</w:t>
      </w:r>
      <w:r w:rsidR="00C04ECD" w:rsidRPr="00C66C24">
        <w:rPr>
          <w:rFonts w:eastAsiaTheme="minorEastAsia"/>
        </w:rPr>
        <w:fldChar w:fldCharType="end"/>
      </w:r>
      <w:r w:rsidRPr="00C66C24">
        <w:rPr>
          <w:rFonts w:eastAsiaTheme="minorEastAsia"/>
        </w:rPr>
        <w:t xml:space="preserve">, </w:t>
      </w:r>
      <w:r w:rsidR="00156ADD" w:rsidRPr="00C66C24">
        <w:rPr>
          <w:rFonts w:eastAsiaTheme="minorEastAsia"/>
        </w:rPr>
        <w:t xml:space="preserve">the </w:t>
      </w:r>
      <w:r w:rsidR="00F82803" w:rsidRPr="00C66C24">
        <w:rPr>
          <w:rFonts w:eastAsiaTheme="minorEastAsia"/>
        </w:rPr>
        <w:t xml:space="preserve">Alternative Fuel Infrastructure Regulation (AFIR) </w:t>
      </w:r>
      <w:r w:rsidR="00F82803" w:rsidRPr="00C66C24">
        <w:rPr>
          <w:rFonts w:eastAsiaTheme="minorEastAsia"/>
        </w:rPr>
        <w:fldChar w:fldCharType="begin"/>
      </w:r>
      <w:r w:rsidR="001855E3" w:rsidRPr="00C66C24">
        <w:rPr>
          <w:rFonts w:eastAsiaTheme="minorEastAsia"/>
        </w:rPr>
        <w:instrText xml:space="preserve"> ADDIN ZOTERO_ITEM CSL_CITATION {"citationID":"a21hovn2nch","properties":{"formattedCitation":"\\uldash{(EU, 2023)}","plainCitation":"(EU, 2023)","dontUpdate":true,"noteIndex":0},"citationItems":[{"id":51521,"uris":["http://zotero.org/groups/122386/items/DT7UVUQ9"],"itemData":{"id":51521,"type":"webpage","language":"en","title":"Regulation (EU) 2023/1804 of the European Parliament and of the Council of 13 September 2023 on the deployment of alternative fuels infrastructure, and repealing Directive 2014/94/EU (Text with EEA relevance)","title-short":"Regulation (EU) 2023/1804","URL":"https://eur-lex.europa.eu/eli/reg/2023/1804/oj","author":[{"family":"EU","given":""}],"accessed":{"date-parts":[["2023",9,27]]},"issued":{"date-parts":[["2023"]]}}}],"schema":"https://github.com/citation-style-language/schema/raw/master/csl-citation.json"} </w:instrText>
      </w:r>
      <w:r w:rsidR="00F82803" w:rsidRPr="00C66C24">
        <w:rPr>
          <w:rFonts w:eastAsiaTheme="minorEastAsia"/>
        </w:rPr>
        <w:fldChar w:fldCharType="separate"/>
      </w:r>
      <w:r w:rsidR="00F82803" w:rsidRPr="00C66C24">
        <w:rPr>
          <w:rFonts w:ascii="Calibri" w:hAnsi="Calibri" w:cs="Calibri"/>
        </w:rPr>
        <w:t xml:space="preserve">(EU, </w:t>
      </w:r>
      <w:r w:rsidR="00F82803" w:rsidRPr="0007382B">
        <w:rPr>
          <w:rFonts w:ascii="Calibri" w:hAnsi="Calibri" w:cs="Calibri"/>
        </w:rPr>
        <w:t>2023</w:t>
      </w:r>
      <w:r w:rsidR="00DE528D">
        <w:rPr>
          <w:rFonts w:ascii="Calibri" w:hAnsi="Calibri" w:cs="Calibri"/>
        </w:rPr>
        <w:t>d</w:t>
      </w:r>
      <w:r w:rsidR="00F82803" w:rsidRPr="00C66C24">
        <w:rPr>
          <w:rFonts w:ascii="Calibri" w:hAnsi="Calibri" w:cs="Calibri"/>
        </w:rPr>
        <w:t>)</w:t>
      </w:r>
      <w:r w:rsidR="00F82803" w:rsidRPr="00C66C24">
        <w:rPr>
          <w:rFonts w:eastAsiaTheme="minorEastAsia"/>
        </w:rPr>
        <w:fldChar w:fldCharType="end"/>
      </w:r>
      <w:r w:rsidR="00F82803" w:rsidRPr="00C66C24">
        <w:rPr>
          <w:rFonts w:eastAsiaTheme="minorEastAsia"/>
        </w:rPr>
        <w:t xml:space="preserve">, the </w:t>
      </w:r>
      <w:r w:rsidRPr="00C66C24">
        <w:rPr>
          <w:rFonts w:eastAsiaTheme="minorEastAsia"/>
        </w:rPr>
        <w:t xml:space="preserve">Renewable Energy Directive (RED) </w:t>
      </w:r>
      <w:r w:rsidRPr="00C66C24">
        <w:rPr>
          <w:rFonts w:eastAsiaTheme="minorEastAsia"/>
        </w:rPr>
        <w:fldChar w:fldCharType="begin"/>
      </w:r>
      <w:r w:rsidR="001855E3" w:rsidRPr="00C66C24">
        <w:rPr>
          <w:rFonts w:eastAsiaTheme="minorEastAsia"/>
        </w:rPr>
        <w:instrText xml:space="preserve"> ADDIN ZOTERO_ITEM CSL_CITATION {"citationID":"a7oj0mmqr7","properties":{"formattedCitation":"(EC, 2021e)","plainCitation":"(EC, 2021e)","dontUpdate":true,"noteIndex":0},"citationItems":[{"id":31465,"uris":["http://zotero.org/groups/122386/items/ZFCJ25KZ"],"itemData":{"id":31465,"type":"document","language":"en","title":"Proposal for a Directive of the European Parliament and of the Council amending Directive (EU) 2018/2001 of the European Parliament and of the Council, Regulation (EU) 2018/1999 of the European Parliament and of the Council and Directive 98/70/EC of the European Parliament and of the Council as regards the promotion of energy from renewable sources, and repealing Council Directive (EU) 2015/652","URL":"https://eur-lex.europa.eu/legal-content/EN/TXT/?uri=CELEX:52021PC0557","author":[{"family":"EC","given":""}],"accessed":{"date-parts":[["2022",11,25]]},"issued":{"date-parts":[["2021"]]}}}],"schema":"https://github.com/citation-style-language/schema/raw/master/csl-citation.json"} </w:instrText>
      </w:r>
      <w:r w:rsidRPr="00C66C24">
        <w:rPr>
          <w:rFonts w:eastAsiaTheme="minorEastAsia"/>
        </w:rPr>
        <w:fldChar w:fldCharType="separate"/>
      </w:r>
      <w:r w:rsidR="001A5A7B" w:rsidRPr="00C66C24">
        <w:rPr>
          <w:rFonts w:ascii="Calibri" w:hAnsi="Calibri" w:cs="Calibri"/>
        </w:rPr>
        <w:t xml:space="preserve">(EC, </w:t>
      </w:r>
      <w:r w:rsidR="00062299" w:rsidRPr="00C66C24">
        <w:rPr>
          <w:rFonts w:ascii="Calibri" w:hAnsi="Calibri" w:cs="Calibri"/>
        </w:rPr>
        <w:t>2021</w:t>
      </w:r>
      <w:r w:rsidR="00985871">
        <w:rPr>
          <w:rFonts w:ascii="Calibri" w:hAnsi="Calibri" w:cs="Calibri"/>
        </w:rPr>
        <w:t>i</w:t>
      </w:r>
      <w:r w:rsidR="001A5A7B" w:rsidRPr="00C66C24">
        <w:rPr>
          <w:rFonts w:ascii="Calibri" w:hAnsi="Calibri" w:cs="Calibri"/>
        </w:rPr>
        <w:t>)</w:t>
      </w:r>
      <w:r w:rsidRPr="00C66C24">
        <w:rPr>
          <w:rFonts w:eastAsiaTheme="minorEastAsia"/>
        </w:rPr>
        <w:fldChar w:fldCharType="end"/>
      </w:r>
      <w:r w:rsidR="00985871">
        <w:rPr>
          <w:rFonts w:eastAsiaTheme="minorEastAsia"/>
        </w:rPr>
        <w:t>,</w:t>
      </w:r>
      <w:r w:rsidR="00F82803" w:rsidRPr="00C66C24">
        <w:rPr>
          <w:rFonts w:eastAsiaTheme="minorEastAsia"/>
        </w:rPr>
        <w:t xml:space="preserve"> and</w:t>
      </w:r>
      <w:r w:rsidRPr="00C66C24">
        <w:rPr>
          <w:rFonts w:eastAsiaTheme="minorEastAsia"/>
        </w:rPr>
        <w:t xml:space="preserve"> </w:t>
      </w:r>
      <w:r w:rsidR="00156ADD" w:rsidRPr="00C66C24">
        <w:rPr>
          <w:rFonts w:eastAsiaTheme="minorEastAsia"/>
        </w:rPr>
        <w:t xml:space="preserve">the </w:t>
      </w:r>
      <w:r w:rsidRPr="00C66C24">
        <w:rPr>
          <w:rFonts w:eastAsiaTheme="minorEastAsia"/>
        </w:rPr>
        <w:t>Energy Taxation Directive (ETD) (</w:t>
      </w:r>
      <w:r w:rsidRPr="00C66C24">
        <w:rPr>
          <w:rFonts w:eastAsiaTheme="minorEastAsia"/>
        </w:rPr>
        <w:fldChar w:fldCharType="begin"/>
      </w:r>
      <w:r w:rsidR="001855E3" w:rsidRPr="00C66C24">
        <w:rPr>
          <w:rFonts w:eastAsiaTheme="minorEastAsia"/>
        </w:rPr>
        <w:instrText xml:space="preserve"> ADDIN ZOTERO_ITEM CSL_CITATION {"citationID":"nanIrWkm","properties":{"formattedCitation":"(EP Think Tank, 2021)","plainCitation":"(EP Think Tank, 2021)","dontUpdate":true,"noteIndex":0},"citationItems":[{"id":51697,"uris":["http://zotero.org/groups/122386/items/8AHMXMWI"],"itemData":{"id":51697,"type":"report","abstract":"Review of the Energy Taxation Directive","publisher":"European Parliament Think Tank","title":"Review of the Energy Taxation Directive","URL":"https://www.europarl.europa.eu/thinktank/en/document/EPRS_BRI(2021)662636","author":[{"family":"EP","given":""}],"accessed":{"date-parts":[["2023",10,6]]},"issued":{"date-parts":[["2021",5,18]]}}}],"schema":"https://github.com/citation-style-language/schema/raw/master/csl-citation.json"} </w:instrText>
      </w:r>
      <w:r w:rsidRPr="00C66C24">
        <w:rPr>
          <w:rFonts w:eastAsiaTheme="minorEastAsia"/>
        </w:rPr>
        <w:fldChar w:fldCharType="separate"/>
      </w:r>
      <w:r w:rsidRPr="00C66C24">
        <w:rPr>
          <w:rFonts w:ascii="Calibri" w:hAnsi="Calibri" w:cs="Calibri"/>
        </w:rPr>
        <w:t>EP, 2021</w:t>
      </w:r>
      <w:r w:rsidRPr="00C66C24">
        <w:rPr>
          <w:rFonts w:eastAsiaTheme="minorEastAsia"/>
        </w:rPr>
        <w:fldChar w:fldCharType="end"/>
      </w:r>
      <w:r w:rsidRPr="00C66C24">
        <w:rPr>
          <w:rFonts w:eastAsiaTheme="minorEastAsia"/>
        </w:rPr>
        <w:t>)</w:t>
      </w:r>
      <w:r w:rsidRPr="00C66C24">
        <w:rPr>
          <w:bCs/>
        </w:rPr>
        <w:t xml:space="preserve">. </w:t>
      </w:r>
      <w:r w:rsidR="0006036E" w:rsidRPr="00C66C24">
        <w:rPr>
          <w:bCs/>
        </w:rPr>
        <w:t>The EU measures under the Fit for 55 package</w:t>
      </w:r>
      <w:r w:rsidRPr="00C66C24">
        <w:rPr>
          <w:bCs/>
        </w:rPr>
        <w:t xml:space="preserve">  sit along t</w:t>
      </w:r>
      <w:r w:rsidR="000263EC">
        <w:rPr>
          <w:bCs/>
        </w:rPr>
        <w:t>hose</w:t>
      </w:r>
      <w:r w:rsidRPr="00C66C24">
        <w:rPr>
          <w:bCs/>
        </w:rPr>
        <w:t xml:space="preserve"> </w:t>
      </w:r>
      <w:r w:rsidR="0006036E" w:rsidRPr="00C66C24">
        <w:rPr>
          <w:bCs/>
        </w:rPr>
        <w:t>to be</w:t>
      </w:r>
      <w:r w:rsidRPr="00C66C24">
        <w:rPr>
          <w:bCs/>
        </w:rPr>
        <w:t xml:space="preserve"> agreed at global level within the IMO (see new IMO GHG Strategy; </w:t>
      </w:r>
      <w:r w:rsidRPr="00C66C24">
        <w:rPr>
          <w:bCs/>
        </w:rPr>
        <w:fldChar w:fldCharType="begin"/>
      </w:r>
      <w:r w:rsidR="001855E3" w:rsidRPr="00C66C24">
        <w:rPr>
          <w:bCs/>
        </w:rPr>
        <w:instrText xml:space="preserve"> ADDIN ZOTERO_ITEM CSL_CITATION {"citationID":"dJuSRqLr","properties":{"formattedCitation":"(IMO, 2023)","plainCitation":"(IMO, 2023)","dontUpdate":true,"noteIndex":0},"citationItems":[{"id":51438,"uris":["http://zotero.org/groups/122386/items/P8NWSVE6"],"itemData":{"id":51438,"type":"report","title":"2023 IMO Strategy on reduction of GHG emissions from ships","title-short":"IMO, 2023","URL":"https://wwwcdn.imo.org/localresources/en/OurWork/Environment/Documents/annex/MEPC%2080/Annex%2015.pdf","author":[{"literal":"IMO"}],"issued":{"date-parts":[["2023",7,7]]}}}],"schema":"https://github.com/citation-style-language/schema/raw/master/csl-citation.json"} </w:instrText>
      </w:r>
      <w:r w:rsidRPr="00C66C24">
        <w:rPr>
          <w:bCs/>
        </w:rPr>
        <w:fldChar w:fldCharType="separate"/>
      </w:r>
      <w:r w:rsidRPr="00C66C24">
        <w:rPr>
          <w:rFonts w:ascii="Calibri" w:hAnsi="Calibri" w:cs="Calibri"/>
        </w:rPr>
        <w:t>IMO, 202</w:t>
      </w:r>
      <w:r w:rsidR="00360CEB" w:rsidRPr="00C66C24">
        <w:rPr>
          <w:rFonts w:ascii="Calibri" w:hAnsi="Calibri" w:cs="Calibri"/>
        </w:rPr>
        <w:t>3a</w:t>
      </w:r>
      <w:r w:rsidRPr="00C66C24">
        <w:rPr>
          <w:bCs/>
        </w:rPr>
        <w:fldChar w:fldCharType="end"/>
      </w:r>
      <w:r w:rsidRPr="00C66C24">
        <w:rPr>
          <w:bCs/>
        </w:rPr>
        <w:t>).</w:t>
      </w:r>
    </w:p>
    <w:p w14:paraId="56130D2E" w14:textId="77777777" w:rsidR="00623505" w:rsidRPr="00C66C24" w:rsidRDefault="00623505" w:rsidP="000F6C37">
      <w:pPr>
        <w:pStyle w:val="Heading3"/>
      </w:pPr>
      <w:bookmarkStart w:id="202" w:name="_Toc156316342"/>
      <w:bookmarkStart w:id="203" w:name="_Toc156316495"/>
      <w:bookmarkStart w:id="204" w:name="_Toc157762083"/>
      <w:r w:rsidRPr="00C66C24">
        <w:t>EU Emission Trading System</w:t>
      </w:r>
      <w:bookmarkEnd w:id="202"/>
      <w:bookmarkEnd w:id="203"/>
      <w:bookmarkEnd w:id="204"/>
    </w:p>
    <w:p w14:paraId="0B5E7D18" w14:textId="7DA2F13E" w:rsidR="00612E03" w:rsidRPr="00C66C24" w:rsidRDefault="000C1F70" w:rsidP="000F6C37">
      <w:pPr>
        <w:spacing w:before="0" w:after="0" w:line="257" w:lineRule="auto"/>
        <w:rPr>
          <w:rFonts w:eastAsiaTheme="minorEastAsia"/>
        </w:rPr>
      </w:pPr>
      <w:r w:rsidRPr="00C66C24">
        <w:rPr>
          <w:rFonts w:eastAsiaTheme="minorEastAsia"/>
        </w:rPr>
        <w:t>I</w:t>
      </w:r>
      <w:r w:rsidR="00623505" w:rsidRPr="00C66C24">
        <w:rPr>
          <w:rFonts w:eastAsiaTheme="minorEastAsia"/>
        </w:rPr>
        <w:t xml:space="preserve">n the course of 2023, </w:t>
      </w:r>
      <w:r w:rsidRPr="00C66C24">
        <w:rPr>
          <w:rFonts w:eastAsiaTheme="minorEastAsia"/>
        </w:rPr>
        <w:t>t</w:t>
      </w:r>
      <w:r w:rsidR="00623505" w:rsidRPr="00C66C24">
        <w:rPr>
          <w:rFonts w:eastAsiaTheme="minorEastAsia"/>
        </w:rPr>
        <w:t>he extension of the European Union Emission Trading System (EU ETS)</w:t>
      </w:r>
      <w:r w:rsidRPr="00C66C24">
        <w:rPr>
          <w:rFonts w:eastAsiaTheme="minorEastAsia"/>
        </w:rPr>
        <w:t xml:space="preserve"> was adopted</w:t>
      </w:r>
      <w:r w:rsidR="00623505" w:rsidRPr="00C66C24">
        <w:rPr>
          <w:rFonts w:eastAsiaTheme="minorEastAsia"/>
        </w:rPr>
        <w:t xml:space="preserve"> to cover, as of January 2024, greenhouse gas emissions from all large ships (of 5 000 gross tonnage and above) entering EEA ports, regardless of the flag they fly </w:t>
      </w:r>
      <w:r w:rsidR="00623505" w:rsidRPr="00C66C24">
        <w:rPr>
          <w:rFonts w:eastAsiaTheme="minorEastAsia"/>
        </w:rPr>
        <w:fldChar w:fldCharType="begin"/>
      </w:r>
      <w:r w:rsidR="001855E3" w:rsidRPr="00C66C24">
        <w:rPr>
          <w:rFonts w:eastAsiaTheme="minorEastAsia"/>
        </w:rPr>
        <w:instrText xml:space="preserve"> ADDIN ZOTERO_ITEM CSL_CITATION {"citationID":"8EI0v59m","properties":{"formattedCitation":"(EC, 2020b)","plainCitation":"(EC, 2020b)","dontUpdate":true,"noteIndex":0},"citationItems":[{"id":25002,"uris":["http://zotero.org/groups/122386/items/USFBA6PW"],"itemData":{"id":25002,"type":"webpage","note":"00000","title":"EU Emissions Trading System (EU ETS)","URL":"https://ec.europa.eu/clima/policies/ets_en","author":[{"literal":"EC"}],"accessed":{"date-parts":[["2020",12,14]]},"issued":{"date-parts":[["2020"]]}}}],"schema":"https://github.com/citation-style-language/schema/raw/master/csl-citation.json"} </w:instrText>
      </w:r>
      <w:r w:rsidR="00623505" w:rsidRPr="00C66C24">
        <w:rPr>
          <w:rFonts w:eastAsiaTheme="minorEastAsia"/>
        </w:rPr>
        <w:fldChar w:fldCharType="separate"/>
      </w:r>
      <w:r w:rsidR="00623505" w:rsidRPr="00C66C24">
        <w:rPr>
          <w:rFonts w:ascii="Calibri" w:hAnsi="Calibri" w:cs="Calibri"/>
        </w:rPr>
        <w:t>(EC, 2020</w:t>
      </w:r>
      <w:r w:rsidR="00062D01">
        <w:rPr>
          <w:rFonts w:ascii="Calibri" w:hAnsi="Calibri" w:cs="Calibri"/>
        </w:rPr>
        <w:t>d</w:t>
      </w:r>
      <w:r w:rsidR="00623505" w:rsidRPr="00C66C24">
        <w:rPr>
          <w:rFonts w:ascii="Calibri" w:hAnsi="Calibri" w:cs="Calibri"/>
        </w:rPr>
        <w:t>)</w:t>
      </w:r>
      <w:r w:rsidR="00623505" w:rsidRPr="00C66C24">
        <w:rPr>
          <w:rFonts w:eastAsiaTheme="minorEastAsia"/>
        </w:rPr>
        <w:fldChar w:fldCharType="end"/>
      </w:r>
      <w:r w:rsidR="00623505" w:rsidRPr="00C66C24">
        <w:rPr>
          <w:rFonts w:eastAsiaTheme="minorEastAsia"/>
        </w:rPr>
        <w:t xml:space="preserve">. Under the scheme shipping companies will have to purchase and surrender EU ETS emission allowances for each tonne of reported greenhouse gas emissions in the scope of the EU ETS system, which will cover </w:t>
      </w:r>
      <w:r w:rsidR="00733667" w:rsidRPr="00C66C24">
        <w:rPr>
          <w:rFonts w:eastAsiaTheme="minorEastAsia"/>
        </w:rPr>
        <w:t>carbon dioxide (CO</w:t>
      </w:r>
      <w:r w:rsidR="00733667" w:rsidRPr="00C66C24">
        <w:rPr>
          <w:rFonts w:eastAsiaTheme="minorEastAsia"/>
          <w:vertAlign w:val="subscript"/>
        </w:rPr>
        <w:t>2</w:t>
      </w:r>
      <w:r w:rsidR="00733667" w:rsidRPr="00C66C24">
        <w:rPr>
          <w:rFonts w:eastAsiaTheme="minorEastAsia"/>
        </w:rPr>
        <w:t xml:space="preserve">) </w:t>
      </w:r>
      <w:r w:rsidR="00623505" w:rsidRPr="00C66C24">
        <w:rPr>
          <w:rFonts w:eastAsiaTheme="minorEastAsia"/>
        </w:rPr>
        <w:t>as of 2024 and additionally</w:t>
      </w:r>
      <w:r w:rsidR="006D590A" w:rsidRPr="00C66C24">
        <w:rPr>
          <w:rFonts w:eastAsiaTheme="minorEastAsia"/>
        </w:rPr>
        <w:t>,</w:t>
      </w:r>
      <w:r w:rsidR="00623505" w:rsidRPr="00C66C24">
        <w:rPr>
          <w:rFonts w:eastAsiaTheme="minorEastAsia"/>
        </w:rPr>
        <w:t xml:space="preserve"> </w:t>
      </w:r>
      <w:r w:rsidR="00733667" w:rsidRPr="00C66C24">
        <w:rPr>
          <w:rFonts w:eastAsiaTheme="minorEastAsia"/>
        </w:rPr>
        <w:t>methane (CH</w:t>
      </w:r>
      <w:r w:rsidR="00733667" w:rsidRPr="00245168">
        <w:rPr>
          <w:rFonts w:eastAsiaTheme="minorEastAsia"/>
          <w:vertAlign w:val="subscript"/>
        </w:rPr>
        <w:t>4</w:t>
      </w:r>
      <w:r w:rsidR="00733667" w:rsidRPr="00C66C24">
        <w:rPr>
          <w:rFonts w:eastAsiaTheme="minorEastAsia"/>
        </w:rPr>
        <w:t xml:space="preserve">) </w:t>
      </w:r>
      <w:r w:rsidR="00623505" w:rsidRPr="00C66C24">
        <w:rPr>
          <w:rFonts w:eastAsiaTheme="minorEastAsia"/>
        </w:rPr>
        <w:t xml:space="preserve">and </w:t>
      </w:r>
      <w:r w:rsidR="00733667" w:rsidRPr="00C66C24">
        <w:rPr>
          <w:rFonts w:eastAsiaTheme="minorEastAsia"/>
        </w:rPr>
        <w:t>nitrous oxide (N</w:t>
      </w:r>
      <w:r w:rsidR="00733667" w:rsidRPr="00C66C24">
        <w:rPr>
          <w:rFonts w:eastAsiaTheme="minorEastAsia"/>
          <w:vertAlign w:val="subscript"/>
        </w:rPr>
        <w:t>2</w:t>
      </w:r>
      <w:r w:rsidR="00733667" w:rsidRPr="00C66C24">
        <w:rPr>
          <w:rFonts w:eastAsiaTheme="minorEastAsia"/>
        </w:rPr>
        <w:t>O)</w:t>
      </w:r>
      <w:r w:rsidR="00623505" w:rsidRPr="00C66C24">
        <w:rPr>
          <w:rFonts w:eastAsiaTheme="minorEastAsia"/>
        </w:rPr>
        <w:t xml:space="preserve"> as of 2026.</w:t>
      </w:r>
      <w:r w:rsidR="00BC70EF" w:rsidRPr="00C66C24">
        <w:rPr>
          <w:rFonts w:eastAsiaTheme="minorEastAsia"/>
        </w:rPr>
        <w:t xml:space="preserve"> </w:t>
      </w:r>
      <w:r w:rsidR="00612E03" w:rsidRPr="00C66C24">
        <w:rPr>
          <w:rFonts w:eastAsiaTheme="minorEastAsia"/>
        </w:rPr>
        <w:t>Shipping companies will only have to surrender allowances for a portion of their emissions during an initial phase-in period: for 40% of their verified emissions as of 2024, for 70% as of 2025, and for 100% as of 2026.</w:t>
      </w:r>
      <w:r w:rsidR="00331B0D" w:rsidRPr="00C66C24">
        <w:rPr>
          <w:rFonts w:eastAsiaTheme="minorEastAsia"/>
        </w:rPr>
        <w:t xml:space="preserve"> It should be </w:t>
      </w:r>
      <w:r w:rsidR="00C04ECD" w:rsidRPr="00C66C24">
        <w:rPr>
          <w:rFonts w:eastAsiaTheme="minorEastAsia"/>
        </w:rPr>
        <w:t>noted</w:t>
      </w:r>
      <w:r w:rsidR="00331B0D" w:rsidRPr="00C66C24">
        <w:rPr>
          <w:rFonts w:eastAsiaTheme="minorEastAsia"/>
        </w:rPr>
        <w:t xml:space="preserve"> that the EU ETS extension to maritime covers Tank to Wake (TTW) emissions.</w:t>
      </w:r>
    </w:p>
    <w:p w14:paraId="11CCA4C3" w14:textId="0057C274" w:rsidR="00BC1D27" w:rsidRPr="00C66C24" w:rsidRDefault="00331B0D" w:rsidP="000F6C37">
      <w:pPr>
        <w:spacing w:before="0" w:after="120" w:line="257" w:lineRule="auto"/>
        <w:rPr>
          <w:rFonts w:ascii="Calibri" w:eastAsia="Calibri" w:hAnsi="Calibri" w:cs="Calibri"/>
        </w:rPr>
      </w:pPr>
      <w:r w:rsidRPr="00C66C24">
        <w:rPr>
          <w:rFonts w:ascii="Calibri" w:eastAsia="Calibri" w:hAnsi="Calibri" w:cs="Calibri"/>
          <w:szCs w:val="22"/>
        </w:rPr>
        <w:t xml:space="preserve">Emissions from maritime transport are included in the overall ETS cap, which defines the maximum amount of greenhouse gases that can be emitted under the system. The cap is reduced over time to achieve an overall emission reduction of 61 % by 2030 compared to 2005, so that all ETS sectors contribute to the EU’s climate objectives. This will incentivise energy efficiency, low-carbon solutions, and reductions of the price difference between alternative fuels and traditional maritime fuels therefore allowing the maritime transport sector to </w:t>
      </w:r>
      <w:r w:rsidRPr="00C66C24">
        <w:rPr>
          <w:rFonts w:ascii="Calibri" w:eastAsia="Calibri" w:hAnsi="Calibri" w:cs="Calibri"/>
        </w:rPr>
        <w:t xml:space="preserve">actively contribute to the EU's decarbonization goals. </w:t>
      </w:r>
      <w:r w:rsidR="00623505" w:rsidRPr="00C66C24">
        <w:rPr>
          <w:rFonts w:eastAsiaTheme="minorEastAsia"/>
        </w:rPr>
        <w:t xml:space="preserve">The EU ETS </w:t>
      </w:r>
      <w:r w:rsidR="00623505" w:rsidRPr="00C66C24">
        <w:rPr>
          <w:rFonts w:ascii="Calibri" w:eastAsia="Calibri" w:hAnsi="Calibri" w:cs="Calibri"/>
          <w:szCs w:val="22"/>
        </w:rPr>
        <w:t>has been a crucial tool in the European Union's efforts to combat climate change.</w:t>
      </w:r>
    </w:p>
    <w:p w14:paraId="72D98808" w14:textId="5FE3A32A" w:rsidR="00BC1D27" w:rsidRPr="00C66C24" w:rsidRDefault="00BC1D27" w:rsidP="000F6C37">
      <w:pPr>
        <w:pStyle w:val="Heading3"/>
      </w:pPr>
      <w:bookmarkStart w:id="205" w:name="_Toc156316343"/>
      <w:bookmarkStart w:id="206" w:name="_Toc156316496"/>
      <w:bookmarkStart w:id="207" w:name="_Toc157762084"/>
      <w:r w:rsidRPr="00C66C24">
        <w:t>Fuel EU Maritime</w:t>
      </w:r>
      <w:bookmarkEnd w:id="205"/>
      <w:bookmarkEnd w:id="206"/>
      <w:bookmarkEnd w:id="207"/>
    </w:p>
    <w:p w14:paraId="1E4487C8" w14:textId="09AF336A" w:rsidR="00BC1D27" w:rsidRPr="00C66C24" w:rsidRDefault="00D45795" w:rsidP="008C6A9C">
      <w:pPr>
        <w:spacing w:before="0" w:after="0" w:line="257" w:lineRule="auto"/>
        <w:rPr>
          <w:rFonts w:eastAsiaTheme="minorEastAsia"/>
        </w:rPr>
      </w:pPr>
      <w:r w:rsidRPr="00C66C24">
        <w:t xml:space="preserve">The </w:t>
      </w:r>
      <w:proofErr w:type="spellStart"/>
      <w:r w:rsidRPr="00C66C24">
        <w:t>FuelEU</w:t>
      </w:r>
      <w:proofErr w:type="spellEnd"/>
      <w:r w:rsidRPr="00C66C24">
        <w:t xml:space="preserve"> Maritime </w:t>
      </w:r>
      <w:r w:rsidR="00EF7716" w:rsidRPr="00C66C24">
        <w:t>Regulation</w:t>
      </w:r>
      <w:r w:rsidR="002A1B1A" w:rsidRPr="00C66C24">
        <w:t xml:space="preserve"> </w:t>
      </w:r>
      <w:r w:rsidR="002A1B1A" w:rsidRPr="00C66C24">
        <w:rPr>
          <w:rFonts w:eastAsiaTheme="minorEastAsia"/>
        </w:rPr>
        <w:fldChar w:fldCharType="begin"/>
      </w:r>
      <w:r w:rsidR="001855E3" w:rsidRPr="00C66C24">
        <w:rPr>
          <w:rFonts w:eastAsiaTheme="minorEastAsia"/>
        </w:rPr>
        <w:instrText xml:space="preserve"> ADDIN ZOTERO_ITEM CSL_CITATION {"citationID":"Va8nW9rX","properties":{"formattedCitation":"(EU, 2023c)","plainCitation":"(EU, 2023c)","dontUpdate":true,"noteIndex":0},"citationItems":[{"id":35948,"uris":["http://zotero.org/groups/122386/items/5AA6DYJM"],"itemData":{"id":35948,"type":"webpage","container-title":"Press release by the Council of the European Union","title":"FuelEU maritime initiative: Council adopts new law to decarbonise the maritime sector","URL":"https://www.consilium.europa.eu/en/press/press-releases/2023/07/25/fueleu-maritime-initiative-council-adopts-new-law-to-decarbonise-the-maritime-sector/","author":[{"literal":"EU"}],"accessed":{"date-parts":[["2023",11,8]]},"issued":{"date-parts":[["2023"]]}}}],"schema":"https://github.com/citation-style-language/schema/raw/master/csl-citation.json"} </w:instrText>
      </w:r>
      <w:r w:rsidR="002A1B1A" w:rsidRPr="00C66C24">
        <w:rPr>
          <w:rFonts w:eastAsiaTheme="minorEastAsia"/>
        </w:rPr>
        <w:fldChar w:fldCharType="separate"/>
      </w:r>
      <w:r w:rsidR="002A1B1A" w:rsidRPr="00C66C24">
        <w:rPr>
          <w:rFonts w:ascii="Calibri" w:hAnsi="Calibri" w:cs="Calibri"/>
        </w:rPr>
        <w:t xml:space="preserve">(EU, </w:t>
      </w:r>
      <w:r w:rsidR="002A1B1A" w:rsidRPr="0007382B">
        <w:rPr>
          <w:rFonts w:ascii="Calibri" w:hAnsi="Calibri" w:cs="Calibri"/>
        </w:rPr>
        <w:t>2023</w:t>
      </w:r>
      <w:r w:rsidR="00686763">
        <w:rPr>
          <w:rFonts w:ascii="Calibri" w:hAnsi="Calibri" w:cs="Calibri"/>
        </w:rPr>
        <w:t>b</w:t>
      </w:r>
      <w:r w:rsidR="002A1B1A" w:rsidRPr="00C66C24">
        <w:rPr>
          <w:rFonts w:ascii="Calibri" w:hAnsi="Calibri" w:cs="Calibri"/>
        </w:rPr>
        <w:t>)</w:t>
      </w:r>
      <w:r w:rsidR="002A1B1A" w:rsidRPr="00C66C24">
        <w:rPr>
          <w:rFonts w:eastAsiaTheme="minorEastAsia"/>
        </w:rPr>
        <w:fldChar w:fldCharType="end"/>
      </w:r>
      <w:r w:rsidR="00EF7716" w:rsidRPr="00C66C24">
        <w:t xml:space="preserve"> on the use of renewable and low-carbon fuels in maritime transport</w:t>
      </w:r>
      <w:r w:rsidR="00BC1D27" w:rsidRPr="00C66C24">
        <w:rPr>
          <w:rFonts w:eastAsiaTheme="minorEastAsia"/>
        </w:rPr>
        <w:t xml:space="preserve"> will apply from 1 January 2025. The </w:t>
      </w:r>
      <w:r w:rsidR="006E1E78" w:rsidRPr="00C66C24">
        <w:rPr>
          <w:rFonts w:eastAsiaTheme="minorEastAsia"/>
        </w:rPr>
        <w:t>Regulation</w:t>
      </w:r>
      <w:r w:rsidR="00BC1D27" w:rsidRPr="00C66C24">
        <w:rPr>
          <w:rFonts w:eastAsiaTheme="minorEastAsia"/>
        </w:rPr>
        <w:t xml:space="preserve"> </w:t>
      </w:r>
      <w:r w:rsidR="006E1E78" w:rsidRPr="00C66C24">
        <w:rPr>
          <w:rFonts w:eastAsiaTheme="minorEastAsia"/>
        </w:rPr>
        <w:t xml:space="preserve">aims </w:t>
      </w:r>
      <w:r w:rsidR="00BC1D27" w:rsidRPr="00C66C24">
        <w:rPr>
          <w:rFonts w:eastAsiaTheme="minorEastAsia"/>
        </w:rPr>
        <w:t xml:space="preserve">to increase the use of low and zero carbon fuels </w:t>
      </w:r>
      <w:r w:rsidR="006E1E78" w:rsidRPr="00C66C24">
        <w:rPr>
          <w:rFonts w:eastAsiaTheme="minorEastAsia"/>
        </w:rPr>
        <w:t>in maritime transport,</w:t>
      </w:r>
      <w:r w:rsidR="00BC1D27" w:rsidRPr="00C66C24" w:rsidDel="006E1E78">
        <w:rPr>
          <w:rFonts w:eastAsiaTheme="minorEastAsia"/>
        </w:rPr>
        <w:t xml:space="preserve"> </w:t>
      </w:r>
      <w:r w:rsidR="00BC1D27" w:rsidRPr="00C66C24">
        <w:rPr>
          <w:rFonts w:eastAsiaTheme="minorEastAsia"/>
        </w:rPr>
        <w:t xml:space="preserve">by </w:t>
      </w:r>
      <w:r w:rsidR="006E1E78" w:rsidRPr="00C66C24">
        <w:rPr>
          <w:rFonts w:eastAsiaTheme="minorEastAsia"/>
        </w:rPr>
        <w:t>requiring a</w:t>
      </w:r>
      <w:r w:rsidR="00BC1D27" w:rsidRPr="00C66C24">
        <w:rPr>
          <w:rFonts w:eastAsiaTheme="minorEastAsia"/>
        </w:rPr>
        <w:t xml:space="preserve"> progressive </w:t>
      </w:r>
      <w:r w:rsidR="00B663C3" w:rsidRPr="00C66C24">
        <w:rPr>
          <w:rFonts w:eastAsiaTheme="minorEastAsia"/>
        </w:rPr>
        <w:t>reduction of the</w:t>
      </w:r>
      <w:r w:rsidR="00BC1D27" w:rsidRPr="00C66C24">
        <w:rPr>
          <w:rFonts w:eastAsiaTheme="minorEastAsia"/>
        </w:rPr>
        <w:t xml:space="preserve"> GHG intensity of the energy used on board</w:t>
      </w:r>
      <w:r w:rsidR="00B663C3" w:rsidRPr="00C66C24">
        <w:rPr>
          <w:rFonts w:eastAsiaTheme="minorEastAsia"/>
        </w:rPr>
        <w:t xml:space="preserve"> ships</w:t>
      </w:r>
      <w:r w:rsidR="006E1E78" w:rsidRPr="00C66C24">
        <w:rPr>
          <w:rFonts w:eastAsiaTheme="minorEastAsia"/>
        </w:rPr>
        <w:t xml:space="preserve"> above 5</w:t>
      </w:r>
      <w:r w:rsidR="00872E9F" w:rsidRPr="00C66C24">
        <w:rPr>
          <w:rFonts w:eastAsiaTheme="minorEastAsia"/>
        </w:rPr>
        <w:t xml:space="preserve"> </w:t>
      </w:r>
      <w:r w:rsidR="006E1E78" w:rsidRPr="00C66C24">
        <w:rPr>
          <w:rFonts w:eastAsiaTheme="minorEastAsia"/>
        </w:rPr>
        <w:t>000 gross tonn</w:t>
      </w:r>
      <w:r w:rsidR="00872E9F" w:rsidRPr="00C66C24">
        <w:rPr>
          <w:rFonts w:eastAsiaTheme="minorEastAsia"/>
        </w:rPr>
        <w:t>age</w:t>
      </w:r>
      <w:r w:rsidR="006E1E78" w:rsidRPr="00C66C24">
        <w:rPr>
          <w:rFonts w:eastAsiaTheme="minorEastAsia"/>
        </w:rPr>
        <w:t xml:space="preserve"> calling at EU ports</w:t>
      </w:r>
      <w:r w:rsidR="00BC1D27" w:rsidRPr="00C66C24">
        <w:rPr>
          <w:rFonts w:eastAsiaTheme="minorEastAsia"/>
        </w:rPr>
        <w:t xml:space="preserve">. </w:t>
      </w:r>
      <w:r w:rsidR="002A1B1A" w:rsidRPr="00C66C24">
        <w:rPr>
          <w:rFonts w:eastAsiaTheme="minorEastAsia"/>
        </w:rPr>
        <w:t>T</w:t>
      </w:r>
      <w:r w:rsidR="00994D93" w:rsidRPr="00C66C24">
        <w:rPr>
          <w:rFonts w:eastAsiaTheme="minorEastAsia"/>
        </w:rPr>
        <w:t xml:space="preserve">he </w:t>
      </w:r>
      <w:r w:rsidR="00BC1D27" w:rsidRPr="00C66C24">
        <w:rPr>
          <w:rFonts w:eastAsiaTheme="minorEastAsia"/>
        </w:rPr>
        <w:t xml:space="preserve">yearly average GHG intensity of the energy used on board </w:t>
      </w:r>
      <w:r w:rsidR="009773D4" w:rsidRPr="00C66C24">
        <w:rPr>
          <w:rFonts w:eastAsiaTheme="minorEastAsia"/>
        </w:rPr>
        <w:t xml:space="preserve">ships </w:t>
      </w:r>
      <w:r w:rsidR="00994D93" w:rsidRPr="00C66C24">
        <w:rPr>
          <w:rFonts w:eastAsiaTheme="minorEastAsia"/>
        </w:rPr>
        <w:t>(measured in gCO</w:t>
      </w:r>
      <w:r w:rsidR="00994D93" w:rsidRPr="00C66C24">
        <w:rPr>
          <w:rFonts w:eastAsiaTheme="minorEastAsia"/>
          <w:vertAlign w:val="subscript"/>
        </w:rPr>
        <w:t>2</w:t>
      </w:r>
      <w:r w:rsidR="00994D93" w:rsidRPr="00C66C24">
        <w:rPr>
          <w:rFonts w:eastAsiaTheme="minorEastAsia"/>
        </w:rPr>
        <w:t xml:space="preserve">eq/MJ) </w:t>
      </w:r>
      <w:r w:rsidR="002A1B1A" w:rsidRPr="00C66C24">
        <w:rPr>
          <w:rFonts w:eastAsiaTheme="minorEastAsia"/>
        </w:rPr>
        <w:t xml:space="preserve">will </w:t>
      </w:r>
      <w:r w:rsidR="00B41403" w:rsidRPr="00C66C24">
        <w:rPr>
          <w:rFonts w:eastAsiaTheme="minorEastAsia"/>
        </w:rPr>
        <w:t xml:space="preserve">have to </w:t>
      </w:r>
      <w:r w:rsidR="002A1B1A" w:rsidRPr="00C66C24">
        <w:rPr>
          <w:rFonts w:eastAsiaTheme="minorEastAsia"/>
        </w:rPr>
        <w:t>reduce</w:t>
      </w:r>
      <w:r w:rsidR="00B41403" w:rsidRPr="00C66C24">
        <w:rPr>
          <w:rFonts w:eastAsiaTheme="minorEastAsia"/>
        </w:rPr>
        <w:t xml:space="preserve"> </w:t>
      </w:r>
      <w:r w:rsidR="00994D93" w:rsidRPr="00C66C24">
        <w:rPr>
          <w:rFonts w:eastAsiaTheme="minorEastAsia"/>
        </w:rPr>
        <w:t xml:space="preserve">by a minimum of </w:t>
      </w:r>
      <w:r w:rsidR="00BC1D27" w:rsidRPr="00C66C24">
        <w:rPr>
          <w:rFonts w:eastAsiaTheme="minorEastAsia"/>
        </w:rPr>
        <w:t>2%</w:t>
      </w:r>
      <w:r w:rsidR="00994D93" w:rsidRPr="00C66C24">
        <w:rPr>
          <w:rFonts w:eastAsiaTheme="minorEastAsia"/>
        </w:rPr>
        <w:t xml:space="preserve"> </w:t>
      </w:r>
      <w:r w:rsidR="00B41403" w:rsidRPr="00C66C24">
        <w:rPr>
          <w:rFonts w:eastAsiaTheme="minorEastAsia"/>
        </w:rPr>
        <w:t xml:space="preserve">in 2025 and </w:t>
      </w:r>
      <w:r w:rsidR="00994D93" w:rsidRPr="00C66C24">
        <w:rPr>
          <w:rFonts w:eastAsiaTheme="minorEastAsia"/>
        </w:rPr>
        <w:t>6%</w:t>
      </w:r>
      <w:r w:rsidR="00BC1D27" w:rsidRPr="00C66C24">
        <w:rPr>
          <w:rFonts w:eastAsiaTheme="minorEastAsia"/>
        </w:rPr>
        <w:t xml:space="preserve"> </w:t>
      </w:r>
      <w:r w:rsidR="00DA1E5E" w:rsidRPr="00C66C24">
        <w:rPr>
          <w:rFonts w:eastAsiaTheme="minorEastAsia"/>
        </w:rPr>
        <w:t>in</w:t>
      </w:r>
      <w:r w:rsidR="00994D93" w:rsidRPr="00C66C24">
        <w:rPr>
          <w:rFonts w:eastAsiaTheme="minorEastAsia"/>
        </w:rPr>
        <w:t xml:space="preserve"> 2030, </w:t>
      </w:r>
      <w:r w:rsidR="009773D4" w:rsidRPr="00C66C24">
        <w:rPr>
          <w:rFonts w:eastAsiaTheme="minorEastAsia"/>
        </w:rPr>
        <w:t xml:space="preserve">and </w:t>
      </w:r>
      <w:r w:rsidR="00C04ECD" w:rsidRPr="00C66C24">
        <w:rPr>
          <w:rFonts w:eastAsiaTheme="minorEastAsia"/>
        </w:rPr>
        <w:t>afterwards</w:t>
      </w:r>
      <w:r w:rsidR="00994D93" w:rsidRPr="00C66C24">
        <w:rPr>
          <w:rFonts w:eastAsiaTheme="minorEastAsia"/>
        </w:rPr>
        <w:t xml:space="preserve"> in </w:t>
      </w:r>
      <w:r w:rsidR="0081798E" w:rsidRPr="00C66C24">
        <w:rPr>
          <w:rFonts w:eastAsiaTheme="minorEastAsia"/>
        </w:rPr>
        <w:t>5-year</w:t>
      </w:r>
      <w:r w:rsidR="00994D93" w:rsidRPr="00C66C24">
        <w:rPr>
          <w:rFonts w:eastAsiaTheme="minorEastAsia"/>
        </w:rPr>
        <w:t xml:space="preserve"> steps up</w:t>
      </w:r>
      <w:r w:rsidR="00BC1D27" w:rsidRPr="00C66C24">
        <w:rPr>
          <w:rFonts w:eastAsiaTheme="minorEastAsia"/>
        </w:rPr>
        <w:t xml:space="preserve"> to </w:t>
      </w:r>
      <w:r w:rsidR="00994D93" w:rsidRPr="00C66C24">
        <w:rPr>
          <w:rFonts w:eastAsiaTheme="minorEastAsia"/>
        </w:rPr>
        <w:t>80</w:t>
      </w:r>
      <w:r w:rsidR="00BC1D27" w:rsidRPr="00C66C24">
        <w:rPr>
          <w:rFonts w:eastAsiaTheme="minorEastAsia"/>
        </w:rPr>
        <w:t xml:space="preserve">% by </w:t>
      </w:r>
      <w:r w:rsidR="00994D93" w:rsidRPr="00C66C24">
        <w:rPr>
          <w:rFonts w:eastAsiaTheme="minorEastAsia"/>
        </w:rPr>
        <w:t>2050</w:t>
      </w:r>
      <w:r w:rsidR="00C04ECD" w:rsidRPr="00C66C24">
        <w:rPr>
          <w:rFonts w:eastAsiaTheme="minorEastAsia"/>
        </w:rPr>
        <w:t>.</w:t>
      </w:r>
      <w:r w:rsidR="00BC1D27" w:rsidRPr="00C66C24">
        <w:rPr>
          <w:rFonts w:eastAsiaTheme="minorEastAsia"/>
        </w:rPr>
        <w:t xml:space="preserve"> </w:t>
      </w:r>
      <w:r w:rsidR="006E1E78" w:rsidRPr="00C66C24">
        <w:rPr>
          <w:rFonts w:eastAsiaTheme="minorEastAsia"/>
        </w:rPr>
        <w:t>Reductions</w:t>
      </w:r>
      <w:r w:rsidR="00254908" w:rsidRPr="00C66C24">
        <w:rPr>
          <w:rFonts w:eastAsiaTheme="minorEastAsia"/>
        </w:rPr>
        <w:t xml:space="preserve"> are</w:t>
      </w:r>
      <w:r w:rsidR="006E1E78" w:rsidRPr="00C66C24">
        <w:rPr>
          <w:rFonts w:eastAsiaTheme="minorEastAsia"/>
        </w:rPr>
        <w:t xml:space="preserve"> required to be measured from a </w:t>
      </w:r>
      <w:r w:rsidR="00994D93" w:rsidRPr="00C66C24">
        <w:rPr>
          <w:rFonts w:eastAsiaTheme="minorEastAsia"/>
        </w:rPr>
        <w:t>reference value calculated on the</w:t>
      </w:r>
      <w:r w:rsidR="00254908" w:rsidRPr="00C66C24">
        <w:rPr>
          <w:rFonts w:eastAsiaTheme="minorEastAsia"/>
        </w:rPr>
        <w:t xml:space="preserve"> basis of data reported</w:t>
      </w:r>
      <w:r w:rsidR="00994D93" w:rsidRPr="00C66C24">
        <w:rPr>
          <w:rFonts w:eastAsiaTheme="minorEastAsia"/>
        </w:rPr>
        <w:t xml:space="preserve"> under MRV for 2020</w:t>
      </w:r>
      <w:r w:rsidR="00254908" w:rsidRPr="00C66C24">
        <w:rPr>
          <w:rFonts w:eastAsiaTheme="minorEastAsia"/>
        </w:rPr>
        <w:t xml:space="preserve"> (91</w:t>
      </w:r>
      <w:r w:rsidR="00606CA8">
        <w:rPr>
          <w:rFonts w:eastAsiaTheme="minorEastAsia"/>
        </w:rPr>
        <w:t>.</w:t>
      </w:r>
      <w:r w:rsidR="00994D93" w:rsidRPr="00C66C24">
        <w:rPr>
          <w:rFonts w:eastAsiaTheme="minorEastAsia"/>
        </w:rPr>
        <w:t>16 gCO</w:t>
      </w:r>
      <w:r w:rsidR="00994D93" w:rsidRPr="00C66C24">
        <w:rPr>
          <w:rFonts w:eastAsiaTheme="minorEastAsia"/>
          <w:vertAlign w:val="subscript"/>
        </w:rPr>
        <w:t>2</w:t>
      </w:r>
      <w:r w:rsidR="00994D93" w:rsidRPr="00C66C24">
        <w:rPr>
          <w:rFonts w:eastAsiaTheme="minorEastAsia"/>
        </w:rPr>
        <w:t>eq/MJ).</w:t>
      </w:r>
    </w:p>
    <w:p w14:paraId="23180D1B" w14:textId="00CE00F3" w:rsidR="00C04ECD" w:rsidRPr="00C66C24" w:rsidRDefault="00C04ECD" w:rsidP="00880AD6">
      <w:pPr>
        <w:spacing w:before="0" w:after="120" w:line="257" w:lineRule="auto"/>
        <w:rPr>
          <w:rFonts w:eastAsiaTheme="minorEastAsia"/>
        </w:rPr>
      </w:pPr>
      <w:r w:rsidRPr="00C66C24">
        <w:rPr>
          <w:rFonts w:eastAsiaTheme="minorEastAsia"/>
        </w:rPr>
        <w:t xml:space="preserve">In addition, the Regulation includes specific incentive measures for the introduction of renewable energy in shipping through the uptake of the specific a family of fuels: the renewable fuels of non-biological origin (RFNBO). It rewards ships making use of RFNBOs by multiplying by “2” the energy related to the use of such fuels when calculating the GHG intensity of the energy used onboard for compliance with </w:t>
      </w:r>
      <w:proofErr w:type="spellStart"/>
      <w:r w:rsidRPr="00C66C24">
        <w:rPr>
          <w:rFonts w:eastAsiaTheme="minorEastAsia"/>
        </w:rPr>
        <w:t>FuelEU</w:t>
      </w:r>
      <w:proofErr w:type="spellEnd"/>
      <w:r w:rsidRPr="00C66C24">
        <w:rPr>
          <w:rFonts w:eastAsiaTheme="minorEastAsia"/>
        </w:rPr>
        <w:t xml:space="preserve"> until the end of 2033. The Regulation is based on a life cycle, Well</w:t>
      </w:r>
      <w:r w:rsidR="00ED17AC">
        <w:rPr>
          <w:rFonts w:eastAsiaTheme="minorEastAsia"/>
        </w:rPr>
        <w:t>-</w:t>
      </w:r>
      <w:r w:rsidRPr="00C66C24">
        <w:rPr>
          <w:rFonts w:eastAsiaTheme="minorEastAsia"/>
        </w:rPr>
        <w:t>to</w:t>
      </w:r>
      <w:r w:rsidR="00ED17AC">
        <w:rPr>
          <w:rFonts w:eastAsiaTheme="minorEastAsia"/>
        </w:rPr>
        <w:t>-</w:t>
      </w:r>
      <w:r w:rsidRPr="00C66C24">
        <w:rPr>
          <w:rFonts w:eastAsiaTheme="minorEastAsia"/>
        </w:rPr>
        <w:t>Wake methodology accounting for emissions in production, distribution and use of the fuels onboard ships. In addition to CO</w:t>
      </w:r>
      <w:r w:rsidRPr="00C66C24">
        <w:rPr>
          <w:rFonts w:eastAsiaTheme="minorEastAsia"/>
          <w:vertAlign w:val="subscript"/>
        </w:rPr>
        <w:t>2</w:t>
      </w:r>
      <w:r w:rsidRPr="00C66C24">
        <w:rPr>
          <w:rFonts w:eastAsiaTheme="minorEastAsia"/>
        </w:rPr>
        <w:t xml:space="preserve"> emissions, also methane (CH</w:t>
      </w:r>
      <w:r w:rsidRPr="00C66C24">
        <w:rPr>
          <w:rFonts w:eastAsiaTheme="minorEastAsia"/>
          <w:vertAlign w:val="subscript"/>
        </w:rPr>
        <w:t>4</w:t>
      </w:r>
      <w:r w:rsidRPr="00C66C24">
        <w:rPr>
          <w:rFonts w:eastAsiaTheme="minorEastAsia"/>
        </w:rPr>
        <w:t>) and nitrous oxide (N</w:t>
      </w:r>
      <w:r w:rsidRPr="00C66C24">
        <w:rPr>
          <w:rFonts w:eastAsiaTheme="minorEastAsia"/>
          <w:vertAlign w:val="subscript"/>
        </w:rPr>
        <w:t>2</w:t>
      </w:r>
      <w:r w:rsidRPr="00C66C24">
        <w:rPr>
          <w:rFonts w:eastAsiaTheme="minorEastAsia"/>
        </w:rPr>
        <w:t xml:space="preserve">O) emissions are </w:t>
      </w:r>
      <w:proofErr w:type="gramStart"/>
      <w:r w:rsidRPr="00C66C24">
        <w:rPr>
          <w:rFonts w:eastAsiaTheme="minorEastAsia"/>
        </w:rPr>
        <w:t>taken into account</w:t>
      </w:r>
      <w:proofErr w:type="gramEnd"/>
      <w:r w:rsidRPr="00C66C24">
        <w:rPr>
          <w:rFonts w:eastAsiaTheme="minorEastAsia"/>
        </w:rPr>
        <w:t xml:space="preserve"> for the total CO</w:t>
      </w:r>
      <w:r w:rsidRPr="00C66C24">
        <w:rPr>
          <w:rFonts w:eastAsiaTheme="minorEastAsia"/>
          <w:vertAlign w:val="subscript"/>
        </w:rPr>
        <w:t>2</w:t>
      </w:r>
      <w:r w:rsidRPr="00C66C24">
        <w:rPr>
          <w:rFonts w:eastAsiaTheme="minorEastAsia"/>
        </w:rPr>
        <w:t>-equivalent calculation. Setting the criteria for the eligibility of fuels to contribute to GHG intensity reduction is relevant to the implementation of the Regulation, and the Renewable Energy Directive (RED) is the main reference for their certification. The Regulation will also mandate the use of onshore power supply (OPS), for passenger ships and container ships above 5 000 gross tonnes, in main EU ports, from 1 January 2030, and in all ports that develop such capacity from 1 January 2035.</w:t>
      </w:r>
    </w:p>
    <w:p w14:paraId="6CBB76EF" w14:textId="77777777" w:rsidR="00C04ECD" w:rsidRPr="00C66C24" w:rsidRDefault="00C04ECD" w:rsidP="00880AD6">
      <w:pPr>
        <w:pStyle w:val="Heading3"/>
      </w:pPr>
      <w:r w:rsidRPr="00C66C24">
        <w:t xml:space="preserve"> </w:t>
      </w:r>
      <w:bookmarkStart w:id="208" w:name="_Toc157762085"/>
      <w:r w:rsidRPr="00C66C24">
        <w:t>Alternative Fuel Infrastructure Regulation</w:t>
      </w:r>
      <w:bookmarkEnd w:id="208"/>
    </w:p>
    <w:p w14:paraId="26AAC0D2" w14:textId="3566E482" w:rsidR="00BC1D27" w:rsidRPr="00C66C24" w:rsidRDefault="00C04ECD" w:rsidP="00880AD6">
      <w:pPr>
        <w:spacing w:before="0" w:after="120" w:line="257" w:lineRule="auto"/>
        <w:rPr>
          <w:rFonts w:eastAsiaTheme="minorEastAsia"/>
        </w:rPr>
      </w:pPr>
      <w:r w:rsidRPr="00C66C24">
        <w:rPr>
          <w:rFonts w:eastAsiaTheme="minorEastAsia"/>
          <w:iCs w:val="0"/>
        </w:rPr>
        <w:t xml:space="preserve">The new Alternative Fuels Infrastructure Regulation (AFIR) (Regulation (EU) 2023/1804) has three main objectives: i) to ensure that there is sufficient infrastructure network for the (re)charging and (re)fuelling with alternative fuels; ii) to provide alternatives to the use of onboard engines that are powered with fossil fuels for vessels at berth, and; iii) to ensure that the infrastructure is operational and user friendly. It requires Trans-European Network (TEN-T) maritime ports to install electricity supply to serve the demand of at least 90% of containerships and passenger ships above 5,000GT calling at that port, by 1 January 2030. This requirement applies specifically to ports having port call thresholds of 100, 40 and 25 port calls/year for containerships, passenger ferries and cruise ships respectively. In addition, AFIR requires designated ports to provide an appropriate number of refuelling points for liquified methane by January 2025, as well as to develop and submit plans for the deployment of hydrogen, methanol and ammonia refuelling points </w:t>
      </w:r>
      <w:r w:rsidRPr="00C66C24">
        <w:rPr>
          <w:rFonts w:eastAsiaTheme="minorEastAsia"/>
          <w:iCs w:val="0"/>
        </w:rPr>
        <w:fldChar w:fldCharType="begin"/>
      </w:r>
      <w:r w:rsidR="001855E3" w:rsidRPr="00C66C24">
        <w:rPr>
          <w:rFonts w:eastAsiaTheme="minorEastAsia"/>
          <w:iCs w:val="0"/>
        </w:rPr>
        <w:instrText xml:space="preserve"> ADDIN ZOTERO_ITEM CSL_CITATION {"citationID":"nyESFHty","properties":{"formattedCitation":"(EU, 2023d)","plainCitation":"(EU, 2023d)","dontUpdate":true,"noteIndex":0},"citationItems":[{"id":51521,"uris":["http://zotero.org/groups/122386/items/DT7UVUQ9"],"itemData":{"id":51521,"type":"webpage","language":"en","title":"Regulation (EU) 2023/1804 of the European Parliament and of the Council of 13 September 2023 on the deployment of alternative fuels infrastructure, and repealing Directive 2014/94/EU (Text with EEA relevance)","title-short":"Regulation (EU) 2023/1804","URL":"https://eur-lex.europa.eu/eli/reg/2023/1804/oj","author":[{"family":"EU","given":""}],"accessed":{"date-parts":[["2023",9,27]]},"issued":{"date-parts":[["2023"]]}}}],"schema":"https://github.com/citation-style-language/schema/raw/master/csl-citation.json"} </w:instrText>
      </w:r>
      <w:r w:rsidRPr="00C66C24">
        <w:rPr>
          <w:rFonts w:eastAsiaTheme="minorEastAsia"/>
          <w:iCs w:val="0"/>
        </w:rPr>
        <w:fldChar w:fldCharType="separate"/>
      </w:r>
      <w:r w:rsidRPr="00C66C24">
        <w:rPr>
          <w:rFonts w:ascii="Calibri" w:hAnsi="Calibri" w:cs="Calibri"/>
        </w:rPr>
        <w:t xml:space="preserve">(EU, </w:t>
      </w:r>
      <w:r w:rsidRPr="0007382B">
        <w:rPr>
          <w:rFonts w:ascii="Calibri" w:hAnsi="Calibri" w:cs="Calibri"/>
        </w:rPr>
        <w:t>2023</w:t>
      </w:r>
      <w:r w:rsidR="00686763">
        <w:rPr>
          <w:rFonts w:ascii="Calibri" w:hAnsi="Calibri" w:cs="Calibri"/>
        </w:rPr>
        <w:t>d</w:t>
      </w:r>
      <w:r w:rsidRPr="00C66C24">
        <w:rPr>
          <w:rFonts w:ascii="Calibri" w:hAnsi="Calibri" w:cs="Calibri"/>
        </w:rPr>
        <w:t>)</w:t>
      </w:r>
      <w:r w:rsidRPr="00C66C24">
        <w:rPr>
          <w:rFonts w:eastAsiaTheme="minorEastAsia"/>
          <w:iCs w:val="0"/>
        </w:rPr>
        <w:fldChar w:fldCharType="end"/>
      </w:r>
      <w:r w:rsidRPr="00C66C24">
        <w:rPr>
          <w:rFonts w:eastAsiaTheme="minorEastAsia"/>
          <w:iCs w:val="0"/>
        </w:rPr>
        <w:t>.</w:t>
      </w:r>
    </w:p>
    <w:p w14:paraId="7FB40E3A" w14:textId="755F877A" w:rsidR="00BC1D27" w:rsidRPr="00C66C24" w:rsidRDefault="00BC1D27" w:rsidP="00880AD6">
      <w:pPr>
        <w:pStyle w:val="Heading3"/>
      </w:pPr>
      <w:bookmarkStart w:id="209" w:name="_Toc156316344"/>
      <w:bookmarkStart w:id="210" w:name="_Toc156316497"/>
      <w:bookmarkStart w:id="211" w:name="_Toc157762086"/>
      <w:r w:rsidRPr="00C66C24">
        <w:t>Renewable Energy Directive</w:t>
      </w:r>
      <w:bookmarkEnd w:id="209"/>
      <w:bookmarkEnd w:id="210"/>
      <w:bookmarkEnd w:id="211"/>
    </w:p>
    <w:p w14:paraId="50EAA39E" w14:textId="38DA5998" w:rsidR="00BC1D27" w:rsidRPr="00C66C24" w:rsidRDefault="00C04ECD" w:rsidP="00880AD6">
      <w:pPr>
        <w:spacing w:before="0" w:after="120" w:line="257" w:lineRule="auto"/>
        <w:rPr>
          <w:rFonts w:eastAsiaTheme="minorEastAsia"/>
          <w:iCs w:val="0"/>
        </w:rPr>
      </w:pPr>
      <w:r w:rsidRPr="00C66C24">
        <w:rPr>
          <w:rFonts w:eastAsiaTheme="minorEastAsia"/>
          <w:iCs w:val="0"/>
        </w:rPr>
        <w:t xml:space="preserve">A new Renewable Energy Directive (RED III) was adopted to allow Member States to choose one of two binding targets applicable to the overall transport sector </w:t>
      </w:r>
      <w:r w:rsidRPr="00C66C24">
        <w:rPr>
          <w:rFonts w:eastAsiaTheme="minorEastAsia"/>
          <w:iCs w:val="0"/>
        </w:rPr>
        <w:fldChar w:fldCharType="begin"/>
      </w:r>
      <w:r w:rsidR="001855E3" w:rsidRPr="00C66C24">
        <w:rPr>
          <w:rFonts w:eastAsiaTheme="minorEastAsia"/>
          <w:iCs w:val="0"/>
        </w:rPr>
        <w:instrText xml:space="preserve"> ADDIN ZOTERO_ITEM CSL_CITATION {"citationID":"ao2cav38ab","properties":{"formattedCitation":"(EU, 2023a)","plainCitation":"(EU, 2023a)","noteIndex":0},"citationItems":[{"id":59156,"uris":["http://zotero.org/groups/122386/items/UZBJEQ9Q"],"itemData":{"id":59156,"type":"document","publisher":"European Parliament and Council","title":"Directive (EU) 2023/2413 of the European Parliament and of the Council of 18 October 2023 amending Directive (EU) 2018/2001, Regulation (EU) 2018/1999 and Directive 98/70/EC as regards the promotion of energy from renewable sources, and repealing Council Directive (EU) 2015/652","title-short":"RED 3","URL":"https://eur-lex.europa.eu/legal-content/EN/TXT/?uri=CELEX%3A32023L2413&amp;qid=1699364355105","author":[{"literal":"EU"}],"issued":{"date-parts":[["2023"]]}}}],"schema":"https://github.com/citation-style-language/schema/raw/master/csl-citation.json"} </w:instrText>
      </w:r>
      <w:r w:rsidRPr="00C66C24">
        <w:rPr>
          <w:rFonts w:eastAsiaTheme="minorEastAsia"/>
          <w:iCs w:val="0"/>
        </w:rPr>
        <w:fldChar w:fldCharType="separate"/>
      </w:r>
      <w:r w:rsidR="001855E3" w:rsidRPr="00C66C24">
        <w:rPr>
          <w:rFonts w:ascii="Calibri" w:hAnsi="Calibri" w:cs="Calibri"/>
        </w:rPr>
        <w:t>(EU, 2023a)</w:t>
      </w:r>
      <w:r w:rsidRPr="00C66C24">
        <w:rPr>
          <w:rFonts w:eastAsiaTheme="minorEastAsia"/>
          <w:iCs w:val="0"/>
        </w:rPr>
        <w:fldChar w:fldCharType="end"/>
      </w:r>
      <w:r w:rsidRPr="00C66C24">
        <w:rPr>
          <w:rFonts w:eastAsiaTheme="minorEastAsia"/>
          <w:iCs w:val="0"/>
        </w:rPr>
        <w:t>. The first target aims to reduce by 14.5% the greenhouse gas intensity of transport fuels from the use of renewables by 2030, while the second target aims to achieve an absolute rate of 29% of renewable energy in final energy consumption across all transport sectors by 2030. The revised Directive also includes a target of 42.5% of renewable energy by 2030 to which maritime transport can contribute, representing an increase of 28.5% from the previous binding target of 14%. Other binding targets include a combined sub-target of 5.5% of advanced biofuels and renewable fuels of non-biological origin (RFNBOs), with a minimum level of 1% of RFNBOs. Furthermore, RED III includes a first-ever indicative target of 1.2% of renewables in the maritime transport fuels sector, and a limitation of the amount of energy supplied to maritime transport of 13% of the Member State’s gross final energy consumption for the calculation of both the GHG intensity reduction and the renewable energy share in transport.</w:t>
      </w:r>
    </w:p>
    <w:p w14:paraId="5493D371" w14:textId="77777777" w:rsidR="00BC1D27" w:rsidRPr="00C66C24" w:rsidRDefault="00BC1D27" w:rsidP="00880AD6">
      <w:pPr>
        <w:pStyle w:val="Heading3"/>
      </w:pPr>
      <w:bookmarkStart w:id="212" w:name="_Toc156316345"/>
      <w:bookmarkStart w:id="213" w:name="_Toc156316498"/>
      <w:bookmarkStart w:id="214" w:name="_Toc157762087"/>
      <w:r w:rsidRPr="00C66C24">
        <w:t>Energy Taxation Directive</w:t>
      </w:r>
      <w:bookmarkEnd w:id="212"/>
      <w:bookmarkEnd w:id="213"/>
      <w:bookmarkEnd w:id="214"/>
    </w:p>
    <w:p w14:paraId="37AE1CE1" w14:textId="61A65460" w:rsidR="00C04ECD" w:rsidRPr="00C66C24" w:rsidRDefault="00C04ECD" w:rsidP="00880AD6">
      <w:pPr>
        <w:spacing w:after="0" w:line="257" w:lineRule="auto"/>
        <w:rPr>
          <w:rFonts w:eastAsiaTheme="minorEastAsia"/>
          <w:iCs w:val="0"/>
        </w:rPr>
      </w:pPr>
      <w:r w:rsidRPr="00C66C24">
        <w:rPr>
          <w:rFonts w:eastAsiaTheme="minorEastAsia"/>
          <w:iCs w:val="0"/>
        </w:rPr>
        <w:t xml:space="preserve">The revision of the Energy Taxation Directive, which was first published in 2003, aims to align the taxation of energy products with EU energy and climate policies. It promotes clean technologies and removes outdated exemptions and reduced rates that currently encourage the use of fossil fuels. Under the proposal for the revised Directive launched in 2021, marine fuels used by maritime transport will no longer be fully exempted from energy taxation for intra-EU voyages in the EU. Other revisions include measures to avoid the double taxation of stored electricity or the recognition of hydrogen as an energy product </w:t>
      </w:r>
      <w:r w:rsidR="00BC1D27" w:rsidRPr="00C66C24">
        <w:rPr>
          <w:rFonts w:eastAsiaTheme="minorEastAsia"/>
          <w:iCs w:val="0"/>
        </w:rPr>
        <w:fldChar w:fldCharType="begin"/>
      </w:r>
      <w:r w:rsidR="001855E3" w:rsidRPr="00C66C24">
        <w:rPr>
          <w:rFonts w:eastAsiaTheme="minorEastAsia"/>
          <w:iCs w:val="0"/>
        </w:rPr>
        <w:instrText xml:space="preserve"> ADDIN ZOTERO_ITEM CSL_CITATION {"citationID":"7Gzt0ZxM","properties":{"formattedCitation":"(EP Think Tank, 2021)","plainCitation":"(EP Think Tank, 2021)","dontUpdate":true,"noteIndex":0},"citationItems":[{"id":51697,"uris":["http://zotero.org/groups/122386/items/8AHMXMWI"],"itemData":{"id":51697,"type":"report","abstract":"Review of the Energy Taxation Directive","publisher":"European Parliament Think Tank","title":"Review of the Energy Taxation Directive","URL":"https://www.europarl.europa.eu/thinktank/en/document/EPRS_BRI(2021)662636","author":[{"family":"EP","given":""}],"accessed":{"date-parts":[["2023",10,6]]},"issued":{"date-parts":[["2021",5,18]]}}}],"schema":"https://github.com/citation-style-language/schema/raw/master/csl-citation.json"} </w:instrText>
      </w:r>
      <w:r w:rsidR="00BC1D27" w:rsidRPr="00C66C24">
        <w:rPr>
          <w:rFonts w:eastAsiaTheme="minorEastAsia"/>
          <w:iCs w:val="0"/>
        </w:rPr>
        <w:fldChar w:fldCharType="separate"/>
      </w:r>
      <w:r w:rsidR="00BC1D27" w:rsidRPr="00C66C24">
        <w:rPr>
          <w:rFonts w:ascii="Calibri" w:hAnsi="Calibri" w:cs="Calibri"/>
          <w:iCs w:val="0"/>
        </w:rPr>
        <w:t>(EP, 2021)</w:t>
      </w:r>
      <w:r w:rsidR="00BC1D27" w:rsidRPr="00C66C24">
        <w:rPr>
          <w:rFonts w:eastAsiaTheme="minorEastAsia"/>
          <w:iCs w:val="0"/>
        </w:rPr>
        <w:fldChar w:fldCharType="end"/>
      </w:r>
      <w:r w:rsidRPr="00C66C24">
        <w:rPr>
          <w:rFonts w:eastAsiaTheme="minorEastAsia"/>
          <w:iCs w:val="0"/>
        </w:rPr>
        <w:t>.</w:t>
      </w:r>
    </w:p>
    <w:p w14:paraId="2D96C7EB" w14:textId="77777777" w:rsidR="00C04ECD" w:rsidRPr="00C66C24" w:rsidRDefault="00C04ECD" w:rsidP="008C6A9C">
      <w:pPr>
        <w:pStyle w:val="Heading2"/>
        <w:spacing w:line="257" w:lineRule="auto"/>
      </w:pPr>
      <w:bookmarkStart w:id="215" w:name="_Toc157762088"/>
      <w:r w:rsidRPr="00C66C24">
        <w:t>Climate neutral energy solutions</w:t>
      </w:r>
      <w:bookmarkEnd w:id="215"/>
    </w:p>
    <w:p w14:paraId="0C805698" w14:textId="77777777" w:rsidR="00C04ECD" w:rsidRPr="00C66C24" w:rsidRDefault="00C04ECD" w:rsidP="008C6A9C">
      <w:pPr>
        <w:pStyle w:val="Heading3"/>
        <w:spacing w:line="257" w:lineRule="auto"/>
      </w:pPr>
      <w:bookmarkStart w:id="216" w:name="_Toc157762089"/>
      <w:r w:rsidRPr="00C66C24">
        <w:t>Biofuels</w:t>
      </w:r>
      <w:bookmarkEnd w:id="216"/>
    </w:p>
    <w:p w14:paraId="3286BEFD" w14:textId="766B5F8E" w:rsidR="00C04ECD" w:rsidRPr="00C66C24" w:rsidRDefault="00C04ECD" w:rsidP="008C6A9C">
      <w:pPr>
        <w:spacing w:before="0" w:after="0" w:line="257" w:lineRule="auto"/>
        <w:rPr>
          <w:rFonts w:eastAsiaTheme="minorEastAsia"/>
        </w:rPr>
      </w:pPr>
      <w:r w:rsidRPr="00C66C24">
        <w:rPr>
          <w:rFonts w:eastAsiaTheme="minorEastAsia"/>
        </w:rPr>
        <w:t>The ‘drop-in’ characteristics of biofuels, although most of them not being CO</w:t>
      </w:r>
      <w:r w:rsidRPr="00C66C24">
        <w:rPr>
          <w:rFonts w:eastAsiaTheme="minorEastAsia"/>
          <w:vertAlign w:val="subscript"/>
        </w:rPr>
        <w:t>2</w:t>
      </w:r>
      <w:r w:rsidRPr="00C66C24">
        <w:rPr>
          <w:rFonts w:eastAsiaTheme="minorEastAsia"/>
        </w:rPr>
        <w:t>-neutral on a Well</w:t>
      </w:r>
      <w:r w:rsidR="009F56FA">
        <w:rPr>
          <w:rFonts w:eastAsiaTheme="minorEastAsia"/>
        </w:rPr>
        <w:t>-</w:t>
      </w:r>
      <w:r w:rsidRPr="00C66C24">
        <w:rPr>
          <w:rFonts w:eastAsiaTheme="minorEastAsia"/>
        </w:rPr>
        <w:t>to</w:t>
      </w:r>
      <w:r w:rsidR="009F56FA">
        <w:rPr>
          <w:rFonts w:eastAsiaTheme="minorEastAsia"/>
        </w:rPr>
        <w:t>-</w:t>
      </w:r>
      <w:r w:rsidRPr="00C66C24">
        <w:rPr>
          <w:rFonts w:eastAsiaTheme="minorEastAsia"/>
        </w:rPr>
        <w:t>Wake basis, offer an attractive solution for quick adoption by the existing fleet. Such ability of being used without substantial modifications to engines, fuel tanks, fuel pumps or fuel supply systems, and the possibility of biofuels to blend-in with existing fossil fuels makes them relevant in the context of the initial gradual decarbonisation targets.</w:t>
      </w:r>
    </w:p>
    <w:p w14:paraId="7659CB78" w14:textId="265308E3" w:rsidR="00C04ECD" w:rsidRPr="00C66C24" w:rsidRDefault="00C04ECD" w:rsidP="008C6A9C">
      <w:pPr>
        <w:spacing w:before="0" w:after="0" w:line="257" w:lineRule="auto"/>
        <w:rPr>
          <w:rFonts w:eastAsiaTheme="minorEastAsia"/>
        </w:rPr>
      </w:pPr>
      <w:r w:rsidRPr="00C66C24">
        <w:rPr>
          <w:rFonts w:eastAsiaTheme="minorEastAsia"/>
        </w:rPr>
        <w:t xml:space="preserve">In terms of future demand, the shipping sector will have to compete with other sectors. This competition for biomass is expected to grow after 2030, resulting in an increase in prices, possibly making biofuels not </w:t>
      </w:r>
      <w:r w:rsidR="00453AC4">
        <w:rPr>
          <w:rFonts w:eastAsiaTheme="minorEastAsia"/>
        </w:rPr>
        <w:t>attractive</w:t>
      </w:r>
      <w:r w:rsidRPr="00C66C24">
        <w:rPr>
          <w:rFonts w:eastAsiaTheme="minorEastAsia"/>
        </w:rPr>
        <w:t xml:space="preserve"> for shipping. In addition, projections on the amount of sustainable biomass are uncertain.  Furthermore, there are concerns regarding the availability, and the capacity to scale up the necessary biofuel production to reduce shipping GHG emissions.</w:t>
      </w:r>
    </w:p>
    <w:p w14:paraId="6DDFB972" w14:textId="77777777" w:rsidR="00C04ECD" w:rsidRPr="00C66C24" w:rsidRDefault="00C04ECD" w:rsidP="008C6A9C">
      <w:pPr>
        <w:spacing w:before="0" w:after="0" w:line="257" w:lineRule="auto"/>
        <w:rPr>
          <w:rFonts w:eastAsiaTheme="minorEastAsia"/>
        </w:rPr>
      </w:pPr>
      <w:r w:rsidRPr="00C66C24">
        <w:rPr>
          <w:rFonts w:eastAsiaTheme="minorEastAsia"/>
        </w:rPr>
        <w:t xml:space="preserve">With a view to mitigate the risk of excessive pressure in terms of indirect land use and deforestation, the </w:t>
      </w:r>
      <w:proofErr w:type="spellStart"/>
      <w:r w:rsidRPr="00C66C24">
        <w:rPr>
          <w:rFonts w:eastAsiaTheme="minorEastAsia"/>
        </w:rPr>
        <w:t>FuelEU</w:t>
      </w:r>
      <w:proofErr w:type="spellEnd"/>
      <w:r w:rsidRPr="00C66C24">
        <w:rPr>
          <w:rFonts w:eastAsiaTheme="minorEastAsia"/>
        </w:rPr>
        <w:t xml:space="preserve"> includes a safeguard against the use of food and feed crop biofuels thus promoting advanced biofuels, and waste or advanced RED Annex-IX feedstocks.</w:t>
      </w:r>
    </w:p>
    <w:p w14:paraId="3ADA382F" w14:textId="581509E5" w:rsidR="00C04ECD" w:rsidRPr="00C66C24" w:rsidRDefault="00C04ECD" w:rsidP="008C6A9C">
      <w:pPr>
        <w:spacing w:before="0" w:after="0" w:line="257" w:lineRule="auto"/>
      </w:pPr>
      <w:r w:rsidRPr="00C66C24">
        <w:rPr>
          <w:rFonts w:eastAsiaTheme="minorEastAsia"/>
        </w:rPr>
        <w:t xml:space="preserve">The available feedstock biomass for 2030 has been estimated to be between 7.3 and 18 EJ  whereas for 2050, the estimation is between 7.0 and 19 EJ </w:t>
      </w:r>
      <w:r w:rsidRPr="00C66C24">
        <w:rPr>
          <w:rFonts w:eastAsiaTheme="minorEastAsia"/>
        </w:rPr>
        <w:fldChar w:fldCharType="begin"/>
      </w:r>
      <w:r w:rsidR="001855E3" w:rsidRPr="00C66C24">
        <w:rPr>
          <w:rFonts w:eastAsiaTheme="minorEastAsia"/>
        </w:rPr>
        <w:instrText xml:space="preserve"> ADDIN ZOTERO_ITEM CSL_CITATION {"citationID":"9mPKjxKi","properties":{"formattedCitation":"(EMSA, 2023b)","plainCitation":"(EMSA, 2023b)","noteIndex":0},"citationItems":[{"id":35276,"uris":["http://zotero.org/groups/122386/items/TDKJRN9U"],"itemData":{"id":35276,"type":"report","abstract":"Among the broad spectrum of technology and fuel-solution pathways available for ship designers, builders, owners and operators, biofuels potentially offer medium and long-term marine fuel alternatives that can enter the market relatively quickly; they also offer the potential, if sustainability ...","language":"en-GB","publisher":"European Maritime Safety Agency","title":"Update on potential of biofuels for shipping","URL":"https://www.emsa.europa.eu/about/financial-regulations/items.html?cid=14:technical&amp;id=4834","author":[{"literal":"EMSA"}],"accessed":{"date-parts":[["2023",3,16]]},"issued":{"date-parts":[["2023"]]}}}],"schema":"https://github.com/citation-style-language/schema/raw/master/csl-citation.json"} </w:instrText>
      </w:r>
      <w:r w:rsidRPr="00C66C24">
        <w:rPr>
          <w:rFonts w:eastAsiaTheme="minorEastAsia"/>
        </w:rPr>
        <w:fldChar w:fldCharType="separate"/>
      </w:r>
      <w:r w:rsidR="001855E3" w:rsidRPr="00C66C24">
        <w:rPr>
          <w:rFonts w:ascii="Calibri" w:hAnsi="Calibri" w:cs="Calibri"/>
        </w:rPr>
        <w:t>(EMSA, 2023</w:t>
      </w:r>
      <w:r w:rsidR="00DF305A">
        <w:rPr>
          <w:rFonts w:ascii="Calibri" w:hAnsi="Calibri" w:cs="Calibri"/>
        </w:rPr>
        <w:t>c</w:t>
      </w:r>
      <w:r w:rsidR="001855E3" w:rsidRPr="00C66C24">
        <w:rPr>
          <w:rFonts w:ascii="Calibri" w:hAnsi="Calibri" w:cs="Calibri"/>
        </w:rPr>
        <w:t>)</w:t>
      </w:r>
      <w:r w:rsidRPr="00C66C24">
        <w:rPr>
          <w:rFonts w:eastAsiaTheme="minorEastAsia"/>
        </w:rPr>
        <w:fldChar w:fldCharType="end"/>
      </w:r>
      <w:r w:rsidRPr="00C66C24">
        <w:rPr>
          <w:rFonts w:eastAsiaTheme="minorEastAsia"/>
        </w:rPr>
        <w:t xml:space="preserve">. It should be highlighted that the global energy demand from shipping in 2018 was approximately 14 EJ </w:t>
      </w:r>
      <w:r w:rsidRPr="00C66C24">
        <w:rPr>
          <w:rFonts w:eastAsiaTheme="minorEastAsia"/>
        </w:rPr>
        <w:fldChar w:fldCharType="begin"/>
      </w:r>
      <w:r w:rsidRPr="00C66C24">
        <w:rPr>
          <w:rFonts w:eastAsiaTheme="minorEastAsia"/>
        </w:rPr>
        <w:instrText xml:space="preserve"> ADDIN ZOTERO_ITEM CSL_CITATION {"citationID":"xlsnYguA","properties":{"formattedCitation":"(IMO, 2020a)","plainCitation":"(IMO, 2020a)","noteIndex":0},"citationItems":[{"id":1068,"uris":["http://zotero.org/groups/122386/items/HJNG5DQJ"],"itemData":{"id":1068,"type":"report","event-place":"London, UK","publisher":"International Maritime Organization","publisher-place":"London, UK","title":"Fourth IMO greenhouse gas study","URL":"https://wwwcdn.imo.org/localresources/en/OurWork/Environment/Documents/Fourth%20IMO%20GHG%20Study%202020%20-%20Full%20report%20and%20annexes.pdf","author":[{"literal":"IMO"}],"accessed":{"date-parts":[["2020",12,20]]},"issued":{"date-parts":[["2020"]]}}}],"schema":"https://github.com/citation-style-language/schema/raw/master/csl-citation.json"} </w:instrText>
      </w:r>
      <w:r w:rsidRPr="00C66C24">
        <w:rPr>
          <w:rFonts w:eastAsiaTheme="minorEastAsia"/>
        </w:rPr>
        <w:fldChar w:fldCharType="separate"/>
      </w:r>
      <w:r w:rsidRPr="00C66C24">
        <w:rPr>
          <w:rFonts w:ascii="Calibri" w:hAnsi="Calibri" w:cs="Calibri"/>
        </w:rPr>
        <w:t>(IMO, 2020a)</w:t>
      </w:r>
      <w:r w:rsidRPr="00C66C24">
        <w:rPr>
          <w:rFonts w:eastAsiaTheme="minorEastAsia"/>
        </w:rPr>
        <w:fldChar w:fldCharType="end"/>
      </w:r>
      <w:r w:rsidRPr="00C66C24">
        <w:rPr>
          <w:rFonts w:eastAsiaTheme="minorEastAsia"/>
        </w:rPr>
        <w:t>, and this is expected to rise since the demand for maritime transport volumes is also expected to rise.</w:t>
      </w:r>
    </w:p>
    <w:p w14:paraId="7E8AE7B1" w14:textId="4AA6D6D4" w:rsidR="00C04ECD" w:rsidRPr="00C66C24" w:rsidRDefault="00C04ECD" w:rsidP="008C6A9C">
      <w:pPr>
        <w:spacing w:before="0" w:after="0" w:line="257" w:lineRule="auto"/>
      </w:pPr>
      <w:r w:rsidRPr="00C66C24">
        <w:t>Looking into the different biofuels, those with a greater potential of being applied by shipping can be ranked based on sustainability, availability, technology readiness level (TRL) for production, suitability</w:t>
      </w:r>
      <w:r w:rsidR="00D56476" w:rsidRPr="00C66C24">
        <w:t>,</w:t>
      </w:r>
      <w:r w:rsidRPr="00C66C24">
        <w:t xml:space="preserve"> and projected costs. Based on that, the most promising are </w:t>
      </w:r>
      <w:proofErr w:type="spellStart"/>
      <w:r w:rsidRPr="00C66C24">
        <w:t>biomethanol</w:t>
      </w:r>
      <w:proofErr w:type="spellEnd"/>
      <w:r w:rsidRPr="00C66C24">
        <w:t>, Fischer-</w:t>
      </w:r>
      <w:proofErr w:type="spellStart"/>
      <w:r w:rsidRPr="00C66C24">
        <w:t>Tropsch</w:t>
      </w:r>
      <w:proofErr w:type="spellEnd"/>
      <w:r w:rsidRPr="00C66C24">
        <w:t xml:space="preserve"> (FT) diesel, biomethane from digestion of waste and residues, and dimethyl ester (DME). Fatty acid methyl esters (FAME) from fat, oil or grease feedstocks (FOG), and biomethane from gasification could also be suitable options. FAME from vegetable oils, hydrotreated vegetable oils (HVO) from FOGs or from vegetable oils would perhaps be in a lower ranking position.</w:t>
      </w:r>
    </w:p>
    <w:p w14:paraId="31E778B3" w14:textId="77777777" w:rsidR="00C04ECD" w:rsidRPr="00C66C24" w:rsidRDefault="00C04ECD" w:rsidP="008C6A9C">
      <w:pPr>
        <w:pStyle w:val="Heading3"/>
        <w:spacing w:line="257" w:lineRule="auto"/>
      </w:pPr>
      <w:bookmarkStart w:id="217" w:name="_Toc157762090"/>
      <w:r w:rsidRPr="00C66C24">
        <w:t>Methanol</w:t>
      </w:r>
      <w:bookmarkEnd w:id="217"/>
    </w:p>
    <w:p w14:paraId="6496B879" w14:textId="791B3329" w:rsidR="00C04ECD" w:rsidRPr="00C66C24" w:rsidRDefault="00C04ECD" w:rsidP="00C23AAF">
      <w:pPr>
        <w:spacing w:before="0" w:after="120" w:line="257" w:lineRule="auto"/>
      </w:pPr>
      <w:r w:rsidRPr="00C66C24">
        <w:t>Methanol is suited for internal combustion engines, gas turbines</w:t>
      </w:r>
      <w:r w:rsidR="00443189" w:rsidRPr="00C66C24">
        <w:t>,</w:t>
      </w:r>
      <w:r w:rsidRPr="00C66C24">
        <w:t xml:space="preserve"> and fuel cells and it is easier to store compared to the other alternative fuels. The ICE technology currently available and being developed makes it an alternative not only for new builds but also for retrofits. Currently retrofitting solutions of existing engines to dual-fuel engine for operation on methanol are being developed (e</w:t>
      </w:r>
      <w:r w:rsidR="00D01BE5" w:rsidRPr="00C66C24">
        <w:t>.</w:t>
      </w:r>
      <w:r w:rsidRPr="00C66C24">
        <w:t>g. MAN is developing four-stroke engine retrofits to run on methanol; the FASTWATER project is developing and demonstrating retrofit kits for dual fuel ICE engines to run on methanol</w:t>
      </w:r>
      <w:r w:rsidR="00D91742" w:rsidRPr="00C66C24">
        <w:t xml:space="preserve"> </w:t>
      </w:r>
      <w:r w:rsidR="00D91742" w:rsidRPr="00C66C24">
        <w:fldChar w:fldCharType="begin"/>
      </w:r>
      <w:r w:rsidR="001855E3" w:rsidRPr="00C66C24">
        <w:instrText xml:space="preserve"> ADDIN ZOTERO_ITEM CSL_CITATION {"citationID":"a1ip33m8671","properties":{"formattedCitation":"(FASTWATER, 2020)","plainCitation":"(FASTWATER, 2020)","noteIndex":0},"citationItems":[{"id":59482,"uris":["http://zotero.org/groups/122386/items/X46N6MGP"],"itemData":{"id":59482,"type":"document","title":"FASTWATER project - FAST Track to Clean and Carbon-Neutral WATERborne Transport","URL":"https://fastwater.eu/","author":[{"literal":"FASTWATER"}],"issued":{"date-parts":[["2020"]]}}}],"schema":"https://github.com/citation-style-language/schema/raw/master/csl-citation.json"} </w:instrText>
      </w:r>
      <w:r w:rsidR="00D91742" w:rsidRPr="00C66C24">
        <w:fldChar w:fldCharType="separate"/>
      </w:r>
      <w:r w:rsidR="001855E3" w:rsidRPr="00C66C24">
        <w:rPr>
          <w:rFonts w:ascii="Calibri" w:hAnsi="Calibri" w:cs="Calibri"/>
        </w:rPr>
        <w:t>(FASTWATER, 2020)</w:t>
      </w:r>
      <w:r w:rsidR="00D91742" w:rsidRPr="00C66C24">
        <w:fldChar w:fldCharType="end"/>
      </w:r>
      <w:r w:rsidRPr="00C66C24">
        <w:t>; the HE project SYNERGETICS – set to end in 2026 – will compare two different methanol retrofits, in a test environment with respect to a range of performance parameters</w:t>
      </w:r>
      <w:r w:rsidR="00042BA2" w:rsidRPr="00C66C24">
        <w:t xml:space="preserve"> </w:t>
      </w:r>
      <w:r w:rsidR="00042BA2" w:rsidRPr="00C66C24">
        <w:fldChar w:fldCharType="begin"/>
      </w:r>
      <w:r w:rsidR="001855E3" w:rsidRPr="00C66C24">
        <w:instrText xml:space="preserve"> ADDIN ZOTERO_ITEM CSL_CITATION {"citationID":"a2gaq2q6jom","properties":{"formattedCitation":"(SYNERGETICS, 2023)","plainCitation":"(SYNERGETICS, 2023)","noteIndex":0},"citationItems":[{"id":59483,"uris":["http://zotero.org/groups/122386/items/7TNB366Y"],"itemData":{"id":59483,"type":"document","title":"SYNERGETICS project - Synergies for Green Transformation of Inland and Coastal Shipping","URL":"https://www.synergetics-project.eu/","author":[{"literal":"SYNERGETICS"}],"issued":{"date-parts":[["2023"]]}}}],"schema":"https://github.com/citation-style-language/schema/raw/master/csl-citation.json"} </w:instrText>
      </w:r>
      <w:r w:rsidR="00042BA2" w:rsidRPr="00C66C24">
        <w:fldChar w:fldCharType="separate"/>
      </w:r>
      <w:r w:rsidR="001855E3" w:rsidRPr="00C66C24">
        <w:rPr>
          <w:rFonts w:ascii="Calibri" w:hAnsi="Calibri" w:cs="Calibri"/>
        </w:rPr>
        <w:t>(SYNERGETICS, 2023)</w:t>
      </w:r>
      <w:r w:rsidR="00042BA2" w:rsidRPr="00C66C24">
        <w:fldChar w:fldCharType="end"/>
      </w:r>
      <w:r w:rsidRPr="00C66C24">
        <w:t xml:space="preserve">). A wide set of ship types is exploring methanol, </w:t>
      </w:r>
      <w:r w:rsidR="0089422A" w:rsidRPr="00C66C24">
        <w:t>such as</w:t>
      </w:r>
      <w:r w:rsidRPr="00C66C24">
        <w:t xml:space="preserve"> tugboats</w:t>
      </w:r>
      <w:r w:rsidR="00022ADF" w:rsidRPr="00C66C24">
        <w:t>. For example, t</w:t>
      </w:r>
      <w:r w:rsidRPr="00C66C24">
        <w:t xml:space="preserve">he </w:t>
      </w:r>
      <w:r w:rsidR="006869A9" w:rsidRPr="006869A9">
        <w:t>Zero Emission Waterborne Transport</w:t>
      </w:r>
      <w:r w:rsidR="006869A9" w:rsidRPr="006869A9">
        <w:t xml:space="preserve"> </w:t>
      </w:r>
      <w:r w:rsidR="006869A9">
        <w:t>(</w:t>
      </w:r>
      <w:r w:rsidRPr="00C66C24">
        <w:t>ZEWT</w:t>
      </w:r>
      <w:r w:rsidR="006869A9">
        <w:t>)</w:t>
      </w:r>
      <w:r w:rsidRPr="00C66C24">
        <w:t xml:space="preserve"> partnership has set the objective to demonstrate by 2030 the integration of safe storage and maintenance guidelines as well as state-of-the-art power conversion technologies, both on newbuilds and retrofits</w:t>
      </w:r>
      <w:r w:rsidR="004979AA" w:rsidRPr="00C66C24">
        <w:t xml:space="preserve"> </w:t>
      </w:r>
      <w:r w:rsidR="004979AA" w:rsidRPr="00C66C24">
        <w:fldChar w:fldCharType="begin"/>
      </w:r>
      <w:r w:rsidR="001855E3" w:rsidRPr="00C66C24">
        <w:instrText xml:space="preserve"> ADDIN ZOTERO_ITEM CSL_CITATION {"citationID":"a1crfo4sqvc","properties":{"formattedCitation":"(ZEWT partnership, 2021)","plainCitation":"(ZEWT partnership, 2021)","noteIndex":0},"citationItems":[{"id":59484,"uris":["http://zotero.org/groups/122386/items/UAGJA5QS"],"itemData":{"id":59484,"type":"webpage","title":"Waterborne - Zero-Emission Waterborne Transport","URL":"https://www.waterborne.eu/partnership/partnership","author":[{"literal":"ZEWT partnership"}],"issued":{"date-parts":[["2021"]]}}}],"schema":"https://github.com/citation-style-language/schema/raw/master/csl-citation.json"} </w:instrText>
      </w:r>
      <w:r w:rsidR="004979AA" w:rsidRPr="00C66C24">
        <w:fldChar w:fldCharType="separate"/>
      </w:r>
      <w:r w:rsidR="001855E3" w:rsidRPr="00C66C24">
        <w:rPr>
          <w:rFonts w:ascii="Calibri" w:hAnsi="Calibri" w:cs="Calibri"/>
        </w:rPr>
        <w:t>(ZEWT, 2021)</w:t>
      </w:r>
      <w:r w:rsidR="004979AA" w:rsidRPr="00C66C24">
        <w:fldChar w:fldCharType="end"/>
      </w:r>
      <w:r w:rsidRPr="00C66C24">
        <w:t>. Methanol is widely available and there is a well-developed supply chain in place as it is used extensively in the chemical industry. It is available in over 100 ports worldwide as a commodity. Although ethanol has physical properties that are like methanol, the latter is simpler to produce and is therefore expected to be significantly cheaper (currently, there is no vessel burning ethanol).</w:t>
      </w:r>
    </w:p>
    <w:p w14:paraId="052FF3B8" w14:textId="77777777" w:rsidR="00C04ECD" w:rsidRPr="00C66C24" w:rsidRDefault="00C04ECD" w:rsidP="008C6A9C">
      <w:pPr>
        <w:pStyle w:val="Heading3"/>
        <w:spacing w:before="0" w:after="0" w:line="257" w:lineRule="auto"/>
      </w:pPr>
      <w:bookmarkStart w:id="218" w:name="_Toc157762091"/>
      <w:r w:rsidRPr="00C66C24">
        <w:t>Hydrogen</w:t>
      </w:r>
      <w:bookmarkEnd w:id="218"/>
    </w:p>
    <w:p w14:paraId="3A1FA978" w14:textId="77777777" w:rsidR="00C04ECD" w:rsidRPr="00C66C24" w:rsidRDefault="00C04ECD" w:rsidP="00CD13E9">
      <w:pPr>
        <w:spacing w:before="0" w:after="0" w:line="257" w:lineRule="auto"/>
        <w:rPr>
          <w:rFonts w:eastAsiaTheme="minorEastAsia"/>
        </w:rPr>
      </w:pPr>
      <w:r w:rsidRPr="00C66C24">
        <w:rPr>
          <w:rFonts w:eastAsiaTheme="minorEastAsia"/>
        </w:rPr>
        <w:t>Hydrogen fuel is a new renewable feedstock for production of other types of fuels and chemicals, and it can be used directly as a fuel or clean-energy source. While shipping has limited experience using hydrogen as a fuel and some of the key technologies (such as engines) remain under development, there is sufficient land-based experience with its production and use that would serve as a sound basis for its transition to a marine fuel. However, there are some barriers, such as hydrogen’s low energy density (around 4 time less than marine diesel) which would increase the storage needs onboard a ship or the frequency of bunkering, the cost of the equipment and significant need to expand the global capacity to distribute and produce green hydrogen.</w:t>
      </w:r>
    </w:p>
    <w:p w14:paraId="6BB534F6" w14:textId="77777777" w:rsidR="00C04ECD" w:rsidRPr="00C66C24" w:rsidRDefault="00C04ECD" w:rsidP="00CD13E9">
      <w:pPr>
        <w:spacing w:before="0" w:after="0" w:line="257" w:lineRule="auto"/>
        <w:rPr>
          <w:rFonts w:eastAsiaTheme="minorEastAsia"/>
        </w:rPr>
      </w:pPr>
      <w:r w:rsidRPr="00C66C24">
        <w:rPr>
          <w:rFonts w:eastAsiaTheme="minorEastAsia"/>
        </w:rPr>
        <w:t xml:space="preserve">Currently, hydrogen is produced using fossil energy carriers, mostly natural gas in steam reformers.  In the future, hydrogen can be expected to be produced on larger scale using renewable energy. There are different production pathways for green hydrogen: electrolysis (using renewable electricity), direct solar hydrogen production, biomass fermentation, and thermochemical biomass conversion. Currently, the global production of green hydrogen is less than 0.1 million tonnes per year. Comparatively, the current global energy demand of international shipping is estimated to be about the equivalent of 95 million tonnes hydrogen per year. </w:t>
      </w:r>
    </w:p>
    <w:p w14:paraId="21BDAF70" w14:textId="604E52F7" w:rsidR="00C04ECD" w:rsidRPr="00C66C24" w:rsidRDefault="00C04ECD" w:rsidP="008C6A9C">
      <w:pPr>
        <w:spacing w:before="0" w:after="0" w:line="257" w:lineRule="auto"/>
        <w:rPr>
          <w:rFonts w:eastAsiaTheme="minorEastAsia"/>
        </w:rPr>
      </w:pPr>
      <w:r w:rsidRPr="00C66C24">
        <w:rPr>
          <w:rFonts w:eastAsiaTheme="minorEastAsia"/>
        </w:rPr>
        <w:t>Well</w:t>
      </w:r>
      <w:r w:rsidR="00095FE9">
        <w:rPr>
          <w:rFonts w:eastAsiaTheme="minorEastAsia"/>
        </w:rPr>
        <w:t>-</w:t>
      </w:r>
      <w:r w:rsidRPr="00C66C24">
        <w:rPr>
          <w:rFonts w:eastAsiaTheme="minorEastAsia"/>
        </w:rPr>
        <w:t>to</w:t>
      </w:r>
      <w:r w:rsidR="00095FE9">
        <w:rPr>
          <w:rFonts w:eastAsiaTheme="minorEastAsia"/>
        </w:rPr>
        <w:t>-</w:t>
      </w:r>
      <w:r w:rsidRPr="00C66C24">
        <w:rPr>
          <w:rFonts w:eastAsiaTheme="minorEastAsia"/>
        </w:rPr>
        <w:t>Tank GHG emissions of green hydrogen produced by means of water electrolysis are expected to be close to zero except for leaks from the supply chain. Additionally, the combustion of green hydrogen does not directly generate greenhouse gas (GHG) emissions but only as a result from the combustion of pilot fuels required to start the combustion of hydrogen if used in an internal combustion engine</w:t>
      </w:r>
      <w:r w:rsidRPr="00C66C24">
        <w:rPr>
          <w:rStyle w:val="FootnoteReference"/>
          <w:rFonts w:eastAsiaTheme="minorEastAsia"/>
        </w:rPr>
        <w:footnoteReference w:id="38"/>
      </w:r>
      <w:r w:rsidRPr="00C66C24">
        <w:rPr>
          <w:rFonts w:eastAsiaTheme="minorEastAsia"/>
        </w:rPr>
        <w:t>. Using hydrogen in an internal combustion engine does not emit sulphur dioxide, carbon monoxide, heavy metals, hydrocarbons, polycyclic aromatic hydrocarbons (PAHs), and limited particulate matter (PM). The combustion of hydrogen can lead to the thermal formation of nitrogen oxides (NOx). NOx emissions however can be controlled through primary measures such as the optimisation of the combustion process and secondary ones, such as aftertreatment systems like Selective Catalytic Reduction (SCR) devices</w:t>
      </w:r>
      <w:r w:rsidR="00E54F4C">
        <w:rPr>
          <w:rFonts w:eastAsiaTheme="minorEastAsia"/>
        </w:rPr>
        <w:t xml:space="preserve"> which however c</w:t>
      </w:r>
      <w:r w:rsidR="00DE4465">
        <w:rPr>
          <w:rFonts w:eastAsiaTheme="minorEastAsia"/>
        </w:rPr>
        <w:t>ould</w:t>
      </w:r>
      <w:r w:rsidR="00E54F4C">
        <w:rPr>
          <w:rFonts w:eastAsiaTheme="minorEastAsia"/>
        </w:rPr>
        <w:t xml:space="preserve"> lead to the production of </w:t>
      </w:r>
      <w:r w:rsidR="00692322">
        <w:rPr>
          <w:rFonts w:eastAsiaTheme="minorEastAsia"/>
        </w:rPr>
        <w:t>GHG such as N</w:t>
      </w:r>
      <w:r w:rsidR="00692322" w:rsidRPr="00692322">
        <w:rPr>
          <w:rFonts w:eastAsiaTheme="minorEastAsia"/>
          <w:vertAlign w:val="subscript"/>
        </w:rPr>
        <w:t>2</w:t>
      </w:r>
      <w:r w:rsidR="00692322">
        <w:rPr>
          <w:rFonts w:eastAsiaTheme="minorEastAsia"/>
        </w:rPr>
        <w:t>O</w:t>
      </w:r>
      <w:r w:rsidRPr="00C66C24">
        <w:rPr>
          <w:rFonts w:eastAsiaTheme="minorEastAsia"/>
        </w:rPr>
        <w:t xml:space="preserve">. </w:t>
      </w:r>
    </w:p>
    <w:p w14:paraId="05002F16" w14:textId="29DC3B15" w:rsidR="00C04ECD" w:rsidRPr="00C66C24" w:rsidRDefault="00C04ECD" w:rsidP="008C6A9C">
      <w:pPr>
        <w:spacing w:before="0" w:after="0" w:line="257" w:lineRule="auto"/>
        <w:rPr>
          <w:rFonts w:eastAsiaTheme="minorEastAsia"/>
        </w:rPr>
      </w:pPr>
      <w:r w:rsidRPr="00C66C24">
        <w:rPr>
          <w:rFonts w:eastAsiaTheme="minorEastAsia"/>
        </w:rPr>
        <w:t xml:space="preserve">Storing hydrogen can be technically challenging, largely depending on the specific ship general arrangement, with compressed gas storage suffering from low storage densities, even at high pressures, and liquid hydrogen needing to be stored in specialised, highly insulated or vacuum-insulated tanks </w:t>
      </w:r>
      <w:r w:rsidRPr="00C66C24">
        <w:rPr>
          <w:rFonts w:eastAsiaTheme="minorEastAsia"/>
        </w:rPr>
        <w:fldChar w:fldCharType="begin"/>
      </w:r>
      <w:r w:rsidR="001855E3" w:rsidRPr="00C66C24">
        <w:rPr>
          <w:rFonts w:eastAsiaTheme="minorEastAsia"/>
        </w:rPr>
        <w:instrText xml:space="preserve"> ADDIN ZOTERO_ITEM CSL_CITATION {"citationID":"a183pff2if1","properties":{"formattedCitation":"(EMSA, 2023a)","plainCitation":"(EMSA, 2023a)","noteIndex":0},"citationItems":[{"id":59164,"uris":["http://zotero.org/groups/122386/items/UY24GPDY"],"itemData":{"id":59164,"type":"report","abstract":"The maritime industry faces substantive challenges, many of which are driven by increasingly stricter air emissions and climate legislation as its practitioners navigate a course towards decarbonisation. Among the broad spectrum of technologies and fuel solutions being considered, hydrogen that is produced with renewable energy (green hydrogen) has been identified as a fuel that could offer a ‘near-zero’ carbon solution on a well-to-wake basis.\n\nWhile shipping has limited experience using hydrogen as a fuel and some of the key technologies (such as engines) remain under development, there is sufficient land-based experience with its production and use that would serve as a sound basis for the transition to a marine fuel.\n\nThere are some barriers, such as hydrogen’s low energy density (which would increase the storage needs onboard a ship), the cost of the equipment and significant need to expand the global capacity to distribute and produce green hydrogen. In the end, hydrogen-fuelled vessels may prove to be a more appropriate solution for short-sea shipping rather than deep-sea. By examining the current production capacity for hydrogen, the existing regulatory landscape, fuel storage options, supply and power generation technologies – along with techno-economic analyses and risk-based case studies – this study has identified the potential for adopting hydrogen as a marine fuel.","language":"EN","publisher":"European Maritime Safety Agency","title":"Potential of hydrogen as fuel for shipping","URL":"https://www.emsa.europa.eu/about/financial-regulations/items.html?cid=14&amp;id=5062","author":[{"literal":"EMSA"}],"issued":{"date-parts":[["2023"]]}}}],"schema":"https://github.com/citation-style-language/schema/raw/master/csl-citation.json"} </w:instrText>
      </w:r>
      <w:r w:rsidRPr="00C66C24">
        <w:rPr>
          <w:rFonts w:eastAsiaTheme="minorEastAsia"/>
        </w:rPr>
        <w:fldChar w:fldCharType="separate"/>
      </w:r>
      <w:r w:rsidR="001855E3" w:rsidRPr="00C66C24">
        <w:rPr>
          <w:rFonts w:ascii="Calibri" w:hAnsi="Calibri" w:cs="Calibri"/>
        </w:rPr>
        <w:t>(EMSA, 2023</w:t>
      </w:r>
      <w:r w:rsidR="007C3AE3">
        <w:rPr>
          <w:rFonts w:ascii="Calibri" w:hAnsi="Calibri" w:cs="Calibri"/>
        </w:rPr>
        <w:t>b</w:t>
      </w:r>
      <w:r w:rsidR="001855E3" w:rsidRPr="00C66C24">
        <w:rPr>
          <w:rFonts w:ascii="Calibri" w:hAnsi="Calibri" w:cs="Calibri"/>
        </w:rPr>
        <w:t>)</w:t>
      </w:r>
      <w:r w:rsidRPr="00C66C24">
        <w:rPr>
          <w:rFonts w:eastAsiaTheme="minorEastAsia"/>
        </w:rPr>
        <w:fldChar w:fldCharType="end"/>
      </w:r>
      <w:r w:rsidRPr="00C66C24">
        <w:rPr>
          <w:rFonts w:eastAsiaTheme="minorEastAsia"/>
        </w:rPr>
        <w:t>. Another issue is the energy consumption from pressurization and cooling of the stored hydrogen, reducing the energy efficiency of this fuel pathway. The storage capacity of hydrogen, in either liquid or compressed state, will be a challenge for certain ship types. Vessels plying short-sea routes – primarily coastal vessels – have the potential to adopt hydrogen as a fuel because their frequency of port calls and bunkering would support lower bunker capacities once hydrogen-bunkering infrastructure becomes available. Other major concerns related to hydrogen as marine fuel are related to its wide flammability range, leakage potential, being able to permeate through a large range of metals, flame speed, and detonation/deflagration issues.</w:t>
      </w:r>
    </w:p>
    <w:p w14:paraId="7194AC45" w14:textId="08A5225F" w:rsidR="00C04ECD" w:rsidRPr="00C66C24" w:rsidRDefault="00C04ECD" w:rsidP="008C6A9C">
      <w:pPr>
        <w:spacing w:before="0" w:after="0" w:line="257" w:lineRule="auto"/>
        <w:rPr>
          <w:rFonts w:eastAsiaTheme="minorEastAsia"/>
        </w:rPr>
      </w:pPr>
      <w:r w:rsidRPr="00C66C24">
        <w:rPr>
          <w:rFonts w:eastAsiaTheme="minorEastAsia"/>
        </w:rPr>
        <w:t>In addition to the use of hydrogen bunkered and stored in its hydrogen form, to avoid the foresaid challenges posed by hydrogen at those stages, other hydrogen-based compounds like ammonia, methanol and other liquid organic hydrogen carriers are being explored as hydrogen carriers for maritime uses.</w:t>
      </w:r>
    </w:p>
    <w:p w14:paraId="6FA1CDDF" w14:textId="77777777" w:rsidR="00C04ECD" w:rsidRPr="00C66C24" w:rsidRDefault="00C04ECD" w:rsidP="008C6A9C">
      <w:pPr>
        <w:pStyle w:val="Heading3"/>
        <w:spacing w:line="257" w:lineRule="auto"/>
      </w:pPr>
      <w:bookmarkStart w:id="219" w:name="_Toc157762092"/>
      <w:r w:rsidRPr="00C66C24">
        <w:t>Synthetic fuels</w:t>
      </w:r>
      <w:bookmarkEnd w:id="219"/>
    </w:p>
    <w:p w14:paraId="2D63D920" w14:textId="77777777" w:rsidR="00C04ECD" w:rsidRPr="00C66C24" w:rsidRDefault="00C04ECD" w:rsidP="00CD13E9">
      <w:pPr>
        <w:spacing w:before="0" w:after="0" w:line="257" w:lineRule="auto"/>
      </w:pPr>
      <w:r w:rsidRPr="00C66C24">
        <w:t>Synthetic fuels are a group of compounds that are currently an interesting option for the replacement of traditional fuels. Novel technologies have allowed for the appearance of two main classes of synthetic fuels:  renewable fuels of non-biological origins (RFNBOs) and electro-fuels (e-fuels). They mimic the chemical-physical characteristics of typical fossil fuels, but are produced with no biomass, renewable and non-fossil feedstocks. This new type of energy source has been studied to potentially offer medium- and long-term marine fuel alternatives. Even more so than other alternatives, these types of fuels also offer the potential to reduce carbon output to zero, or very close to it and are only paralleled by waste biofuels and blue synthetic fuels with carbon capture, utilisation, and storage (CCUS).</w:t>
      </w:r>
    </w:p>
    <w:p w14:paraId="6A8D76DD" w14:textId="31E8D525" w:rsidR="00C04ECD" w:rsidRPr="00C66C24" w:rsidRDefault="00C04ECD" w:rsidP="00CD13E9">
      <w:pPr>
        <w:spacing w:before="0" w:after="0" w:line="257" w:lineRule="auto"/>
      </w:pPr>
      <w:r w:rsidRPr="00C66C24">
        <w:t>Fuels produced using renewable sources other than biomass include diesel, methanol, ammonia (NH</w:t>
      </w:r>
      <w:r w:rsidRPr="00C66C24">
        <w:rPr>
          <w:vertAlign w:val="subscript"/>
        </w:rPr>
        <w:t>3</w:t>
      </w:r>
      <w:r w:rsidRPr="00C66C24">
        <w:t>), hydrogen (H</w:t>
      </w:r>
      <w:r w:rsidRPr="00C66C24">
        <w:rPr>
          <w:vertAlign w:val="subscript"/>
        </w:rPr>
        <w:t>2</w:t>
      </w:r>
      <w:r w:rsidRPr="00C66C24">
        <w:t xml:space="preserve">), liquified petroleum gas (LPG), dimethyl ether (DME), compressed natural gas (CNG), ethane, and ethanol </w:t>
      </w:r>
      <w:r w:rsidRPr="00C66C24">
        <w:fldChar w:fldCharType="begin"/>
      </w:r>
      <w:r w:rsidR="001855E3" w:rsidRPr="00C66C24">
        <w:instrText xml:space="preserve"> ADDIN ZOTERO_ITEM CSL_CITATION {"citationID":"SM10OIkM","properties":{"formattedCitation":"(IMO, 2023c)","plainCitation":"(IMO, 2023c)","noteIndex":0},"citationItems":[{"id":51680,"uris":["http://zotero.org/groups/122386/items/S27RD8P8"],"itemData":{"id":51680,"type":"document","language":"EN","publisher":"IMO","title":"Resolution MEPC.376(80)—Guidelines on life cycle GHG intensity of marine fuels (LCA guidelines)","URL":"https://wwwcdn.imo.org/localresources/en/OurWork/Environment/Documents/annex/MEPC%2080/Annex%2014.pdf","author":[{"family":"IMO","given":""}],"accessed":{"date-parts":[["2023",10,10]]},"issued":{"date-parts":[["2023"]]}}}],"schema":"https://github.com/citation-style-language/schema/raw/master/csl-citation.json"} </w:instrText>
      </w:r>
      <w:r w:rsidRPr="00C66C24">
        <w:fldChar w:fldCharType="separate"/>
      </w:r>
      <w:r w:rsidR="001855E3" w:rsidRPr="00C66C24">
        <w:rPr>
          <w:rFonts w:ascii="Calibri" w:hAnsi="Calibri" w:cs="Calibri"/>
        </w:rPr>
        <w:t>(IMO, 2023c)</w:t>
      </w:r>
      <w:r w:rsidRPr="00C66C24">
        <w:fldChar w:fldCharType="end"/>
      </w:r>
      <w:r w:rsidRPr="00C66C24">
        <w:rPr>
          <w:rStyle w:val="CommentReference"/>
        </w:rPr>
        <w:t>.</w:t>
      </w:r>
      <w:r w:rsidRPr="00C66C24">
        <w:t xml:space="preserve"> </w:t>
      </w:r>
      <w:r w:rsidRPr="00E860D1">
        <w:t xml:space="preserve">Similarly, the </w:t>
      </w:r>
      <w:proofErr w:type="spellStart"/>
      <w:r w:rsidRPr="00E860D1">
        <w:t>FuelEU</w:t>
      </w:r>
      <w:proofErr w:type="spellEnd"/>
      <w:r w:rsidRPr="00E860D1">
        <w:t xml:space="preserve"> Maritime Initiative</w:t>
      </w:r>
      <w:r w:rsidRPr="00FF6CA4">
        <w:rPr>
          <w:lang w:val="pt-PT"/>
        </w:rPr>
        <w:t xml:space="preserve"> </w:t>
      </w:r>
      <w:r w:rsidRPr="00C66C24">
        <w:fldChar w:fldCharType="begin"/>
      </w:r>
      <w:r w:rsidR="001855E3" w:rsidRPr="00706101">
        <w:rPr>
          <w:lang w:val="pt-PT"/>
        </w:rPr>
        <w:instrText xml:space="preserve"> ADDIN ZOTERO_ITEM CSL_CITATION {"citationID":"nVOoYDgW","properties":{"formattedCitation":"(EU, 2023c)","plainCitation":"(EU, 2023c)","noteIndex":0},"citationItems":[{"id":59163,"uris":["http://zotero.org/groups/122386/items/JBVN29UV"],"itemData":{"id":59163,"type":"document","publisher":"European Parliament and Council","title":"Regulation (EU) 2023/1805 of the European Parliament and of the Council of 13 September 2023 on the use of renewable and low-carbon fuels in maritime transport, and amending Directive 2009/16/EC (Text with EEA relevance)","title-short":"FuelEU Maritime","URL":"https://eur-lex.europa.eu/legal-content/EN/TXT/?uri=CELEX%3A32023R1805","author":[{"literal":"EU"}],"issued":{"date-parts":[["2023"]]}}}],"schema":"https://github.com/citation-style-language/schema/raw/master/csl-citation.json"} </w:instrText>
      </w:r>
      <w:r w:rsidRPr="00C66C24">
        <w:fldChar w:fldCharType="separate"/>
      </w:r>
      <w:r w:rsidR="001855E3" w:rsidRPr="00FF6CA4">
        <w:rPr>
          <w:rFonts w:ascii="Calibri" w:hAnsi="Calibri" w:cs="Calibri"/>
          <w:lang w:val="pt-PT"/>
        </w:rPr>
        <w:t>(EU,</w:t>
      </w:r>
      <w:r w:rsidR="00742C18">
        <w:rPr>
          <w:rFonts w:ascii="Calibri" w:hAnsi="Calibri" w:cs="Calibri"/>
          <w:lang w:val="pt-PT"/>
        </w:rPr>
        <w:t>2023b</w:t>
      </w:r>
      <w:r w:rsidR="001855E3" w:rsidRPr="00FF6CA4">
        <w:rPr>
          <w:rFonts w:ascii="Calibri" w:hAnsi="Calibri" w:cs="Calibri"/>
          <w:lang w:val="pt-PT"/>
        </w:rPr>
        <w:t>)</w:t>
      </w:r>
      <w:r w:rsidRPr="00C66C24">
        <w:fldChar w:fldCharType="end"/>
      </w:r>
      <w:r w:rsidRPr="00FF6CA4">
        <w:rPr>
          <w:lang w:val="pt-PT"/>
        </w:rPr>
        <w:t xml:space="preserve"> </w:t>
      </w:r>
      <w:r w:rsidRPr="00AC3D23">
        <w:t>mentions e-diesel, e-methanol, e-LNG, e-H</w:t>
      </w:r>
      <w:r w:rsidRPr="00AC3D23">
        <w:rPr>
          <w:vertAlign w:val="subscript"/>
        </w:rPr>
        <w:t>2</w:t>
      </w:r>
      <w:r w:rsidRPr="00AC3D23">
        <w:t>, e-NH</w:t>
      </w:r>
      <w:r w:rsidRPr="00AC3D23">
        <w:rPr>
          <w:vertAlign w:val="subscript"/>
        </w:rPr>
        <w:t>3</w:t>
      </w:r>
      <w:r w:rsidRPr="00AC3D23">
        <w:t>, e-LPG, and e-DME. The majority of these fuels are commonly composed from a mixture of synthetically assembled/synthesised hydrocarbon</w:t>
      </w:r>
      <w:r w:rsidRPr="00C66C24">
        <w:t xml:space="preserve"> molecules. Possible production pathways for renewable hydrogen are (from most to least promising): electrolysis, artificial photosynthesis, solar power, and microbial electrolysis. Whereas renewable CO</w:t>
      </w:r>
      <w:r w:rsidRPr="00C66C24">
        <w:rPr>
          <w:vertAlign w:val="subscript"/>
        </w:rPr>
        <w:t>2</w:t>
      </w:r>
      <w:r w:rsidRPr="00C66C24">
        <w:t xml:space="preserve"> is obtained through the capture of CO</w:t>
      </w:r>
      <w:r w:rsidRPr="00C66C24">
        <w:rPr>
          <w:vertAlign w:val="subscript"/>
        </w:rPr>
        <w:t>2</w:t>
      </w:r>
      <w:r w:rsidRPr="00C66C24">
        <w:t xml:space="preserve"> from the processes of direct air capture (DAC) and oceanwater capture.</w:t>
      </w:r>
    </w:p>
    <w:p w14:paraId="5015FF1C" w14:textId="77777777" w:rsidR="00C04ECD" w:rsidRPr="00C66C24" w:rsidRDefault="00C04ECD" w:rsidP="00CD13E9">
      <w:pPr>
        <w:spacing w:before="0" w:after="0" w:line="257" w:lineRule="auto"/>
      </w:pPr>
      <w:r w:rsidRPr="00C66C24">
        <w:t xml:space="preserve">Synthetic fuels offer the potential for high decarbonisation and have been estimated to have a GHG emission reduction of 94% including manufacturing emissions </w:t>
      </w:r>
      <w:r w:rsidRPr="00C66C24">
        <w:fldChar w:fldCharType="begin"/>
      </w:r>
      <w:r w:rsidRPr="00C66C24">
        <w:instrText xml:space="preserve"> ADDIN ZOTERO_ITEM CSL_CITATION {"citationID":"a0uRlKc0","properties":{"formattedCitation":"(Concawe, 2022)","plainCitation":"(Concawe, 2022)","noteIndex":0},"citationItems":[{"id":53786,"uris":["http://zotero.org/groups/122386/items/2UYQFBAH"],"itemData":{"id":53786,"type":"report","language":"EN","publisher":"Concawe","title":"E-Fuels: A techno-economic assessment of European domestic production and imports towards 2050","URL":"https://www.concawe.eu/wp-content/uploads/Rpt_22-17.pdf","author":[{"literal":"Concawe"}],"issued":{"date-parts":[["2022"]]}}}],"schema":"https://github.com/citation-style-language/schema/raw/master/csl-citation.json"} </w:instrText>
      </w:r>
      <w:r w:rsidRPr="00C66C24">
        <w:fldChar w:fldCharType="separate"/>
      </w:r>
      <w:r w:rsidRPr="00C66C24">
        <w:rPr>
          <w:rFonts w:ascii="Calibri" w:hAnsi="Calibri" w:cs="Calibri"/>
        </w:rPr>
        <w:t>(</w:t>
      </w:r>
      <w:proofErr w:type="spellStart"/>
      <w:r w:rsidRPr="00C66C24">
        <w:rPr>
          <w:rFonts w:ascii="Calibri" w:hAnsi="Calibri" w:cs="Calibri"/>
        </w:rPr>
        <w:t>Concawe</w:t>
      </w:r>
      <w:proofErr w:type="spellEnd"/>
      <w:r w:rsidRPr="00C66C24">
        <w:rPr>
          <w:rFonts w:ascii="Calibri" w:hAnsi="Calibri" w:cs="Calibri"/>
        </w:rPr>
        <w:t>, 2022)</w:t>
      </w:r>
      <w:r w:rsidRPr="00C66C24">
        <w:fldChar w:fldCharType="end"/>
      </w:r>
      <w:r w:rsidRPr="00C66C24">
        <w:t>. Nevertheless, both RFNBOs and e-fuels pose several risks, such as methane evaporation and hydrogen leakage (EMSA, in publication), that could account for possible increases in GHG emissions. Other concerns refer to the various pathways used for the generation of renewable electricity, including the energy conversion process, land and sea surface area used, and potentially polluting waste. In fact, large-scale operations create the need for a considerable growth of renewable electricity plants, electrolyser, DAC plants, and e-fuel synthesis plants. It is predicted that, while the scale of production of renewable electricity could be able to follow the growth of this large-scale production, the bottleneck is the capacity to perform DAC. By 2030, renewable electricity production worldwide could be large enough to enable the global fleet to use e-fuels, but the DAC capacity is not expected to be able to realise the same growth. In addition, the shipping sector will not be the only sector needing and using renewable electricity, green hydrogen, and renewable carbon dioxide; it will have to compete with other sectors, with direct uses such as electric road vehicles, and electric boilers and furnaces. There seems to be enough suitable locations at which renewable electricity can be produced and meet global energy consumption standards, however, there is still a limit on the capacity of countries and economies to build solar and wind parks, conversion systems, and transport and distribution infrastructure.</w:t>
      </w:r>
    </w:p>
    <w:p w14:paraId="7E52C923" w14:textId="5054B4A1" w:rsidR="00C04ECD" w:rsidRPr="00C66C24" w:rsidRDefault="00C04ECD" w:rsidP="00CD13E9">
      <w:pPr>
        <w:spacing w:before="0" w:after="120" w:line="257" w:lineRule="auto"/>
      </w:pPr>
      <w:r w:rsidRPr="00C66C24">
        <w:t>Overall,</w:t>
      </w:r>
      <w:r w:rsidRPr="00C66C24" w:rsidDel="00690646">
        <w:t xml:space="preserve"> </w:t>
      </w:r>
      <w:r w:rsidRPr="00C66C24">
        <w:t>the challenge seems to be concentrated on the fact that the technology and knowledge around this method are still lacking. For example, DAC technology is currently considered “non-mature”, and almost none of the e-fuel production pathways (e-methanol and its “Point Source carbon capture” is a notable exception) are therefore considered technologically advanced enough to enter the market. There is also lack of information on the potential effects of e-fuel spills on the environment, which adds to the uncertainty regarding the usage of these novel alternative fuels.</w:t>
      </w:r>
    </w:p>
    <w:p w14:paraId="48FB2DAA" w14:textId="77777777" w:rsidR="00C04ECD" w:rsidRPr="00C66C24" w:rsidRDefault="00C04ECD" w:rsidP="008C6A9C">
      <w:pPr>
        <w:pStyle w:val="Heading3"/>
        <w:spacing w:before="0" w:after="0" w:line="257" w:lineRule="auto"/>
      </w:pPr>
      <w:bookmarkStart w:id="220" w:name="_Toc157762093"/>
      <w:r w:rsidRPr="00C66C24">
        <w:t>Ammonia</w:t>
      </w:r>
      <w:bookmarkEnd w:id="220"/>
    </w:p>
    <w:p w14:paraId="6713A69A" w14:textId="77777777" w:rsidR="00C04ECD" w:rsidRPr="00C66C24" w:rsidRDefault="00C04ECD" w:rsidP="008C6A9C">
      <w:pPr>
        <w:spacing w:before="0" w:after="0" w:line="257" w:lineRule="auto"/>
        <w:rPr>
          <w:rFonts w:eastAsiaTheme="minorEastAsia"/>
        </w:rPr>
      </w:pPr>
      <w:r w:rsidRPr="00C66C24">
        <w:rPr>
          <w:rFonts w:eastAsiaTheme="minorEastAsia"/>
        </w:rPr>
        <w:t>Among the broad spectrum of potential pathways for technologies and fuel solutions made available, anhydrous ammonia (NH</w:t>
      </w:r>
      <w:r w:rsidRPr="00C66C24">
        <w:rPr>
          <w:rFonts w:eastAsiaTheme="minorEastAsia"/>
          <w:vertAlign w:val="subscript"/>
        </w:rPr>
        <w:t>3</w:t>
      </w:r>
      <w:r w:rsidRPr="00C66C24">
        <w:rPr>
          <w:rFonts w:eastAsiaTheme="minorEastAsia"/>
        </w:rPr>
        <w:t>) although facing substantial safety concerns due to its toxicity, has been identified as a potential long-term fuel that could offer an alternative particularly for deep sea cargo vessels. Issues related to concerns on nitrogen oxide (NOx) and nitrous oxide (N</w:t>
      </w:r>
      <w:r w:rsidRPr="00C66C24">
        <w:rPr>
          <w:rFonts w:eastAsiaTheme="minorEastAsia"/>
          <w:vertAlign w:val="subscript"/>
        </w:rPr>
        <w:t>2</w:t>
      </w:r>
      <w:r w:rsidRPr="00C66C24">
        <w:rPr>
          <w:rFonts w:eastAsiaTheme="minorEastAsia"/>
        </w:rPr>
        <w:t>O) emissions, as well as the detrimental effects of ammonia slip from engines would need to be addressed.</w:t>
      </w:r>
    </w:p>
    <w:p w14:paraId="77EB4599" w14:textId="2328DCF7" w:rsidR="00C04ECD" w:rsidRPr="00C66C24" w:rsidRDefault="006C0FC4" w:rsidP="008C6A9C">
      <w:pPr>
        <w:spacing w:before="0" w:after="0" w:line="257" w:lineRule="auto"/>
        <w:rPr>
          <w:rFonts w:eastAsiaTheme="minorEastAsia"/>
        </w:rPr>
      </w:pPr>
      <w:r w:rsidRPr="00C66C24">
        <w:rPr>
          <w:rFonts w:eastAsiaTheme="minorEastAsia"/>
        </w:rPr>
        <w:t>On a Tank</w:t>
      </w:r>
      <w:r w:rsidR="00BF5CCE">
        <w:rPr>
          <w:rFonts w:eastAsiaTheme="minorEastAsia"/>
        </w:rPr>
        <w:t>-</w:t>
      </w:r>
      <w:r w:rsidRPr="00C66C24">
        <w:rPr>
          <w:rFonts w:eastAsiaTheme="minorEastAsia"/>
        </w:rPr>
        <w:t>to</w:t>
      </w:r>
      <w:r w:rsidR="00BF5CCE">
        <w:rPr>
          <w:rFonts w:eastAsiaTheme="minorEastAsia"/>
        </w:rPr>
        <w:t>-</w:t>
      </w:r>
      <w:r w:rsidRPr="00C66C24">
        <w:rPr>
          <w:rFonts w:eastAsiaTheme="minorEastAsia"/>
        </w:rPr>
        <w:t>Wake basis, a</w:t>
      </w:r>
      <w:r w:rsidR="00C04ECD" w:rsidRPr="00C66C24">
        <w:rPr>
          <w:rFonts w:eastAsiaTheme="minorEastAsia"/>
        </w:rPr>
        <w:t>mmonia is</w:t>
      </w:r>
      <w:r w:rsidRPr="00C66C24">
        <w:rPr>
          <w:rFonts w:eastAsiaTheme="minorEastAsia"/>
        </w:rPr>
        <w:t>,</w:t>
      </w:r>
      <w:r w:rsidR="00C04ECD" w:rsidRPr="00C66C24">
        <w:rPr>
          <w:rFonts w:eastAsiaTheme="minorEastAsia"/>
        </w:rPr>
        <w:t xml:space="preserve"> by definition</w:t>
      </w:r>
      <w:r w:rsidRPr="00C66C24">
        <w:rPr>
          <w:rFonts w:eastAsiaTheme="minorEastAsia"/>
        </w:rPr>
        <w:t>,</w:t>
      </w:r>
      <w:r w:rsidR="00C04ECD" w:rsidRPr="00C66C24">
        <w:rPr>
          <w:rFonts w:eastAsiaTheme="minorEastAsia"/>
        </w:rPr>
        <w:t xml:space="preserve"> zero-carbon. E-ammonia offers a potential climate neutral solution on a Well</w:t>
      </w:r>
      <w:r w:rsidR="00F328D0">
        <w:rPr>
          <w:rFonts w:eastAsiaTheme="minorEastAsia"/>
        </w:rPr>
        <w:t>-</w:t>
      </w:r>
      <w:r w:rsidR="00C04ECD" w:rsidRPr="00C66C24">
        <w:rPr>
          <w:rFonts w:eastAsiaTheme="minorEastAsia"/>
        </w:rPr>
        <w:t>to</w:t>
      </w:r>
      <w:r w:rsidR="00F328D0">
        <w:rPr>
          <w:rFonts w:eastAsiaTheme="minorEastAsia"/>
        </w:rPr>
        <w:t>-</w:t>
      </w:r>
      <w:r w:rsidR="00C04ECD" w:rsidRPr="00C66C24">
        <w:rPr>
          <w:rFonts w:eastAsiaTheme="minorEastAsia"/>
        </w:rPr>
        <w:t>Wake</w:t>
      </w:r>
      <w:r w:rsidR="007F7DED" w:rsidRPr="00C66C24">
        <w:rPr>
          <w:rFonts w:eastAsiaTheme="minorEastAsia"/>
        </w:rPr>
        <w:t xml:space="preserve"> basis</w:t>
      </w:r>
      <w:r w:rsidR="00C04ECD" w:rsidRPr="00C66C24">
        <w:rPr>
          <w:rFonts w:eastAsiaTheme="minorEastAsia"/>
        </w:rPr>
        <w:t>, while grey ammonia (produced from fossil methane or coal) is a worse climate solution than conventional fuel oils.</w:t>
      </w:r>
    </w:p>
    <w:p w14:paraId="17D9EEC1" w14:textId="77777777" w:rsidR="00C04ECD" w:rsidRPr="00C66C24" w:rsidRDefault="00C04ECD" w:rsidP="008C6A9C">
      <w:pPr>
        <w:spacing w:before="0" w:after="0" w:line="257" w:lineRule="auto"/>
        <w:rPr>
          <w:rFonts w:eastAsiaTheme="minorEastAsia"/>
        </w:rPr>
      </w:pPr>
      <w:r w:rsidRPr="00C66C24">
        <w:rPr>
          <w:rFonts w:eastAsiaTheme="minorEastAsia"/>
        </w:rPr>
        <w:t>The ammonia production industry has announced a total of 112 projects aimed at producing green and blue ammonia (predominantly green), with a total production of 182 Mt/year globally. These projects have a completion duration between 2 and 24 years. Most of the projects (96%) aim to be completed within 10 years from the announcement to build the plant. If all plants were to be completed on time, their production capacity would be 146 Mt/year in 2030. The projects are distributed globally. About 33% of the production is planned in Oceania, 28% in Asia, 20% in Africa, 9% in North America, 7% in South America, and 3% in Europe.</w:t>
      </w:r>
    </w:p>
    <w:p w14:paraId="1EA91272" w14:textId="77777777" w:rsidR="00C04ECD" w:rsidRPr="00C66C24" w:rsidRDefault="00C04ECD" w:rsidP="008C6A9C">
      <w:pPr>
        <w:spacing w:before="0" w:after="0" w:line="257" w:lineRule="auto"/>
        <w:rPr>
          <w:rFonts w:eastAsiaTheme="minorEastAsia"/>
        </w:rPr>
      </w:pPr>
      <w:r w:rsidRPr="00C66C24">
        <w:t>Green ammonia for shipping fuel is targeted by 16 projects in 6 countries with combined output of 16.6 Mt/year. AREH in Australia is the largest project with 9.9 Mt/year (~60% share), while the remaining fifteen projects have yearly output 0.1-1.5 Mt/year. In Europe, there are projects in Norway, with four projects amounting to 0.8Mt/year and Germany, with one project of 0.1 Mt/year. In the most realistic scenario, out of the 182 Mt/year projected, 33 Mt/year is estimated to be available in the most realistic scenario, of which 11 Mt/year would be blue.</w:t>
      </w:r>
    </w:p>
    <w:p w14:paraId="5D487708" w14:textId="047BD756" w:rsidR="00C04ECD" w:rsidRPr="00C66C24" w:rsidRDefault="00C04ECD" w:rsidP="008803FB">
      <w:pPr>
        <w:spacing w:before="0" w:after="120" w:line="257" w:lineRule="auto"/>
        <w:rPr>
          <w:rFonts w:eastAsiaTheme="minorEastAsia"/>
        </w:rPr>
      </w:pPr>
      <w:r w:rsidRPr="00C66C24">
        <w:rPr>
          <w:rFonts w:eastAsiaTheme="minorEastAsia"/>
        </w:rPr>
        <w:t xml:space="preserve">The estimated final energy demand of global maritime shipping is projected to be between 12.1 to 14.2 EJ in 2030, and between 10.2 to 23.2 EJ in 2050 </w:t>
      </w:r>
      <w:r w:rsidRPr="00C66C24">
        <w:rPr>
          <w:rFonts w:eastAsiaTheme="minorEastAsia"/>
        </w:rPr>
        <w:fldChar w:fldCharType="begin"/>
      </w:r>
      <w:r w:rsidR="00D85357" w:rsidRPr="00C66C24">
        <w:rPr>
          <w:rFonts w:eastAsiaTheme="minorEastAsia"/>
        </w:rPr>
        <w:instrText xml:space="preserve"> ADDIN ZOTERO_ITEM CSL_CITATION {"citationID":"a1fa0h598fj","properties":{"formattedCitation":"\\uldash{(EMSA, 2023; IMO, 2020)}","plainCitation":"(EMSA, 2023; IMO, 2020)","noteIndex":0},"citationItems":[{"id":35276,"uris":["http://zotero.org/groups/122386/items/TDKJRN9U"],"itemData":{"id":35276,"type":"report","abstract":"Among the broad spectrum of technology and fuel-solution pathways available for ship designers, builders, owners and operators, biofuels potentially offer medium and long-term marine fuel alternatives that can enter the market relatively quickly; they also offer the potential, if sustainability ...","language":"en-GB","publisher":"European Maritime Safety Agency","title":"Update on potential of biofuels for shipping","URL":"https://www.emsa.europa.eu/about/financial-regulations/items.html?cid=14:technical&amp;id=4834","author":[{"literal":"EMSA"}],"accessed":{"date-parts":[["2023",3,16]]},"issued":{"date-parts":[["2023"]]}}},{"id":1068,"uris":["http://zotero.org/groups/122386/items/HJNG5DQJ"],"itemData":{"id":1068,"type":"report","event-place":"London, UK","publisher":"International Maritime Organization","publisher-place":"London, UK","title":"Fourth IMO greenhouse gas study","URL":"https://wwwcdn.imo.org/localresources/en/OurWork/Environment/Documents/Fourth%20IMO%20GHG%20Study%202020%20-%20Full%20report%20and%20annexes.pdf","author":[{"literal":"IMO"}],"accessed":{"date-parts":[["2020",12,20]]},"issued":{"date-parts":[["2020"]]}}}],"schema":"https://github.com/citation-style-language/schema/raw/master/csl-citation.json"} </w:instrText>
      </w:r>
      <w:r w:rsidRPr="00C66C24">
        <w:rPr>
          <w:rFonts w:eastAsiaTheme="minorEastAsia"/>
        </w:rPr>
        <w:fldChar w:fldCharType="separate"/>
      </w:r>
      <w:r w:rsidR="00D85357" w:rsidRPr="00C66C24">
        <w:rPr>
          <w:rFonts w:ascii="Calibri" w:hAnsi="Calibri" w:cs="Calibri"/>
        </w:rPr>
        <w:t>(EMSA, 2023</w:t>
      </w:r>
      <w:r w:rsidR="007A56BE">
        <w:rPr>
          <w:rFonts w:ascii="Calibri" w:hAnsi="Calibri" w:cs="Calibri"/>
        </w:rPr>
        <w:t>c</w:t>
      </w:r>
      <w:r w:rsidR="00D85357" w:rsidRPr="00C66C24">
        <w:rPr>
          <w:rFonts w:ascii="Calibri" w:hAnsi="Calibri" w:cs="Calibri"/>
        </w:rPr>
        <w:t>; IMO, 2020)</w:t>
      </w:r>
      <w:r w:rsidRPr="00C66C24">
        <w:rPr>
          <w:rFonts w:eastAsiaTheme="minorEastAsia"/>
        </w:rPr>
        <w:fldChar w:fldCharType="end"/>
      </w:r>
      <w:r w:rsidRPr="00C66C24">
        <w:rPr>
          <w:rFonts w:eastAsiaTheme="minorEastAsia"/>
        </w:rPr>
        <w:t>. This projected energy demand is much higher than current green development plans for green ammonia, which are a mere 5 Mt/year. Assuming that the current production of grey ammonia, around 235 Mt/year, is converted into green ammonia production still it would need to increase by a factor of 3-4 to support the demand. Against this, it is possible to try and assume the required production capacity of renewable electricity. With an electrolyser efficiency of 65% and an electricity use from the ammonia synthesis process of 640 kWh per tonne of ammonia, 5,800 to 9,800 terawatt hours (</w:t>
      </w:r>
      <w:proofErr w:type="spellStart"/>
      <w:r w:rsidRPr="00C66C24">
        <w:rPr>
          <w:rFonts w:eastAsiaTheme="minorEastAsia"/>
        </w:rPr>
        <w:t>TWh</w:t>
      </w:r>
      <w:proofErr w:type="spellEnd"/>
      <w:r w:rsidRPr="00C66C24">
        <w:rPr>
          <w:rFonts w:eastAsiaTheme="minorEastAsia"/>
        </w:rPr>
        <w:t xml:space="preserve">) of renewable electricity would be needed in 2040 to enable the complete switch of global maritime shipping to green ammonia. This level of demand is in the same range as current global renewable electricity production. The worldwide renewable electricity production in 2018 was about 6,600 </w:t>
      </w:r>
      <w:proofErr w:type="spellStart"/>
      <w:r w:rsidRPr="00C66C24">
        <w:rPr>
          <w:rFonts w:eastAsiaTheme="minorEastAsia"/>
        </w:rPr>
        <w:t>TWh</w:t>
      </w:r>
      <w:proofErr w:type="spellEnd"/>
      <w:r w:rsidRPr="00C66C24">
        <w:rPr>
          <w:rFonts w:eastAsiaTheme="minorEastAsia"/>
        </w:rPr>
        <w:t>, 63% of which was from hydropower, 19% from wind, 8% from bioenergy, 9% from solar, and 1% from geothermal</w:t>
      </w:r>
      <w:r w:rsidR="00DE654B" w:rsidRPr="00C66C24">
        <w:rPr>
          <w:rFonts w:eastAsiaTheme="minorEastAsia"/>
        </w:rPr>
        <w:t xml:space="preserve"> </w:t>
      </w:r>
      <w:r w:rsidR="00DE654B" w:rsidRPr="00C66C24">
        <w:rPr>
          <w:rFonts w:eastAsiaTheme="minorEastAsia"/>
        </w:rPr>
        <w:fldChar w:fldCharType="begin"/>
      </w:r>
      <w:r w:rsidR="001855E3" w:rsidRPr="00C66C24">
        <w:rPr>
          <w:rFonts w:eastAsiaTheme="minorEastAsia"/>
        </w:rPr>
        <w:instrText xml:space="preserve"> ADDIN ZOTERO_ITEM CSL_CITATION {"citationID":"a12vs39a8rf","properties":{"formattedCitation":"(IRENA, 2020)","plainCitation":"(IRENA, 2020)","noteIndex":0},"citationItems":[{"id":55399,"uris":["http://zotero.org/groups/122386/items/QUEMGJL2"],"itemData":{"id":55399,"type":"document","abstract":"This statistical publication presents renewable power generation capacity statistics for the for the last decade (2010-2019).","language":"en","title":"Renewable energy statistics 2020","URL":"https://www.irena.org/publications/2020/Jul/Renewable-energy-statistics-2020","author":[{"family":"IRENA","given":""}],"accessed":{"date-parts":[["2023",11,28]]},"issued":{"date-parts":[["2020"]]}}}],"schema":"https://github.com/citation-style-language/schema/raw/master/csl-citation.json"} </w:instrText>
      </w:r>
      <w:r w:rsidR="00DE654B" w:rsidRPr="00C66C24">
        <w:rPr>
          <w:rFonts w:eastAsiaTheme="minorEastAsia"/>
        </w:rPr>
        <w:fldChar w:fldCharType="separate"/>
      </w:r>
      <w:r w:rsidR="001855E3" w:rsidRPr="00C66C24">
        <w:rPr>
          <w:rFonts w:ascii="Calibri" w:hAnsi="Calibri" w:cs="Calibri"/>
        </w:rPr>
        <w:t>(IRENA, 2020)</w:t>
      </w:r>
      <w:r w:rsidR="00DE654B" w:rsidRPr="00C66C24">
        <w:rPr>
          <w:rFonts w:eastAsiaTheme="minorEastAsia"/>
        </w:rPr>
        <w:fldChar w:fldCharType="end"/>
      </w:r>
      <w:r w:rsidRPr="00C66C24">
        <w:rPr>
          <w:rFonts w:eastAsiaTheme="minorEastAsia"/>
        </w:rPr>
        <w:t xml:space="preserve">. There is a projected global renewable electricity production of 15,000-30,000 </w:t>
      </w:r>
      <w:proofErr w:type="spellStart"/>
      <w:r w:rsidRPr="00C66C24">
        <w:rPr>
          <w:rFonts w:eastAsiaTheme="minorEastAsia"/>
        </w:rPr>
        <w:t>TWh</w:t>
      </w:r>
      <w:proofErr w:type="spellEnd"/>
      <w:r w:rsidRPr="00C66C24">
        <w:rPr>
          <w:rFonts w:eastAsiaTheme="minorEastAsia"/>
        </w:rPr>
        <w:t xml:space="preserve"> in 2040, indicating that production is expected to increase by a factor of 2 to 5 between 2018 and 2040. These volumes would be sufficient to produce 600 to 1,000 Mt/year of green ammonia for the maritime sector, but a large share of the renewable electricity produced will feed into the power grids to supply worldwide demand for electricity.</w:t>
      </w:r>
    </w:p>
    <w:p w14:paraId="400B5A7A" w14:textId="77777777" w:rsidR="00C04ECD" w:rsidRPr="00C66C24" w:rsidRDefault="00C04ECD" w:rsidP="008C6A9C">
      <w:pPr>
        <w:pStyle w:val="Heading3"/>
        <w:spacing w:before="0" w:after="0" w:line="257" w:lineRule="auto"/>
      </w:pPr>
      <w:bookmarkStart w:id="221" w:name="_Toc157762094"/>
      <w:r w:rsidRPr="00C66C24">
        <w:t>Wind assistance</w:t>
      </w:r>
      <w:bookmarkEnd w:id="221"/>
    </w:p>
    <w:p w14:paraId="0E9ADBBB" w14:textId="77777777" w:rsidR="00C04ECD" w:rsidRPr="00C66C24" w:rsidRDefault="00C04ECD" w:rsidP="008C6A9C">
      <w:pPr>
        <w:spacing w:before="0" w:after="0" w:line="257" w:lineRule="auto"/>
        <w:rPr>
          <w:rFonts w:eastAsiaTheme="minorEastAsia"/>
        </w:rPr>
      </w:pPr>
      <w:r w:rsidRPr="00C66C24">
        <w:rPr>
          <w:rFonts w:eastAsiaTheme="minorEastAsia"/>
        </w:rPr>
        <w:t>Wind-assisted propulsion systems (WAPSs) have been identified as a technology that could offer a reduction in fuel consumption and consequently reduce GHG emissions from shipping. Wind propulsion systems are designed to transform wind energy into ship propulsion power. WAPS can be used to replace, at least partly, the main engine power by wind power and this can, if adequately used and suitable designed for the operating profile of the ship, contribute to a reduction of a ship’s GHG emissions, air pollution and underwater noise emissions. Replacing main engine power translates to less fuel consumption and corresponding energy used or emissions, for the same transport work.</w:t>
      </w:r>
      <w:r w:rsidRPr="00C66C24">
        <w:t xml:space="preserve"> The </w:t>
      </w:r>
      <w:proofErr w:type="spellStart"/>
      <w:r w:rsidRPr="00C66C24">
        <w:t>FuelEU</w:t>
      </w:r>
      <w:proofErr w:type="spellEnd"/>
      <w:r w:rsidRPr="00C66C24">
        <w:t xml:space="preserve"> Maritime rewards ships using </w:t>
      </w:r>
      <w:r w:rsidRPr="00C66C24">
        <w:rPr>
          <w:rFonts w:eastAsiaTheme="minorEastAsia"/>
        </w:rPr>
        <w:t>wind-assisted propulsion systems, which are considered as an energy efficiency technology through rewarding factors in the calculation of the energy GHG intensity.</w:t>
      </w:r>
    </w:p>
    <w:p w14:paraId="73A2FF87" w14:textId="3285D49F" w:rsidR="00EF61C1" w:rsidRPr="00C66C24" w:rsidRDefault="00EF61C1" w:rsidP="008C6A9C">
      <w:pPr>
        <w:spacing w:before="0" w:after="0" w:line="257" w:lineRule="auto"/>
        <w:rPr>
          <w:rFonts w:eastAsiaTheme="minorEastAsia"/>
        </w:rPr>
      </w:pPr>
      <w:bookmarkStart w:id="222" w:name="_Toc156316347"/>
      <w:bookmarkEnd w:id="222"/>
      <w:r w:rsidRPr="00C66C24">
        <w:rPr>
          <w:rFonts w:eastAsiaTheme="minorEastAsia"/>
        </w:rPr>
        <w:t>The actual reduction of the fuel consumption that can be achieved by means of WAPSs depends on a variety of factors, ranging from technological to environmental factors but also on how a ship is operated. This creates some uncertainty when it comes to assessing the effectiveness of the systems in general. As an example, the speed of the vessel has an impact on the potential savings. In general, a higher vessel speed leads to lower per voyage savings. Container ships, passenger ships, Ro-Ro cargo and refrigerated cargo ships sail relatively fast. This does not mean that the use of WAPSs cannot be profitable for those ships, but the payback time of the investment into a WAPS can expected to be comparatively longer. Also, the higher the percentage of main engine power compared to auxiliary power, the higher the potential for savings.</w:t>
      </w:r>
      <w:r w:rsidR="00EF49F4" w:rsidRPr="00C66C24">
        <w:rPr>
          <w:rFonts w:eastAsiaTheme="minorEastAsia"/>
        </w:rPr>
        <w:t xml:space="preserve"> </w:t>
      </w:r>
      <w:r w:rsidRPr="00C66C24">
        <w:rPr>
          <w:rFonts w:eastAsiaTheme="minorEastAsia"/>
        </w:rPr>
        <w:t xml:space="preserve">Looking the WAPS from a different perspective, the wind power can be used to add to the main engine power instead. Then the ship would be able to sail at a higher speed without increasing its fuel consumption. In this case, the use of the WAPS would not contribute to a reduction of the fuel consumption but will </w:t>
      </w:r>
      <w:r w:rsidR="00D93EC1" w:rsidRPr="00C66C24">
        <w:rPr>
          <w:rFonts w:eastAsiaTheme="minorEastAsia"/>
        </w:rPr>
        <w:t>also</w:t>
      </w:r>
      <w:r w:rsidRPr="00C66C24">
        <w:rPr>
          <w:rFonts w:eastAsiaTheme="minorEastAsia"/>
        </w:rPr>
        <w:t xml:space="preserve"> not increase it </w:t>
      </w:r>
      <w:r w:rsidR="00CA4BDF" w:rsidRPr="00C66C24">
        <w:rPr>
          <w:rFonts w:eastAsiaTheme="minorEastAsia"/>
        </w:rPr>
        <w:t xml:space="preserve">or </w:t>
      </w:r>
      <w:r w:rsidR="00DA087F" w:rsidRPr="00C66C24">
        <w:rPr>
          <w:rFonts w:eastAsiaTheme="minorEastAsia"/>
        </w:rPr>
        <w:t xml:space="preserve">its </w:t>
      </w:r>
      <w:r w:rsidR="00C04ECD" w:rsidRPr="00C66C24">
        <w:rPr>
          <w:rFonts w:eastAsiaTheme="minorEastAsia"/>
        </w:rPr>
        <w:t>GHG emissions.</w:t>
      </w:r>
    </w:p>
    <w:p w14:paraId="731C348F" w14:textId="2F620A23" w:rsidR="00EF61C1" w:rsidRPr="00C66C24" w:rsidRDefault="00EF61C1" w:rsidP="008C6A9C">
      <w:pPr>
        <w:spacing w:before="0" w:after="0" w:line="257" w:lineRule="auto"/>
        <w:rPr>
          <w:rFonts w:eastAsiaTheme="minorEastAsia"/>
        </w:rPr>
      </w:pPr>
      <w:r w:rsidRPr="00C66C24">
        <w:rPr>
          <w:rFonts w:eastAsiaTheme="minorEastAsia"/>
        </w:rPr>
        <w:t>Most WAPSs require deck space in order to be installed. The availability of deck space depends on the ship type and size. As an example, containerships and passenger ships have limited deck space and passenger ships relatively little deck space available compared to for example bulk carrier</w:t>
      </w:r>
      <w:r w:rsidR="000E66EE" w:rsidRPr="00C66C24">
        <w:rPr>
          <w:rFonts w:eastAsiaTheme="minorEastAsia"/>
        </w:rPr>
        <w:t>s</w:t>
      </w:r>
      <w:r w:rsidRPr="00C66C24">
        <w:rPr>
          <w:rFonts w:eastAsiaTheme="minorEastAsia"/>
        </w:rPr>
        <w:t xml:space="preserve"> or tanker</w:t>
      </w:r>
      <w:r w:rsidR="000E66EE" w:rsidRPr="00C66C24">
        <w:rPr>
          <w:rFonts w:eastAsiaTheme="minorEastAsia"/>
        </w:rPr>
        <w:t>s</w:t>
      </w:r>
      <w:r w:rsidRPr="00C66C24">
        <w:rPr>
          <w:rFonts w:eastAsiaTheme="minorEastAsia"/>
        </w:rPr>
        <w:t>. For ships with relatively little deck space a kite or other innovative solutions, could then be an alternative option. For containerships, containeri</w:t>
      </w:r>
      <w:r w:rsidR="00E34875" w:rsidRPr="00C66C24">
        <w:rPr>
          <w:rFonts w:eastAsiaTheme="minorEastAsia"/>
        </w:rPr>
        <w:t>s</w:t>
      </w:r>
      <w:r w:rsidRPr="00C66C24">
        <w:rPr>
          <w:rFonts w:eastAsiaTheme="minorEastAsia"/>
        </w:rPr>
        <w:t>ed WAPSs have also been developed.</w:t>
      </w:r>
      <w:r w:rsidR="00040FC1" w:rsidRPr="00C66C24">
        <w:rPr>
          <w:rFonts w:eastAsiaTheme="minorEastAsia"/>
        </w:rPr>
        <w:t xml:space="preserve"> </w:t>
      </w:r>
      <w:r w:rsidRPr="00C66C24">
        <w:rPr>
          <w:rFonts w:eastAsiaTheme="minorEastAsia"/>
        </w:rPr>
        <w:t xml:space="preserve">Interference with cargo handling and on land infrastructure is also another issue that needs to be </w:t>
      </w:r>
      <w:r w:rsidR="004F16D5" w:rsidRPr="00C66C24">
        <w:rPr>
          <w:rFonts w:eastAsiaTheme="minorEastAsia"/>
        </w:rPr>
        <w:t>addressed</w:t>
      </w:r>
      <w:r w:rsidRPr="00C66C24">
        <w:rPr>
          <w:rFonts w:eastAsiaTheme="minorEastAsia"/>
        </w:rPr>
        <w:t xml:space="preserve">. This is tackled by foldable or tiltable solutions, which are very common. Such solutions, also limit the undesired effects at high wind speeds. Additionally, there are </w:t>
      </w:r>
      <w:r w:rsidR="00C17FF7" w:rsidRPr="00C66C24">
        <w:rPr>
          <w:rFonts w:eastAsiaTheme="minorEastAsia"/>
        </w:rPr>
        <w:t>some</w:t>
      </w:r>
      <w:r w:rsidRPr="00C66C24">
        <w:rPr>
          <w:rFonts w:eastAsiaTheme="minorEastAsia"/>
        </w:rPr>
        <w:t xml:space="preserve"> other placement criteria which have to be fulfilled to allow for a safe and comfortable use of WAPS (e.g., avoid creation of blind spots, or avoid placing </w:t>
      </w:r>
      <w:r w:rsidR="00C04ECD" w:rsidRPr="00C66C24">
        <w:rPr>
          <w:rFonts w:eastAsiaTheme="minorEastAsia"/>
        </w:rPr>
        <w:t>WAPSs</w:t>
      </w:r>
      <w:r w:rsidRPr="00C66C24">
        <w:rPr>
          <w:rFonts w:eastAsiaTheme="minorEastAsia"/>
        </w:rPr>
        <w:t xml:space="preserve"> next to a cabin on a passenger ship).</w:t>
      </w:r>
    </w:p>
    <w:p w14:paraId="26C4E888" w14:textId="139B0BEC" w:rsidR="00F1648E" w:rsidRPr="00C66C24" w:rsidRDefault="00C04ECD" w:rsidP="008C6A9C">
      <w:pPr>
        <w:spacing w:before="0" w:after="0" w:line="257" w:lineRule="auto"/>
        <w:rPr>
          <w:rFonts w:eastAsiaTheme="minorEastAsia"/>
        </w:rPr>
      </w:pPr>
      <w:r w:rsidRPr="00C66C24">
        <w:rPr>
          <w:rFonts w:eastAsiaTheme="minorEastAsia"/>
        </w:rPr>
        <w:t>The weight of the devices varies significantly between the different types of WAPSs, however the effect on the cargo capacity of the vessels will not be considered crucial. From</w:t>
      </w:r>
      <w:r w:rsidRPr="00C66C24" w:rsidDel="003E12B6">
        <w:rPr>
          <w:rFonts w:eastAsiaTheme="minorEastAsia"/>
        </w:rPr>
        <w:t xml:space="preserve"> </w:t>
      </w:r>
      <w:r w:rsidRPr="00C66C24">
        <w:rPr>
          <w:rFonts w:eastAsiaTheme="minorEastAsia"/>
        </w:rPr>
        <w:t xml:space="preserve">a design viewpoint, the ship structure should allow a safe transmittance of the forces generated by the WAPS onto the ship so this might require reinforcement of the ship in that area, but this is not considered to be a technical barrier. The availability of wind will have an impact on the efficiency of WAPS. This depends on the specific route, the route direction, the seasonal variations and the openness and closeness to land. To gain maximal efficiency from WAPS, trade routes would have to be adjusted via route optimisation to find a balance between wind availability and route length. </w:t>
      </w:r>
      <w:r w:rsidR="00F1648E" w:rsidRPr="00C66C24">
        <w:rPr>
          <w:rFonts w:eastAsiaTheme="minorEastAsia"/>
        </w:rPr>
        <w:t>Up to now</w:t>
      </w:r>
      <w:r w:rsidR="00D96B34" w:rsidRPr="00C66C24">
        <w:rPr>
          <w:rFonts w:eastAsiaTheme="minorEastAsia"/>
        </w:rPr>
        <w:t xml:space="preserve">, WAPS solutions have already delivered </w:t>
      </w:r>
      <w:r w:rsidRPr="00C66C24">
        <w:rPr>
          <w:rFonts w:eastAsiaTheme="minorEastAsia"/>
        </w:rPr>
        <w:t>yearly</w:t>
      </w:r>
      <w:r w:rsidR="00D96B34" w:rsidRPr="00C66C24">
        <w:rPr>
          <w:rFonts w:eastAsiaTheme="minorEastAsia"/>
        </w:rPr>
        <w:t xml:space="preserve"> fuel saving of between 5% and 9% for certain ships and,</w:t>
      </w:r>
      <w:r w:rsidR="00F1648E" w:rsidRPr="00C66C24">
        <w:rPr>
          <w:rFonts w:eastAsiaTheme="minorEastAsia"/>
        </w:rPr>
        <w:t xml:space="preserve"> the most promising technologies</w:t>
      </w:r>
      <w:r w:rsidR="00D96B34" w:rsidRPr="00C66C24">
        <w:rPr>
          <w:rFonts w:eastAsiaTheme="minorEastAsia"/>
        </w:rPr>
        <w:t xml:space="preserve"> claim to have the potential</w:t>
      </w:r>
      <w:r w:rsidR="00F1648E" w:rsidRPr="00C66C24">
        <w:rPr>
          <w:rFonts w:eastAsiaTheme="minorEastAsia"/>
        </w:rPr>
        <w:t xml:space="preserve"> for energy savings of up to 30% (e</w:t>
      </w:r>
      <w:r w:rsidR="00BD79E2" w:rsidRPr="00C66C24">
        <w:rPr>
          <w:rFonts w:eastAsiaTheme="minorEastAsia"/>
        </w:rPr>
        <w:t>.</w:t>
      </w:r>
      <w:r w:rsidR="00F1648E" w:rsidRPr="00C66C24">
        <w:rPr>
          <w:rFonts w:eastAsiaTheme="minorEastAsia"/>
        </w:rPr>
        <w:t>g. CHEK project</w:t>
      </w:r>
      <w:r w:rsidR="00B60C62" w:rsidRPr="00C66C24">
        <w:rPr>
          <w:rFonts w:eastAsiaTheme="minorEastAsia"/>
        </w:rPr>
        <w:t xml:space="preserve"> </w:t>
      </w:r>
      <w:r w:rsidR="00F05554" w:rsidRPr="00C66C24">
        <w:rPr>
          <w:rFonts w:eastAsiaTheme="minorEastAsia"/>
        </w:rPr>
        <w:fldChar w:fldCharType="begin"/>
      </w:r>
      <w:r w:rsidR="001855E3" w:rsidRPr="00C66C24">
        <w:rPr>
          <w:rFonts w:eastAsiaTheme="minorEastAsia"/>
        </w:rPr>
        <w:instrText xml:space="preserve"> ADDIN ZOTERO_ITEM CSL_CITATION {"citationID":"a6mfir2gum","properties":{"formattedCitation":"\\uldash{(CHEK Project, 2020)}","plainCitation":"(CHEK Project, 2020)","dontUpdate":true,"noteIndex":0},"citationItems":[{"id":59400,"uris":["http://zotero.org/groups/122386/items/RM6P8E4N"],"itemData":{"id":59400,"type":"webpage","title":"Project chek - Decarbonising shipping","title-short":"Project chek","URL":"https://www.projectchek.eu/","author":[{"literal":"CHEK"}],"issued":{"date-parts":[["2020"]]}}}],"schema":"https://github.com/citation-style-language/schema/raw/master/csl-citation.json"} </w:instrText>
      </w:r>
      <w:r w:rsidR="00F05554" w:rsidRPr="00C66C24">
        <w:rPr>
          <w:rFonts w:eastAsiaTheme="minorEastAsia"/>
        </w:rPr>
        <w:fldChar w:fldCharType="separate"/>
      </w:r>
      <w:r w:rsidR="00F05554" w:rsidRPr="00C66C24">
        <w:rPr>
          <w:rFonts w:ascii="Calibri" w:hAnsi="Calibri" w:cs="Calibri"/>
        </w:rPr>
        <w:t>(CHEK, 2020)</w:t>
      </w:r>
      <w:r w:rsidR="00F05554" w:rsidRPr="00C66C24">
        <w:rPr>
          <w:rFonts w:eastAsiaTheme="minorEastAsia"/>
        </w:rPr>
        <w:fldChar w:fldCharType="end"/>
      </w:r>
      <w:r w:rsidR="00F76C13" w:rsidRPr="00C66C24">
        <w:rPr>
          <w:rFonts w:eastAsia="Times New Roman"/>
        </w:rPr>
        <w:t xml:space="preserve"> </w:t>
      </w:r>
      <w:r w:rsidR="00B60C62" w:rsidRPr="00C66C24">
        <w:rPr>
          <w:rFonts w:eastAsia="Times New Roman"/>
        </w:rPr>
        <w:t>or the E</w:t>
      </w:r>
      <w:r w:rsidR="00DA3D50" w:rsidRPr="00C66C24">
        <w:rPr>
          <w:rFonts w:eastAsia="Times New Roman"/>
        </w:rPr>
        <w:t>uro</w:t>
      </w:r>
      <w:r w:rsidR="00BB62FD" w:rsidRPr="00C66C24">
        <w:rPr>
          <w:rFonts w:eastAsia="Times New Roman"/>
        </w:rPr>
        <w:t xml:space="preserve">pean </w:t>
      </w:r>
      <w:r w:rsidR="00B60C62" w:rsidRPr="00C66C24">
        <w:rPr>
          <w:rFonts w:eastAsia="Times New Roman"/>
        </w:rPr>
        <w:t>I</w:t>
      </w:r>
      <w:r w:rsidR="00BB62FD" w:rsidRPr="00C66C24">
        <w:rPr>
          <w:rFonts w:eastAsia="Times New Roman"/>
        </w:rPr>
        <w:t xml:space="preserve">nstitute of Innovation &amp; Technology </w:t>
      </w:r>
      <w:r w:rsidR="00B60C62" w:rsidRPr="00C66C24">
        <w:rPr>
          <w:rFonts w:eastAsia="Times New Roman"/>
        </w:rPr>
        <w:t xml:space="preserve"> bound4blue project</w:t>
      </w:r>
      <w:r w:rsidR="00A71FBB" w:rsidRPr="00C66C24">
        <w:rPr>
          <w:rFonts w:eastAsia="Times New Roman"/>
        </w:rPr>
        <w:t xml:space="preserve"> </w:t>
      </w:r>
      <w:r w:rsidR="00A71FBB" w:rsidRPr="00C66C24">
        <w:rPr>
          <w:rFonts w:eastAsia="Times New Roman"/>
        </w:rPr>
        <w:fldChar w:fldCharType="begin"/>
      </w:r>
      <w:r w:rsidR="001855E3" w:rsidRPr="00C66C24">
        <w:rPr>
          <w:rFonts w:eastAsia="Times New Roman"/>
        </w:rPr>
        <w:instrText xml:space="preserve"> ADDIN ZOTERO_ITEM CSL_CITATION {"citationID":"a2lprftuge7","properties":{"formattedCitation":"\\uldash{(bound4blue project, 2015)}","plainCitation":"(bound4blue project, 2015)","dontUpdate":true,"noteIndex":0},"citationItems":[{"id":59401,"uris":["http://zotero.org/groups/122386/items/YSURMDZS"],"itemData":{"id":59401,"type":"webpage","title":"Bound4blue project - Powering ships with wind","URL":"https://bound4blue.com/","author":[{"literal":"bound4blue"}],"issued":{"date-parts":[["2015"]]}}}],"schema":"https://github.com/citation-style-language/schema/raw/master/csl-citation.json"} </w:instrText>
      </w:r>
      <w:r w:rsidR="00A71FBB" w:rsidRPr="00C66C24">
        <w:rPr>
          <w:rFonts w:eastAsia="Times New Roman"/>
        </w:rPr>
        <w:fldChar w:fldCharType="separate"/>
      </w:r>
      <w:r w:rsidR="00A71FBB" w:rsidRPr="00C66C24">
        <w:rPr>
          <w:rFonts w:ascii="Calibri" w:hAnsi="Calibri" w:cs="Calibri"/>
        </w:rPr>
        <w:t>(bound4blue, 2015)</w:t>
      </w:r>
      <w:r w:rsidR="00A71FBB" w:rsidRPr="00C66C24">
        <w:rPr>
          <w:rFonts w:eastAsia="Times New Roman"/>
        </w:rPr>
        <w:fldChar w:fldCharType="end"/>
      </w:r>
      <w:r w:rsidR="00F1648E" w:rsidRPr="00C66C24">
        <w:rPr>
          <w:rFonts w:eastAsiaTheme="minorEastAsia"/>
        </w:rPr>
        <w:t xml:space="preserve">); by 2027 the project </w:t>
      </w:r>
      <w:proofErr w:type="spellStart"/>
      <w:r w:rsidR="00F1648E" w:rsidRPr="00C66C24">
        <w:rPr>
          <w:rFonts w:eastAsiaTheme="minorEastAsia"/>
        </w:rPr>
        <w:t>Orcelle</w:t>
      </w:r>
      <w:proofErr w:type="spellEnd"/>
      <w:r w:rsidR="00F1648E" w:rsidRPr="00C66C24">
        <w:rPr>
          <w:rFonts w:eastAsiaTheme="minorEastAsia"/>
        </w:rPr>
        <w:t xml:space="preserve"> is expected to demonstrate more than 50% energy gains in a Ro-Ro vessel</w:t>
      </w:r>
      <w:r w:rsidR="00492A24" w:rsidRPr="00C66C24">
        <w:rPr>
          <w:rFonts w:eastAsiaTheme="minorEastAsia"/>
        </w:rPr>
        <w:t xml:space="preserve"> </w:t>
      </w:r>
      <w:r w:rsidR="00492A24" w:rsidRPr="00C66C24">
        <w:rPr>
          <w:rFonts w:eastAsiaTheme="minorEastAsia"/>
        </w:rPr>
        <w:fldChar w:fldCharType="begin"/>
      </w:r>
      <w:r w:rsidR="001855E3" w:rsidRPr="00C66C24">
        <w:rPr>
          <w:rFonts w:eastAsiaTheme="minorEastAsia"/>
        </w:rPr>
        <w:instrText xml:space="preserve"> ADDIN ZOTERO_ITEM CSL_CITATION {"citationID":"anb85q7njv","properties":{"formattedCitation":"(Wallenius Wilhelmsen, 2022)","plainCitation":"(Wallenius Wilhelmsen, 2022)","noteIndex":0},"citationItems":[{"id":59488,"uris":["http://zotero.org/groups/122386/items/2YWMENC8"],"itemData":{"id":59488,"type":"webpage","title":"Orcelle Wind – introducing the world's first wind-powered RoRo vessel","URL":"https://www.walleniuswilhelmsen.com/news-and-insights/highlighted-topics/orcelle","author":[{"literal":"Wallenius Wilhelmsen"}],"issued":{"date-parts":[["2022"]]}}}],"schema":"https://github.com/citation-style-language/schema/raw/master/csl-citation.json"} </w:instrText>
      </w:r>
      <w:r w:rsidR="00492A24" w:rsidRPr="00C66C24">
        <w:rPr>
          <w:rFonts w:eastAsiaTheme="minorEastAsia"/>
        </w:rPr>
        <w:fldChar w:fldCharType="separate"/>
      </w:r>
      <w:r w:rsidR="001855E3" w:rsidRPr="00C66C24">
        <w:rPr>
          <w:rFonts w:ascii="Calibri" w:hAnsi="Calibri" w:cs="Calibri"/>
        </w:rPr>
        <w:t>(</w:t>
      </w:r>
      <w:proofErr w:type="spellStart"/>
      <w:r w:rsidR="001855E3" w:rsidRPr="00C66C24">
        <w:rPr>
          <w:rFonts w:ascii="Calibri" w:hAnsi="Calibri" w:cs="Calibri"/>
        </w:rPr>
        <w:t>Wallenius</w:t>
      </w:r>
      <w:proofErr w:type="spellEnd"/>
      <w:r w:rsidR="001855E3" w:rsidRPr="00C66C24">
        <w:rPr>
          <w:rFonts w:ascii="Calibri" w:hAnsi="Calibri" w:cs="Calibri"/>
        </w:rPr>
        <w:t xml:space="preserve"> Wilhelmsen, 2022)</w:t>
      </w:r>
      <w:r w:rsidR="00492A24" w:rsidRPr="00C66C24">
        <w:rPr>
          <w:rFonts w:eastAsiaTheme="minorEastAsia"/>
        </w:rPr>
        <w:fldChar w:fldCharType="end"/>
      </w:r>
      <w:r w:rsidR="00F1648E" w:rsidRPr="00C66C24">
        <w:rPr>
          <w:rFonts w:eastAsiaTheme="minorEastAsia"/>
        </w:rPr>
        <w:t xml:space="preserve">. </w:t>
      </w:r>
    </w:p>
    <w:p w14:paraId="31EE2E83" w14:textId="6704FAFC" w:rsidR="005A6F6D" w:rsidRPr="00C66C24" w:rsidRDefault="00D96B34" w:rsidP="003C1E23">
      <w:pPr>
        <w:spacing w:before="0" w:after="120" w:line="257" w:lineRule="auto"/>
        <w:rPr>
          <w:rFonts w:eastAsiaTheme="minorEastAsia"/>
        </w:rPr>
      </w:pPr>
      <w:r w:rsidRPr="00C66C24">
        <w:rPr>
          <w:rFonts w:eastAsiaTheme="minorEastAsia"/>
        </w:rPr>
        <w:t>Other direct renewable solutions like solar or wave energy are being explored, either individually or combined, like</w:t>
      </w:r>
      <w:r w:rsidR="005A6F6D" w:rsidRPr="00C66C24">
        <w:rPr>
          <w:rFonts w:eastAsiaTheme="minorEastAsia"/>
        </w:rPr>
        <w:t xml:space="preserve"> wind-solar power systems (WSHPS) (e</w:t>
      </w:r>
      <w:r w:rsidR="008C4DFA" w:rsidRPr="00C66C24">
        <w:rPr>
          <w:rFonts w:eastAsiaTheme="minorEastAsia"/>
        </w:rPr>
        <w:t>.</w:t>
      </w:r>
      <w:r w:rsidR="005A6F6D" w:rsidRPr="00C66C24">
        <w:rPr>
          <w:rFonts w:eastAsiaTheme="minorEastAsia"/>
        </w:rPr>
        <w:t>g. Project WHISPER</w:t>
      </w:r>
      <w:r w:rsidR="001C6EE8" w:rsidRPr="00C66C24">
        <w:rPr>
          <w:rFonts w:eastAsiaTheme="minorEastAsia"/>
        </w:rPr>
        <w:t>)</w:t>
      </w:r>
      <w:r w:rsidR="002F7B3A" w:rsidRPr="00C66C24">
        <w:rPr>
          <w:rFonts w:eastAsiaTheme="minorEastAsia"/>
        </w:rPr>
        <w:t xml:space="preserve"> </w:t>
      </w:r>
      <w:r w:rsidR="001C6EE8" w:rsidRPr="00C66C24">
        <w:rPr>
          <w:rFonts w:eastAsiaTheme="minorEastAsia"/>
        </w:rPr>
        <w:t>(</w:t>
      </w:r>
      <w:r w:rsidR="002F7B3A" w:rsidRPr="00C66C24">
        <w:rPr>
          <w:rFonts w:eastAsiaTheme="minorEastAsia"/>
        </w:rPr>
        <w:fldChar w:fldCharType="begin"/>
      </w:r>
      <w:r w:rsidR="001855E3" w:rsidRPr="00C66C24">
        <w:rPr>
          <w:rFonts w:eastAsiaTheme="minorEastAsia"/>
        </w:rPr>
        <w:instrText xml:space="preserve"> ADDIN ZOTERO_ITEM CSL_CITATION {"citationID":"arc6lgod4d","properties":{"formattedCitation":"\\uldash{(WHISPER Project, 2023)}","plainCitation":"(WHISPER Project, 2023)","dontUpdate":true,"noteIndex":0},"citationItems":[{"id":59402,"uris":["http://zotero.org/groups/122386/items/PHEQM3P9"],"itemData":{"id":59402,"type":"webpage","title":"Whisper energy","URL":"https://www.whisperenergy.eu/","author":[{"literal":"WHISPER"}],"issued":{"date-parts":[["2023"]]}}}],"schema":"https://github.com/citation-style-language/schema/raw/master/csl-citation.json"} </w:instrText>
      </w:r>
      <w:r w:rsidR="002F7B3A" w:rsidRPr="00C66C24">
        <w:rPr>
          <w:rFonts w:eastAsiaTheme="minorEastAsia"/>
        </w:rPr>
        <w:fldChar w:fldCharType="separate"/>
      </w:r>
      <w:r w:rsidR="002F7B3A" w:rsidRPr="00C66C24">
        <w:rPr>
          <w:rFonts w:ascii="Calibri" w:hAnsi="Calibri" w:cs="Calibri"/>
        </w:rPr>
        <w:t>WHISPER, 2023)</w:t>
      </w:r>
      <w:r w:rsidR="002F7B3A" w:rsidRPr="00C66C24">
        <w:rPr>
          <w:rFonts w:eastAsiaTheme="minorEastAsia"/>
        </w:rPr>
        <w:fldChar w:fldCharType="end"/>
      </w:r>
      <w:r w:rsidR="005A6F6D" w:rsidRPr="00C66C24">
        <w:rPr>
          <w:rFonts w:eastAsiaTheme="minorEastAsia"/>
        </w:rPr>
        <w:t>.</w:t>
      </w:r>
    </w:p>
    <w:p w14:paraId="6A444D51" w14:textId="77777777" w:rsidR="00C04ECD" w:rsidRPr="00C66C24" w:rsidRDefault="00C04ECD" w:rsidP="008C6A9C">
      <w:pPr>
        <w:pStyle w:val="Heading3"/>
        <w:spacing w:before="0" w:after="0" w:line="257" w:lineRule="auto"/>
      </w:pPr>
      <w:bookmarkStart w:id="223" w:name="_Toc156316505"/>
      <w:bookmarkStart w:id="224" w:name="_Toc156316354"/>
      <w:bookmarkStart w:id="225" w:name="_Toc157762095"/>
      <w:r w:rsidRPr="00C66C24">
        <w:t>Batteries</w:t>
      </w:r>
      <w:bookmarkEnd w:id="223"/>
      <w:bookmarkEnd w:id="225"/>
    </w:p>
    <w:p w14:paraId="7E50F9E4" w14:textId="11AFFEB7" w:rsidR="00C04ECD" w:rsidRPr="00C66C24" w:rsidRDefault="00C04ECD" w:rsidP="008C6A9C">
      <w:pPr>
        <w:spacing w:before="0" w:after="0" w:line="257" w:lineRule="auto"/>
        <w:rPr>
          <w:rFonts w:eastAsiaTheme="minorEastAsia"/>
        </w:rPr>
      </w:pPr>
      <w:r w:rsidRPr="00C66C24">
        <w:rPr>
          <w:rFonts w:eastAsiaTheme="minorEastAsia"/>
        </w:rPr>
        <w:t xml:space="preserve">Although batteries are commonly used on board ships, heavy-duty batteries of the kind needed for power needs such as propulsion and energy, can only be provided by traction batteries. Batteries can be used on all-electric ships, or as part of hybrid electric solutions, or even as a zero-emission technology for </w:t>
      </w:r>
      <w:proofErr w:type="spellStart"/>
      <w:r w:rsidRPr="00C66C24">
        <w:rPr>
          <w:rFonts w:eastAsiaTheme="minorEastAsia"/>
        </w:rPr>
        <w:t>FuelEU</w:t>
      </w:r>
      <w:proofErr w:type="spellEnd"/>
      <w:r w:rsidRPr="00C66C24">
        <w:rPr>
          <w:rFonts w:eastAsiaTheme="minorEastAsia"/>
        </w:rPr>
        <w:t xml:space="preserve"> Maritime compliance at berth.</w:t>
      </w:r>
      <w:r w:rsidRPr="00C66C24">
        <w:t xml:space="preserve"> </w:t>
      </w:r>
      <w:r w:rsidRPr="00C66C24">
        <w:rPr>
          <w:rFonts w:eastAsiaTheme="minorEastAsia"/>
        </w:rPr>
        <w:t>Current traction batteries are to a large extent based on lithium-ion (Li-ion) chemistry however their low energy density remains as one of the main challenges.</w:t>
      </w:r>
      <w:r w:rsidRPr="00C66C24" w:rsidDel="00670586">
        <w:rPr>
          <w:rFonts w:eastAsiaTheme="minorEastAsia"/>
        </w:rPr>
        <w:t xml:space="preserve"> </w:t>
      </w:r>
      <w:r w:rsidRPr="00C66C24">
        <w:rPr>
          <w:rFonts w:eastAsiaTheme="minorEastAsia"/>
        </w:rPr>
        <w:t>The most promising technology on the horizon appears to be solid state electrolyte, which may ha</w:t>
      </w:r>
      <w:r w:rsidR="000E3102" w:rsidRPr="00C66C24">
        <w:rPr>
          <w:rFonts w:eastAsiaTheme="minorEastAsia"/>
        </w:rPr>
        <w:t>ve</w:t>
      </w:r>
      <w:r w:rsidRPr="00C66C24">
        <w:rPr>
          <w:rFonts w:eastAsiaTheme="minorEastAsia"/>
        </w:rPr>
        <w:t xml:space="preserve"> particular advantages for the maritime environment with regard to safety and energy density.</w:t>
      </w:r>
    </w:p>
    <w:bookmarkEnd w:id="224"/>
    <w:p w14:paraId="37E7DFBF" w14:textId="77777777" w:rsidR="009E71EC" w:rsidRPr="00C66C24" w:rsidRDefault="00C04ECD" w:rsidP="00751382">
      <w:pPr>
        <w:spacing w:before="0" w:after="120" w:line="257" w:lineRule="auto"/>
        <w:jc w:val="left"/>
        <w:rPr>
          <w:rFonts w:eastAsiaTheme="minorEastAsia"/>
        </w:rPr>
      </w:pPr>
      <w:r w:rsidRPr="00C66C24">
        <w:rPr>
          <w:rFonts w:eastAsiaTheme="minorEastAsia"/>
        </w:rPr>
        <w:t>Currently, the entire maritime market to date comprises less than 1% of the total amount of lithium-ion batteries produced yearly and to some extent this explains the greater costs associated to introducing a marine battery system. In 2023 there were 439 ships with batteries in order, and 183 ships with batteries in operation</w:t>
      </w:r>
      <w:r w:rsidRPr="00C66C24" w:rsidDel="00C25BD6">
        <w:rPr>
          <w:rFonts w:eastAsiaTheme="minorEastAsia"/>
        </w:rPr>
        <w:t xml:space="preserve"> </w:t>
      </w:r>
      <w:r w:rsidRPr="00C66C24">
        <w:rPr>
          <w:rFonts w:eastAsiaTheme="minorEastAsia"/>
        </w:rPr>
        <w:t>(see</w:t>
      </w:r>
      <w:r w:rsidRPr="00C66C24">
        <w:rPr>
          <w:rFonts w:eastAsiaTheme="minorEastAsia"/>
          <w:szCs w:val="22"/>
        </w:rPr>
        <w:t xml:space="preserve"> </w:t>
      </w:r>
      <w:r w:rsidR="006044A7" w:rsidRPr="00C66C24">
        <w:rPr>
          <w:rFonts w:eastAsiaTheme="minorEastAsia"/>
          <w:szCs w:val="22"/>
        </w:rPr>
        <w:fldChar w:fldCharType="begin"/>
      </w:r>
      <w:r w:rsidR="006044A7" w:rsidRPr="00C66C24">
        <w:rPr>
          <w:rFonts w:eastAsiaTheme="minorEastAsia"/>
          <w:szCs w:val="22"/>
        </w:rPr>
        <w:instrText xml:space="preserve"> REF _Ref151387152 \h </w:instrText>
      </w:r>
      <w:r w:rsidR="00145FB3" w:rsidRPr="00C66C24">
        <w:rPr>
          <w:rFonts w:eastAsiaTheme="minorEastAsia"/>
          <w:szCs w:val="22"/>
        </w:rPr>
        <w:instrText xml:space="preserve"> \* MERGEFORMAT </w:instrText>
      </w:r>
      <w:r w:rsidR="006044A7" w:rsidRPr="00C66C24">
        <w:rPr>
          <w:rFonts w:eastAsiaTheme="minorEastAsia"/>
          <w:szCs w:val="22"/>
        </w:rPr>
      </w:r>
      <w:r w:rsidR="006044A7" w:rsidRPr="00C66C24">
        <w:rPr>
          <w:rFonts w:eastAsiaTheme="minorEastAsia"/>
          <w:szCs w:val="22"/>
        </w:rPr>
        <w:fldChar w:fldCharType="separate"/>
      </w:r>
      <w:r w:rsidR="000E3102" w:rsidRPr="00C66C24">
        <w:rPr>
          <w:szCs w:val="22"/>
        </w:rPr>
        <w:t xml:space="preserve">Figure </w:t>
      </w:r>
      <w:r w:rsidR="000E3102" w:rsidRPr="00C66C24">
        <w:rPr>
          <w:noProof/>
          <w:szCs w:val="22"/>
        </w:rPr>
        <w:t>3.1</w:t>
      </w:r>
      <w:r w:rsidR="006044A7" w:rsidRPr="00C66C24">
        <w:rPr>
          <w:rFonts w:eastAsiaTheme="minorEastAsia"/>
          <w:szCs w:val="22"/>
        </w:rPr>
        <w:fldChar w:fldCharType="end"/>
      </w:r>
      <w:r w:rsidRPr="00C66C24">
        <w:rPr>
          <w:rFonts w:eastAsiaTheme="minorEastAsia"/>
        </w:rPr>
        <w:t>). The leading ship types in using batteries are ferry ships, offshore supply and fishing vessels. Currently, most ships with batteries use hybrid systems.</w:t>
      </w:r>
    </w:p>
    <w:p w14:paraId="34C7E996" w14:textId="395974F0" w:rsidR="00C04ECD" w:rsidRPr="00C66C24" w:rsidRDefault="00C04ECD" w:rsidP="00751382">
      <w:pPr>
        <w:spacing w:before="0" w:after="0" w:line="257" w:lineRule="auto"/>
        <w:jc w:val="center"/>
        <w:rPr>
          <w:rFonts w:eastAsiaTheme="minorEastAsia"/>
        </w:rPr>
      </w:pPr>
      <w:r w:rsidRPr="00C66C24">
        <w:rPr>
          <w:noProof/>
        </w:rPr>
        <w:drawing>
          <wp:inline distT="0" distB="0" distL="0" distR="0" wp14:anchorId="61813FFE" wp14:editId="4DB6089B">
            <wp:extent cx="4197600" cy="3175200"/>
            <wp:effectExtent l="0" t="0" r="0" b="6350"/>
            <wp:docPr id="1382180856" name="Picture 1382180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180856"/>
                    <pic:cNvPicPr/>
                  </pic:nvPicPr>
                  <pic:blipFill>
                    <a:blip r:embed="rId94">
                      <a:extLst>
                        <a:ext uri="{28A0092B-C50C-407E-A947-70E740481C1C}">
                          <a14:useLocalDpi xmlns:a14="http://schemas.microsoft.com/office/drawing/2010/main" val="0"/>
                        </a:ext>
                      </a:extLst>
                    </a:blip>
                    <a:stretch>
                      <a:fillRect/>
                    </a:stretch>
                  </pic:blipFill>
                  <pic:spPr>
                    <a:xfrm>
                      <a:off x="0" y="0"/>
                      <a:ext cx="4197600" cy="3175200"/>
                    </a:xfrm>
                    <a:prstGeom prst="rect">
                      <a:avLst/>
                    </a:prstGeom>
                  </pic:spPr>
                </pic:pic>
              </a:graphicData>
            </a:graphic>
          </wp:inline>
        </w:drawing>
      </w:r>
    </w:p>
    <w:p w14:paraId="7458F80E" w14:textId="25701640" w:rsidR="00C04ECD" w:rsidRPr="00C66C24" w:rsidRDefault="00F47AC5" w:rsidP="008C6A9C">
      <w:pPr>
        <w:pStyle w:val="Caption"/>
        <w:spacing w:after="0" w:line="257" w:lineRule="auto"/>
        <w:jc w:val="center"/>
        <w:rPr>
          <w:sz w:val="20"/>
          <w:szCs w:val="20"/>
        </w:rPr>
      </w:pPr>
      <w:bookmarkStart w:id="226" w:name="_Ref151387152"/>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0E3102" w:rsidRPr="00C66C24">
        <w:rPr>
          <w:noProof/>
          <w:sz w:val="20"/>
          <w:szCs w:val="20"/>
        </w:rPr>
        <w:t>3</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1</w:t>
      </w:r>
      <w:r w:rsidR="00A81F61" w:rsidRPr="00C66C24">
        <w:rPr>
          <w:sz w:val="20"/>
          <w:szCs w:val="20"/>
        </w:rPr>
        <w:fldChar w:fldCharType="end"/>
      </w:r>
      <w:bookmarkEnd w:id="226"/>
      <w:r w:rsidR="00C04ECD" w:rsidRPr="00C66C24">
        <w:rPr>
          <w:sz w:val="20"/>
          <w:szCs w:val="20"/>
        </w:rPr>
        <w:t xml:space="preserve"> Total number of ships with batteries and projected values for 2024-2027.</w:t>
      </w:r>
    </w:p>
    <w:p w14:paraId="3C82098C" w14:textId="45DF4932" w:rsidR="00C04ECD" w:rsidRPr="00C66C24" w:rsidRDefault="00B21997" w:rsidP="005234C1">
      <w:pPr>
        <w:spacing w:before="0" w:after="120" w:line="257" w:lineRule="auto"/>
        <w:jc w:val="center"/>
        <w:rPr>
          <w:color w:val="44546A" w:themeColor="text2"/>
          <w:sz w:val="20"/>
          <w:szCs w:val="20"/>
        </w:rPr>
      </w:pPr>
      <w:r w:rsidRPr="00C66C24">
        <w:rPr>
          <w:rFonts w:ascii="Calibri" w:eastAsia="Calibri" w:hAnsi="Calibri" w:cs="Calibri"/>
          <w:color w:val="44546A" w:themeColor="text2"/>
          <w:sz w:val="20"/>
          <w:szCs w:val="20"/>
        </w:rPr>
        <w:t xml:space="preserve">Source: </w:t>
      </w:r>
      <w:hyperlink r:id="rId95" w:history="1">
        <w:r w:rsidRPr="006A3A82">
          <w:rPr>
            <w:rStyle w:val="Hyperlink"/>
            <w:rFonts w:ascii="Calibri" w:eastAsia="Calibri" w:hAnsi="Calibri" w:cs="Calibri"/>
            <w:color w:val="000000" w:themeColor="text1"/>
            <w:sz w:val="20"/>
            <w:szCs w:val="20"/>
            <w:u w:val="none"/>
          </w:rPr>
          <w:t>The ship register — Maritime Battery Forum</w:t>
        </w:r>
      </w:hyperlink>
      <w:r w:rsidR="00E945E5" w:rsidRPr="006A3A82">
        <w:rPr>
          <w:rStyle w:val="Hyperlink"/>
          <w:rFonts w:ascii="Calibri" w:eastAsia="Calibri" w:hAnsi="Calibri" w:cs="Calibri"/>
          <w:color w:val="000000" w:themeColor="text1"/>
          <w:sz w:val="20"/>
          <w:szCs w:val="20"/>
          <w:u w:val="none"/>
        </w:rPr>
        <w:t>, 2023</w:t>
      </w:r>
      <w:r w:rsidR="005234C1" w:rsidRPr="006A3A82">
        <w:rPr>
          <w:color w:val="000000" w:themeColor="text1"/>
          <w:sz w:val="20"/>
          <w:szCs w:val="20"/>
        </w:rPr>
        <w:t>.</w:t>
      </w:r>
    </w:p>
    <w:p w14:paraId="34012CB6" w14:textId="0C6D1645" w:rsidR="00C04ECD" w:rsidRPr="00C66C24" w:rsidRDefault="00C04ECD" w:rsidP="007B1BEC">
      <w:pPr>
        <w:spacing w:before="0" w:after="120" w:line="257" w:lineRule="auto"/>
        <w:rPr>
          <w:rFonts w:ascii="Calibri" w:eastAsia="Calibri" w:hAnsi="Calibri" w:cs="Calibri"/>
        </w:rPr>
      </w:pPr>
      <w:r w:rsidRPr="00C66C24">
        <w:t>The predictability and limited operational profile of ferry ships has made them the most suitable ship type to be fully electrified through the incorporation of battery energy storage systems (examples are “Ellen”, from the project H2020 project E-FERRY</w:t>
      </w:r>
      <w:r w:rsidR="009B05E3" w:rsidRPr="00C66C24">
        <w:t xml:space="preserve"> </w:t>
      </w:r>
      <w:r w:rsidR="00BD3DCC" w:rsidRPr="00C66C24">
        <w:fldChar w:fldCharType="begin"/>
      </w:r>
      <w:r w:rsidR="001855E3" w:rsidRPr="00C66C24">
        <w:instrText xml:space="preserve"> ADDIN ZOTERO_ITEM CSL_CITATION {"citationID":"ao8vng9fol","properties":{"formattedCitation":"\\uldash{(E-FERRY project, 2020)}","plainCitation":"(E-FERRY project, 2020)","dontUpdate":true,"noteIndex":0},"citationItems":[{"id":59489,"uris":["http://zotero.org/groups/122386/items/IQWD44WG"],"itemData":{"id":59489,"type":"webpage","title":"E-Ferry - Connecting blue and green","URL":"http://e-ferryproject.eu/","author":[{"literal":"E-FERRY"}],"issued":{"date-parts":[["2020"]]}}}],"schema":"https://github.com/citation-style-language/schema/raw/master/csl-citation.json"} </w:instrText>
      </w:r>
      <w:r w:rsidR="00BD3DCC" w:rsidRPr="00C66C24">
        <w:fldChar w:fldCharType="separate"/>
      </w:r>
      <w:r w:rsidR="00BD3DCC" w:rsidRPr="00C66C24">
        <w:rPr>
          <w:rFonts w:ascii="Calibri" w:hAnsi="Calibri" w:cs="Calibri"/>
        </w:rPr>
        <w:t>(E-FERRY, 2020)</w:t>
      </w:r>
      <w:r w:rsidR="00BD3DCC" w:rsidRPr="00C66C24">
        <w:fldChar w:fldCharType="end"/>
      </w:r>
      <w:r w:rsidRPr="00C66C24">
        <w:t>, currently operating a 22 nm</w:t>
      </w:r>
      <w:r w:rsidRPr="00C66C24" w:rsidDel="00F77637">
        <w:t xml:space="preserve"> </w:t>
      </w:r>
      <w:r w:rsidRPr="00C66C24">
        <w:t xml:space="preserve">and the “MS </w:t>
      </w:r>
      <w:proofErr w:type="spellStart"/>
      <w:r w:rsidRPr="00C66C24">
        <w:t>Medstraum</w:t>
      </w:r>
      <w:proofErr w:type="spellEnd"/>
      <w:r w:rsidRPr="00C66C24">
        <w:t xml:space="preserve">", from the H2020 project </w:t>
      </w:r>
      <w:proofErr w:type="spellStart"/>
      <w:r w:rsidRPr="00C66C24">
        <w:t>T</w:t>
      </w:r>
      <w:r w:rsidR="000D1BC7" w:rsidRPr="00C66C24">
        <w:t>r</w:t>
      </w:r>
      <w:r w:rsidRPr="00C66C24">
        <w:t>AM</w:t>
      </w:r>
      <w:proofErr w:type="spellEnd"/>
      <w:r w:rsidRPr="00C66C24">
        <w:t>, the first fast ferry, operating at a typical cruising speed of 23 knots</w:t>
      </w:r>
      <w:r w:rsidR="00925D2A" w:rsidRPr="00C66C24">
        <w:t xml:space="preserve"> </w:t>
      </w:r>
      <w:r w:rsidR="00925D2A" w:rsidRPr="00C66C24">
        <w:fldChar w:fldCharType="begin"/>
      </w:r>
      <w:r w:rsidR="001855E3" w:rsidRPr="00C66C24">
        <w:instrText xml:space="preserve"> ADDIN ZOTERO_ITEM CSL_CITATION {"citationID":"ahg4ssrtoa","properties":{"formattedCitation":"\\uldash{(TrAM project, 2020)}","plainCitation":"(TrAM project, 2020)","dontUpdate":true,"noteIndex":0},"citationItems":[{"id":59490,"uris":["http://zotero.org/groups/122386/items/UVTHM2A3"],"itemData":{"id":59490,"type":"webpage","title":"TrAM - Transport: Advanced and Modular","URL":"https://tramproject.eu/","author":[{"literal":"TrAM"}],"issued":{"date-parts":[["2020"]]}}}],"schema":"https://github.com/citation-style-language/schema/raw/master/csl-citation.json"} </w:instrText>
      </w:r>
      <w:r w:rsidR="00925D2A" w:rsidRPr="00C66C24">
        <w:fldChar w:fldCharType="separate"/>
      </w:r>
      <w:r w:rsidR="00925D2A" w:rsidRPr="00C66C24">
        <w:rPr>
          <w:rFonts w:ascii="Calibri" w:hAnsi="Calibri" w:cs="Calibri"/>
        </w:rPr>
        <w:t>(</w:t>
      </w:r>
      <w:proofErr w:type="spellStart"/>
      <w:r w:rsidR="00925D2A" w:rsidRPr="00C66C24">
        <w:rPr>
          <w:rFonts w:ascii="Calibri" w:hAnsi="Calibri" w:cs="Calibri"/>
        </w:rPr>
        <w:t>TrAM</w:t>
      </w:r>
      <w:proofErr w:type="spellEnd"/>
      <w:r w:rsidR="00925D2A" w:rsidRPr="00C66C24">
        <w:rPr>
          <w:rFonts w:ascii="Calibri" w:hAnsi="Calibri" w:cs="Calibri"/>
        </w:rPr>
        <w:t>, 2020)</w:t>
      </w:r>
      <w:r w:rsidR="00925D2A" w:rsidRPr="00C66C24">
        <w:fldChar w:fldCharType="end"/>
      </w:r>
      <w:r w:rsidRPr="00C66C24">
        <w:t>). However, it is expected that more powerful and energy storage capacity will foster that a wider set of ship types will fully or partially use batteries in the near future. This will require the implementation of fast, standardized, modular and scalable charging solutions currently unavailable. In parallel, s</w:t>
      </w:r>
      <w:r w:rsidRPr="00C66C24">
        <w:rPr>
          <w:rFonts w:ascii="Calibri" w:eastAsia="Calibri" w:hAnsi="Calibri" w:cs="Calibri"/>
        </w:rPr>
        <w:t>wappable batteries are being explored (e</w:t>
      </w:r>
      <w:r w:rsidR="007B1BEC" w:rsidRPr="00C66C24">
        <w:rPr>
          <w:rFonts w:ascii="Calibri" w:eastAsia="Calibri" w:hAnsi="Calibri" w:cs="Calibri"/>
        </w:rPr>
        <w:t>.</w:t>
      </w:r>
      <w:r w:rsidRPr="00C66C24">
        <w:rPr>
          <w:rFonts w:ascii="Calibri" w:eastAsia="Calibri" w:hAnsi="Calibri" w:cs="Calibri"/>
        </w:rPr>
        <w:t>g. H2020 project CURRENT DIRECT or HE project SYNERGETICS</w:t>
      </w:r>
      <w:r w:rsidR="008D194C" w:rsidRPr="00C66C24">
        <w:rPr>
          <w:rFonts w:ascii="Calibri" w:eastAsia="Calibri" w:hAnsi="Calibri" w:cs="Calibri"/>
        </w:rPr>
        <w:t xml:space="preserve"> </w:t>
      </w:r>
      <w:r w:rsidR="008D194C"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{"citationID":"aea75lnv8k","properties":{"formattedCitation":"(CURRENT DIRECT, 2020; SYNERGETICS, 2023)","plainCitation":"(CURRENT DIRECT, 2020; SYNERGETICS, 2023)","noteIndex":0},"citationItems":[{"id":59491,"uris":["http://zotero.org/groups/122386/items/JEEQWP3N"],"itemData":{"id":59491,"type":"webpage","title":"Current Direct project","URL":"currentdirect.eu","author":[{"literal":"CURRENT DIRECT"}],"issued":{"date-parts":[["2020"]]}}},{"id":59483,"uris":["http://zotero.org/groups/122386/items/7TNB366Y"],"itemData":{"id":59483,"type":"document","title":"SYNERGETICS project - Synergies for Green Transformation of Inland and Coastal Shipping","URL":"https://www.synergetics-project.eu/","author":[{"literal":"SYNERGETICS"}],"issued":{"date-parts":[["2023"]]}}}],"schema":"https://github.com/citation-style-language/schema/raw/master/csl-citation.json"} </w:instrText>
      </w:r>
      <w:r w:rsidR="008D194C" w:rsidRPr="00C66C24">
        <w:rPr>
          <w:rFonts w:ascii="Calibri" w:eastAsia="Calibri" w:hAnsi="Calibri" w:cs="Calibri"/>
        </w:rPr>
        <w:fldChar w:fldCharType="separate"/>
      </w:r>
      <w:r w:rsidR="001855E3" w:rsidRPr="00C66C24">
        <w:rPr>
          <w:rFonts w:ascii="Calibri" w:hAnsi="Calibri" w:cs="Calibri"/>
        </w:rPr>
        <w:t>(CURRENT DIRECT, 2020; SYNERGETICS, 2023)</w:t>
      </w:r>
      <w:r w:rsidR="008D194C" w:rsidRPr="00C66C24">
        <w:rPr>
          <w:rFonts w:ascii="Calibri" w:eastAsia="Calibri" w:hAnsi="Calibri" w:cs="Calibri"/>
        </w:rPr>
        <w:fldChar w:fldCharType="end"/>
      </w:r>
      <w:r w:rsidRPr="00C66C24">
        <w:rPr>
          <w:rFonts w:ascii="Calibri" w:eastAsia="Calibri" w:hAnsi="Calibri" w:cs="Calibri"/>
        </w:rPr>
        <w:t>). Innovative grid architecture is also required to enable operational flexibility through the hybridisation of storage units.</w:t>
      </w:r>
    </w:p>
    <w:p w14:paraId="2C1D137E" w14:textId="77777777" w:rsidR="00C04ECD" w:rsidRPr="00C66C24" w:rsidRDefault="00C04ECD" w:rsidP="008C6A9C">
      <w:pPr>
        <w:pStyle w:val="Heading3"/>
        <w:spacing w:before="0" w:after="0" w:line="257" w:lineRule="auto"/>
      </w:pPr>
      <w:bookmarkStart w:id="227" w:name="_Toc157762096"/>
      <w:r w:rsidRPr="00C66C24">
        <w:t>Fuel cells</w:t>
      </w:r>
      <w:bookmarkEnd w:id="227"/>
    </w:p>
    <w:p w14:paraId="6E09A397" w14:textId="05E1B086" w:rsidR="00C04ECD" w:rsidRPr="00C66C24" w:rsidRDefault="00C04ECD" w:rsidP="008C6A9C">
      <w:pPr>
        <w:spacing w:before="0" w:after="0" w:line="257" w:lineRule="auto"/>
        <w:rPr>
          <w:rFonts w:ascii="Calibri" w:eastAsia="Calibri" w:hAnsi="Calibri" w:cs="Calibri"/>
        </w:rPr>
      </w:pPr>
      <w:r w:rsidRPr="00C66C24">
        <w:rPr>
          <w:rFonts w:ascii="Calibri" w:eastAsia="Calibri" w:hAnsi="Calibri" w:cs="Calibri"/>
        </w:rPr>
        <w:t xml:space="preserve">A fuel cell power pack consists of a fuel and gas processing system and a stack of fuel cells that convert the chemical energy of the fuel to electric power through electrochemical reactions. Different fuel cell types are available which can be characterised by the materials used in the membrane. The most common fuel cell types are the Polymer Electrolyte Membrane Fuel Cell (PEMFC) and the Solid Oxide Fuel Cell (SOFC). In fact, planar SOFC systems seem to be the most energy efficient, as they allow for high fuel utilisation paired with high cell voltages </w:t>
      </w:r>
      <w:r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{"citationID":"a1iv4hfls31","properties":{"formattedCitation":"(Blum et al., 2011)","plainCitation":"(Blum et al., 2011)","noteIndex":0},"citationItems":[{"id":59279,"uris":["http://zotero.org/groups/122386/items/GN37VRRF"],"itemData":{"id":59279,"type":"article-journal","container-title":"International Journal of Hydrogen Energy","DOI":"10.1016/j.ijhydene.2011.05.122","ISSN":"03603199","issue":"17","journalAbbreviation":"International Journal of Hydrogen Energy","language":"en","page":"11056-11067","source":"DOI.org (Crossref)","title":"Comparison of efficiencies of low, mean and high temperature fuel cell Systems","volume":"36","author":[{"family":"Blum","given":"Ludger"},{"family":"Deja","given":"Robert"},{"family":"Peters","given":"Roland"},{"family":"Stolten","given":"Detlef"}],"issued":{"date-parts":[["2011",8]]}}}],"schema":"https://github.com/citation-style-language/schema/raw/master/csl-citation.json"} </w:instrText>
      </w:r>
      <w:r w:rsidRPr="00C66C24">
        <w:rPr>
          <w:rFonts w:ascii="Calibri" w:eastAsia="Calibri" w:hAnsi="Calibri" w:cs="Calibri"/>
        </w:rPr>
        <w:fldChar w:fldCharType="separate"/>
      </w:r>
      <w:r w:rsidR="001855E3" w:rsidRPr="00C66C24">
        <w:rPr>
          <w:rFonts w:ascii="Calibri" w:hAnsi="Calibri" w:cs="Calibri"/>
        </w:rPr>
        <w:t>(Blum et al., 2011)</w:t>
      </w:r>
      <w:r w:rsidRPr="00C66C24">
        <w:rPr>
          <w:rFonts w:ascii="Calibri" w:eastAsia="Calibri" w:hAnsi="Calibri" w:cs="Calibri"/>
        </w:rPr>
        <w:fldChar w:fldCharType="end"/>
      </w:r>
      <w:r w:rsidRPr="00C66C24">
        <w:rPr>
          <w:rFonts w:ascii="Calibri" w:eastAsia="Calibri" w:hAnsi="Calibri" w:cs="Calibri"/>
        </w:rPr>
        <w:t xml:space="preserve">. Another differentiation between fuel cells is low versus high temperature fuel cells. The formers only require pure hydrogen as a fuel, which produces CO- and sulphur-free waste. Alcohol fuels may also be used for on-site or on-board reforming for at lower temperatures, giving the advantage of being ultra-clean and sulphur-free. Alternatively, high temperature fuel cells may use both H2 and CO as fuels, which implies that (1) fuel processing can be achieved in less steps, (2) there is the advantage of the availability of existing infrastructure of production, and (3) the higher energy density of hydrocarbon fuels </w:t>
      </w:r>
      <w:r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{"citationID":"a1ugrpgc2mk","properties":{"formattedCitation":"(Song, 2002)","plainCitation":"(Song, 2002)","noteIndex":0},"citationItems":[{"id":59280,"uris":["http://zotero.org/groups/122386/items/RU2WYDWZ"],"itemData":{"id":59280,"type":"article-journal","container-title":"Catalysis Today","DOI":"10.1016/S0920-5861(02)00231-6","ISSN":"09205861","issue":"1-2","journalAbbreviation":"Catalysis Today","language":"en","page":"17-49","source":"DOI.org (Crossref)","title":"Fuel processing for low-temperature and high-temperature fuel cells Challenges, and opportunities for sustainable development in the 21st century","volume":"77","author":[{"family":"Song","given":"Chunshan"}],"issued":{"date-parts":[["2002",12,1]]}}}],"schema":"https://github.com/citation-style-language/schema/raw/master/csl-citation.json"} </w:instrText>
      </w:r>
      <w:r w:rsidRPr="00C66C24">
        <w:rPr>
          <w:rFonts w:ascii="Calibri" w:eastAsia="Calibri" w:hAnsi="Calibri" w:cs="Calibri"/>
        </w:rPr>
        <w:fldChar w:fldCharType="separate"/>
      </w:r>
      <w:r w:rsidR="001855E3" w:rsidRPr="00C66C24">
        <w:rPr>
          <w:rFonts w:ascii="Calibri" w:hAnsi="Calibri" w:cs="Calibri"/>
        </w:rPr>
        <w:t>(Song, 2002)</w:t>
      </w:r>
      <w:r w:rsidRPr="00C66C24">
        <w:rPr>
          <w:rFonts w:ascii="Calibri" w:eastAsia="Calibri" w:hAnsi="Calibri" w:cs="Calibri"/>
        </w:rPr>
        <w:fldChar w:fldCharType="end"/>
      </w:r>
      <w:r w:rsidRPr="00C66C24">
        <w:rPr>
          <w:rFonts w:ascii="Calibri" w:eastAsia="Calibri" w:hAnsi="Calibri" w:cs="Calibri"/>
        </w:rPr>
        <w:t xml:space="preserve">. </w:t>
      </w:r>
    </w:p>
    <w:p w14:paraId="02D5C87A" w14:textId="12262720" w:rsidR="00C04ECD" w:rsidRPr="00C66C24" w:rsidRDefault="00C04ECD" w:rsidP="008C6A9C">
      <w:pPr>
        <w:spacing w:before="0" w:after="0" w:line="257" w:lineRule="auto"/>
      </w:pPr>
      <w:r w:rsidRPr="00C66C24">
        <w:rPr>
          <w:rFonts w:ascii="Calibri" w:eastAsia="Calibri" w:hAnsi="Calibri" w:cs="Calibri"/>
        </w:rPr>
        <w:t xml:space="preserve">Fuel cells may have useful applications also in connection to the </w:t>
      </w:r>
      <w:proofErr w:type="spellStart"/>
      <w:r w:rsidRPr="00C66C24">
        <w:rPr>
          <w:rFonts w:ascii="Calibri" w:eastAsia="Calibri" w:hAnsi="Calibri" w:cs="Calibri"/>
        </w:rPr>
        <w:t>FuelEU</w:t>
      </w:r>
      <w:proofErr w:type="spellEnd"/>
      <w:r w:rsidRPr="00C66C24">
        <w:rPr>
          <w:rFonts w:ascii="Calibri" w:eastAsia="Calibri" w:hAnsi="Calibri" w:cs="Calibri"/>
        </w:rPr>
        <w:t xml:space="preserve"> </w:t>
      </w:r>
      <w:r w:rsidR="006E65E3" w:rsidRPr="00C66C24">
        <w:rPr>
          <w:rFonts w:ascii="Calibri" w:eastAsia="Calibri" w:hAnsi="Calibri" w:cs="Calibri"/>
        </w:rPr>
        <w:t xml:space="preserve">Maritime </w:t>
      </w:r>
      <w:r w:rsidRPr="00C66C24">
        <w:rPr>
          <w:rFonts w:ascii="Calibri" w:eastAsia="Calibri" w:hAnsi="Calibri" w:cs="Calibri"/>
        </w:rPr>
        <w:t>regulation. An important element is that no air pollutants such as SOx or NOx are generated (or at least in negligible amounts), together with CO or particulate matter. In addition, no methane slippage is produced due to the almost immediate conversion of the molecule into hydrogen and CO</w:t>
      </w:r>
      <w:r w:rsidRPr="00C66C24">
        <w:rPr>
          <w:rFonts w:ascii="Calibri" w:eastAsia="Calibri" w:hAnsi="Calibri" w:cs="Calibri"/>
          <w:vertAlign w:val="subscript"/>
        </w:rPr>
        <w:t>2</w:t>
      </w:r>
      <w:r w:rsidRPr="00C66C24">
        <w:rPr>
          <w:rFonts w:ascii="Calibri" w:eastAsia="Calibri" w:hAnsi="Calibri" w:cs="Calibri"/>
        </w:rPr>
        <w:t>. Finally, fuel cells can make use of advanced biofuels, RFNBO’s, and recycled carbon fuels (RCF) which favours compliance with the RED targets while at berth.</w:t>
      </w:r>
    </w:p>
    <w:p w14:paraId="7DC8829C" w14:textId="01E97F9C" w:rsidR="00C04ECD" w:rsidRPr="00C66C24" w:rsidRDefault="00C04ECD" w:rsidP="007B1BEC">
      <w:pPr>
        <w:spacing w:before="0" w:after="120" w:line="257" w:lineRule="auto"/>
        <w:rPr>
          <w:rFonts w:ascii="Calibri" w:eastAsia="Calibri" w:hAnsi="Calibri" w:cs="Calibri"/>
        </w:rPr>
      </w:pPr>
      <w:r w:rsidRPr="00C66C24">
        <w:rPr>
          <w:rFonts w:ascii="Calibri" w:eastAsia="Calibri" w:hAnsi="Calibri" w:cs="Calibri"/>
        </w:rPr>
        <w:t>The total shipment of fuel cells in 2015 amounts to 335 MW, with the transport sector standing for 178 MW and the stationary sector for 157 MW. The largest manufacturers are in South Korea and the USA, with Japan following.</w:t>
      </w:r>
    </w:p>
    <w:p w14:paraId="104787B2" w14:textId="77777777" w:rsidR="00C04ECD" w:rsidRPr="00C66C24" w:rsidRDefault="00C04ECD" w:rsidP="008C6A9C">
      <w:pPr>
        <w:pStyle w:val="Heading3"/>
        <w:spacing w:before="0" w:after="0" w:line="257" w:lineRule="auto"/>
      </w:pPr>
      <w:bookmarkStart w:id="228" w:name="_Toc157762097"/>
      <w:r w:rsidRPr="00C66C24">
        <w:t>Nuclear propulsion</w:t>
      </w:r>
      <w:bookmarkEnd w:id="228"/>
    </w:p>
    <w:p w14:paraId="232D763B" w14:textId="61D347DB" w:rsidR="00C04ECD" w:rsidRPr="00C66C24" w:rsidRDefault="00C04ECD" w:rsidP="008C6A9C">
      <w:pPr>
        <w:spacing w:before="0" w:after="0" w:line="257" w:lineRule="auto"/>
        <w:rPr>
          <w:rFonts w:ascii="Calibri" w:eastAsia="Calibri" w:hAnsi="Calibri" w:cs="Calibri"/>
        </w:rPr>
      </w:pPr>
      <w:r w:rsidRPr="00C66C24">
        <w:rPr>
          <w:rFonts w:ascii="Calibri" w:eastAsia="Calibri" w:hAnsi="Calibri" w:cs="Calibri"/>
        </w:rPr>
        <w:t xml:space="preserve">Nuclear propulsion has been identified as an alternative power system for the shipping industry to achieve net zero emissions. However, concerns on the inclusion of nuclear power in the merchant fleet are centred on the lack of sector-related policies and regulations, as well as safety risk concerns (both at sea and at port), high costs, stigma, lack of civil acceptance, and </w:t>
      </w:r>
      <w:r w:rsidR="00823572">
        <w:rPr>
          <w:rFonts w:ascii="Calibri" w:eastAsia="Calibri" w:hAnsi="Calibri" w:cs="Calibri"/>
        </w:rPr>
        <w:t>potentially significant</w:t>
      </w:r>
      <w:r w:rsidRPr="00C66C24">
        <w:rPr>
          <w:rFonts w:ascii="Calibri" w:eastAsia="Calibri" w:hAnsi="Calibri" w:cs="Calibri"/>
        </w:rPr>
        <w:t xml:space="preserve"> environmental impacts in case of accidents. In addition, there are also concerns around the management and final disposal of resulting radioactive waste. So far, few commercial ships have made use of nuclear propulsion systems such as icebreakers </w:t>
      </w:r>
      <w:r w:rsidRPr="00C66C24">
        <w:rPr>
          <w:rFonts w:ascii="Calibri" w:eastAsia="Calibri" w:hAnsi="Calibri" w:cs="Calibri"/>
        </w:rPr>
        <w:fldChar w:fldCharType="begin"/>
      </w:r>
      <w:r w:rsidRPr="00C66C24">
        <w:rPr>
          <w:rFonts w:ascii="Calibri" w:eastAsia="Calibri" w:hAnsi="Calibri" w:cs="Calibri"/>
        </w:rPr>
        <w:instrText xml:space="preserve"> ADDIN ZOTERO_ITEM CSL_CITATION {"citationID":"aer4ihcna7","properties":{"formattedCitation":"(Raymond Antoni Kaspersen (PM), et al., 2022)","plainCitation":"(Raymond Antoni Kaspersen (PM), et al., 2022)","dontUpdate":true,"noteIndex":0},"citationItems":[{"id":53050,"uris":["http://zotero.org/groups/122386/items/5TJAD9AU"],"itemData":{"id":53050,"type":"document","title":"DNV_study_Training_of_seafarers_double_highres_digital (1).pdf","author":[{"literal":"Raymond A.K."},{"literal":"Henning Ødeby Karlsen, Henrik Helgesen,"},{"literal":"Georg Giskegjerde, Christine Lagerstedt"},{"literal":"Krugerud &amp; Peter Nyegaard Hoffmann"}],"issued":{"date-parts":[["2022"]]}}}],"schema":"https://github.com/citation-style-language/schema/raw/master/csl-citation.json"} </w:instrText>
      </w:r>
      <w:r w:rsidRPr="00C66C24">
        <w:rPr>
          <w:rFonts w:ascii="Calibri" w:eastAsia="Calibri" w:hAnsi="Calibri" w:cs="Calibri"/>
        </w:rPr>
        <w:fldChar w:fldCharType="separate"/>
      </w:r>
      <w:r w:rsidRPr="00C66C24">
        <w:rPr>
          <w:rFonts w:ascii="Calibri" w:hAnsi="Calibri" w:cs="Calibri"/>
        </w:rPr>
        <w:t>(Raymond, et al., 2022)</w:t>
      </w:r>
      <w:r w:rsidRPr="00C66C24">
        <w:rPr>
          <w:rFonts w:ascii="Calibri" w:eastAsia="Calibri" w:hAnsi="Calibri" w:cs="Calibri"/>
        </w:rPr>
        <w:fldChar w:fldCharType="end"/>
      </w:r>
      <w:r w:rsidRPr="00C66C24">
        <w:rPr>
          <w:rFonts w:ascii="Calibri" w:eastAsia="Calibri" w:hAnsi="Calibri" w:cs="Calibri"/>
        </w:rPr>
        <w:t>.</w:t>
      </w:r>
    </w:p>
    <w:p w14:paraId="6369AD0F" w14:textId="534051E4" w:rsidR="00416B2D" w:rsidRPr="00C66C24" w:rsidRDefault="00C04ECD" w:rsidP="008C6A9C">
      <w:pPr>
        <w:spacing w:before="0" w:after="0" w:line="257" w:lineRule="auto"/>
        <w:rPr>
          <w:rFonts w:ascii="Calibri" w:eastAsia="Calibri" w:hAnsi="Calibri" w:cs="Calibri"/>
        </w:rPr>
      </w:pPr>
      <w:r w:rsidRPr="00C66C24">
        <w:rPr>
          <w:rFonts w:ascii="Calibri" w:eastAsia="Calibri" w:hAnsi="Calibri" w:cs="Calibri"/>
        </w:rPr>
        <w:t xml:space="preserve">Various options using nuclear power have been identified: zero-emission ships using electrification methods, the direct use of micro or small modular nuclear reactors, or the storage and transfer of energy to the vessels from on-shore nuclear power plants located near ports  </w:t>
      </w:r>
      <w:r w:rsidRPr="00C66C24">
        <w:rPr>
          <w:rFonts w:ascii="Calibri" w:eastAsia="Calibri" w:hAnsi="Calibri" w:cs="Calibri"/>
        </w:rPr>
        <w:fldChar w:fldCharType="begin"/>
      </w:r>
      <w:r w:rsidRPr="00C66C24">
        <w:rPr>
          <w:rFonts w:ascii="Calibri" w:eastAsia="Calibri" w:hAnsi="Calibri" w:cs="Calibri"/>
        </w:rPr>
        <w:fldChar w:fldCharType="separate"/>
      </w:r>
      <w:r w:rsidRPr="00C66C24">
        <w:rPr>
          <w:rFonts w:ascii="Calibri" w:hAnsi="Calibri" w:cs="Calibri"/>
        </w:rPr>
        <w:t>(Bhattacharyya et al., 2023)</w:t>
      </w:r>
      <w:r w:rsidRPr="00C66C24">
        <w:rPr>
          <w:rFonts w:ascii="Calibri" w:eastAsia="Calibri" w:hAnsi="Calibri" w:cs="Calibri"/>
        </w:rPr>
        <w:fldChar w:fldCharType="end"/>
      </w:r>
      <w:r w:rsidRPr="00C66C24">
        <w:rPr>
          <w:rFonts w:ascii="Calibri" w:eastAsia="Calibri" w:hAnsi="Calibri" w:cs="Calibri"/>
        </w:rPr>
        <w:t>. Moreover, there is the hypothesis of including nuclear energy as a cogeneration element to produce green fuels such as nuclear-based pathways for hydrogen, ammonia, or methanol.</w:t>
      </w:r>
    </w:p>
    <w:p w14:paraId="6820F6EF" w14:textId="22D3AD4A" w:rsidR="00416B2D" w:rsidRPr="00C66C24" w:rsidRDefault="00075E63" w:rsidP="008C6A9C">
      <w:pPr>
        <w:spacing w:before="0" w:after="0" w:line="257" w:lineRule="auto"/>
        <w:rPr>
          <w:rFonts w:ascii="Calibri" w:eastAsia="Calibri" w:hAnsi="Calibri" w:cs="Calibri"/>
        </w:rPr>
      </w:pPr>
      <w:r w:rsidRPr="00C66C24">
        <w:rPr>
          <w:rFonts w:ascii="Calibri" w:eastAsia="Calibri" w:hAnsi="Calibri" w:cs="Calibri"/>
        </w:rPr>
        <w:t xml:space="preserve">It may not be possible to convert or retrofit existing merchant ships into nuclear-powered ships. However, it seems that, in the long run, nuclear power could become a financially viable option when compared to other proposed alternative fuels, such as ammonia or hydrogen, due to its high energy efficiency and overall low resource use </w:t>
      </w:r>
      <w:r w:rsidR="00C85334" w:rsidRPr="00C66C24">
        <w:rPr>
          <w:rFonts w:ascii="Calibri" w:eastAsia="Calibri" w:hAnsi="Calibri" w:cs="Calibri"/>
        </w:rPr>
        <w:fldChar w:fldCharType="begin"/>
      </w:r>
      <w:r w:rsidR="00D9530C" w:rsidRPr="00C66C24">
        <w:rPr>
          <w:rFonts w:ascii="Calibri" w:eastAsia="Calibri" w:hAnsi="Calibri" w:cs="Calibri"/>
        </w:rPr>
        <w:instrText xml:space="preserve"> ADDIN ZOTERO_ITEM CSL_CITATION {"citationID":"a1i7pv0qvng","properties":{"formattedCitation":"(Bhattacharyya et al., 2023)","plainCitation":"(Bhattacharyya et al., 2023)","noteIndex":0},"citationItems":[{"id":53061,"uris":["http://zotero.org/groups/122386/items/KY52LZI9"],"itemData":{"id":53061,"type":"article-journal","abstract":"The shipping industry is a major enabler of globalization, trade, commerce and human welfare. But it is still heavily served by fossil fuels, which make it one of the foremost greenhouse gas emitting sectors operational today. It is also one of the hardest to abate segments of the transport industry. As part of the economy-wide climate change mitigation and adaptation efforts, it is necessary to consider a low carbon energy transition for this segment as well. This study examines the potential role of nuclear power and cogeneration towards greening this sector and identifies the associated techno-commercial and policy challenges associated with the transition. Quantitative estimates of the economics and investments associated with some of the possible routes are also presented. Alternatives such as nuclear-powered ships along commercial maritime trading routes, ships working on nuclear derived green hydrogen, ammonia or other sustainable power fuels will enable not only decarbonization of the shipping industry but also allow further diversification of the nuclear industry through non-electric applications of nuclear power and new sector coupling opportunities. In the run-up to the UNFCCC–COP28 meeting in 2023 in UAE, nuclear equipped nations heavily engaged in and dependent on maritime trade and commerce should definitely consider nuclear driven decarbonization of shipping and some of the options presented here as part of their climate action strategies.","container-title":"e-Prime - Advances in Electrical Engineering, Electronics and Energy","DOI":"10.1016/j.prime.2023.100132","ISSN":"27726711","journalAbbreviation":"e-Prime - Advances in Electrical Engineering, Electronics and Energy","language":"en","page":"100132","source":"DOI.org (Crossref)","title":"Climate action for the shipping industry: Some perspectives on the role of nuclear power in maritime decarbonization","title-short":"Climate action for the shipping industry","volume":"4","author":[{"family":"Bhattacharyya","given":"Rupsha"},{"family":"El-Emam","given":"Rami S."},{"family":"Khalid","given":"Farrukh"}],"issued":{"date-parts":[["2023",6]]}}}],"schema":"https://github.com/citation-style-language/schema/raw/master/csl-citation.json"} </w:instrText>
      </w:r>
      <w:r w:rsidR="00C85334" w:rsidRPr="00C66C24">
        <w:rPr>
          <w:rFonts w:ascii="Calibri" w:eastAsia="Calibri" w:hAnsi="Calibri" w:cs="Calibri"/>
        </w:rPr>
        <w:fldChar w:fldCharType="separate"/>
      </w:r>
      <w:r w:rsidR="001A5A7B" w:rsidRPr="00C66C24">
        <w:rPr>
          <w:rFonts w:ascii="Calibri" w:hAnsi="Calibri" w:cs="Calibri"/>
        </w:rPr>
        <w:t>(Bhattacharyya et al., 2023)</w:t>
      </w:r>
      <w:r w:rsidR="00C85334" w:rsidRPr="00C66C24">
        <w:rPr>
          <w:rFonts w:ascii="Calibri" w:eastAsia="Calibri" w:hAnsi="Calibri" w:cs="Calibri"/>
        </w:rPr>
        <w:fldChar w:fldCharType="end"/>
      </w:r>
      <w:r w:rsidR="003B33BB" w:rsidRPr="00C66C24">
        <w:rPr>
          <w:rFonts w:ascii="Calibri" w:eastAsia="Calibri" w:hAnsi="Calibri" w:cs="Calibri"/>
        </w:rPr>
        <w:t>, provided that safety and environmental risks associated to nuclear technology application to commercial maritime transport are duly assessed and mitigated</w:t>
      </w:r>
      <w:r w:rsidR="48126055" w:rsidRPr="00C66C24">
        <w:rPr>
          <w:rFonts w:ascii="Calibri" w:eastAsia="Calibri" w:hAnsi="Calibri" w:cs="Calibri"/>
        </w:rPr>
        <w:t>.</w:t>
      </w:r>
    </w:p>
    <w:p w14:paraId="4A00C5B3" w14:textId="5E0361DE" w:rsidR="00C04ECD" w:rsidRPr="00C66C24" w:rsidRDefault="00C04ECD" w:rsidP="006A3A82">
      <w:pPr>
        <w:spacing w:before="0" w:after="120" w:line="257" w:lineRule="auto"/>
        <w:rPr>
          <w:rFonts w:ascii="Calibri" w:eastAsia="Calibri" w:hAnsi="Calibri" w:cs="Calibri"/>
        </w:rPr>
      </w:pPr>
      <w:r w:rsidRPr="00C66C24">
        <w:rPr>
          <w:rFonts w:ascii="Calibri" w:eastAsia="Calibri" w:hAnsi="Calibri" w:cs="Calibri"/>
        </w:rPr>
        <w:t xml:space="preserve">There are three main types of nuclear reactor designs to be used onboard ships: the Pressurised Water Reactor (PWR), the Heat pipe, and the Molten Salt Reactor (MSR) </w:t>
      </w:r>
      <w:r w:rsidR="0021350D" w:rsidRPr="00C66C24">
        <w:rPr>
          <w:rFonts w:ascii="Calibri" w:eastAsia="Calibri" w:hAnsi="Calibri" w:cs="Calibri"/>
        </w:rPr>
        <w:fldChar w:fldCharType="begin"/>
      </w:r>
      <w:r w:rsidR="00D9530C" w:rsidRPr="00C66C24">
        <w:rPr>
          <w:rFonts w:ascii="Calibri" w:eastAsia="Calibri" w:hAnsi="Calibri" w:cs="Calibri"/>
        </w:rPr>
        <w:instrText xml:space="preserve"> ADDIN ZOTERO_ITEM CSL_CITATION {"citationID":"a101b2us6p","properties":{"formattedCitation":"(Lloyds Register, 2023)","plainCitation":"(Lloyds Register, 2023)","noteIndex":0},"citationItems":[{"id":53059,"uris":["http://zotero.org/groups/122386/items/KL2RJZJT"],"itemData":{"id":53059,"type":"webpage","abstract":"Compare Nuclear zero carbon fuel solutions and explore recent trends, priorities and readiness levels of Pressurised Water Reactor, Heat pipe and Molten salt nuclear fuels.","language":"en","title":"Nuclear - Compare zero carbon fuels","URL":"https://www.lr.org/en/expertise/maritime-energy-transition/maritime-decarbonisation-hub/zcfm/Nuclear/","author":[{"family":"Lloyds Register","given":""}],"accessed":{"date-parts":[["2023",11,15]]},"issued":{"date-parts":[["2023"]]}}}],"schema":"https://github.com/citation-style-language/schema/raw/master/csl-citation.json"} </w:instrText>
      </w:r>
      <w:r w:rsidR="0021350D" w:rsidRPr="00C66C24">
        <w:rPr>
          <w:rFonts w:ascii="Calibri" w:eastAsia="Calibri" w:hAnsi="Calibri" w:cs="Calibri"/>
        </w:rPr>
        <w:fldChar w:fldCharType="separate"/>
      </w:r>
      <w:r w:rsidR="001A5A7B" w:rsidRPr="00C66C24">
        <w:rPr>
          <w:rFonts w:ascii="Calibri" w:hAnsi="Calibri" w:cs="Calibri"/>
        </w:rPr>
        <w:t>(Lloyds Register, 2023)</w:t>
      </w:r>
      <w:r w:rsidR="0021350D" w:rsidRPr="00C66C24">
        <w:rPr>
          <w:rFonts w:ascii="Calibri" w:eastAsia="Calibri" w:hAnsi="Calibri" w:cs="Calibri"/>
        </w:rPr>
        <w:fldChar w:fldCharType="end"/>
      </w:r>
      <w:r w:rsidRPr="00C66C24">
        <w:rPr>
          <w:rFonts w:ascii="Calibri" w:eastAsia="Calibri" w:hAnsi="Calibri" w:cs="Calibri"/>
        </w:rPr>
        <w:t xml:space="preserve">. Notably, the MSR stands out as the most likely to be implemented. It is a type of reactor developed in the 1950s that is starting to be tested onboard ships due to its small size and modular characteristic when compared with conventional reactors. Furthermore, other characteristics, such as its high efficiency, low waste generation, and more importantly the fact that it operates at low pressures, all improve operational safety. Nevertheless, it is important to note that the temperatures for operation are higher than in other reactors, which may create further operational concerns </w:t>
      </w:r>
      <w:r w:rsidR="00D80269" w:rsidRPr="00C66C24">
        <w:rPr>
          <w:rFonts w:ascii="Calibri" w:eastAsia="Calibri" w:hAnsi="Calibri" w:cs="Calibri"/>
        </w:rPr>
        <w:fldChar w:fldCharType="begin"/>
      </w:r>
      <w:r w:rsidR="00D9530C" w:rsidRPr="00C66C24">
        <w:rPr>
          <w:rFonts w:ascii="Calibri" w:eastAsia="Calibri" w:hAnsi="Calibri" w:cs="Calibri"/>
        </w:rPr>
        <w:instrText xml:space="preserve"> ADDIN ZOTERO_ITEM CSL_CITATION {"citationID":"a14blf875gh","properties":{"formattedCitation":"(ANSTO, 2023; Bhattacharyya et al., 2023)","plainCitation":"(ANSTO, 2023; Bhattacharyya et al., 2023)","noteIndex":0},"citationItems":[{"id":53060,"uris":["http://zotero.org/groups/122386/items/ZGG22TF4"],"itemData":{"id":53060,"type":"webpage","abstract":"Although there are many new designs for molten salt reactors today, the history of the development of molten salt-based reactor systems dates back to the 1950s. The nuclear industry was the first to recognise the potential of molten-salt-based energy-generation systems in the 1950s during the U.S. Aircraft Nuclear Propulsion Program.","language":"en","title":"The evolution of molten salt reactors","URL":"https://www.ansto.gov.au/our-science/nuclear-technologies/reactor-systems/advanced-reactors/evolution-of-molten-salt","author":[{"family":"ANSTO","given":""}],"accessed":{"date-parts":[["2023",11,15]]},"issued":{"date-parts":[["2023"]]}}},{"id":53061,"uris":["http://zotero.org/groups/122386/items/KY52LZI9"],"itemData":{"id":53061,"type":"article-journal","abstract":"The shipping industry is a major enabler of globalization, trade, commerce and human welfare. But it is still heavily served by fossil fuels, which make it one of the foremost greenhouse gas emitting sectors operational today. It is also one of the hardest to abate segments of the transport industry. As part of the economy-wide climate change mitigation and adaptation efforts, it is necessary to consider a low carbon energy transition for this segment as well. This study examines the potential role of nuclear power and cogeneration towards greening this sector and identifies the associated techno-commercial and policy challenges associated with the transition. Quantitative estimates of the economics and investments associated with some of the possible routes are also presented. Alternatives such as nuclear-powered ships along commercial maritime trading routes, ships working on nuclear derived green hydrogen, ammonia or other sustainable power fuels will enable not only decarbonization of the shipping industry but also allow further diversification of the nuclear industry through non-electric applications of nuclear power and new sector coupling opportunities. In the run-up to the UNFCCC–COP28 meeting in 2023 in UAE, nuclear equipped nations heavily engaged in and dependent on maritime trade and commerce should definitely consider nuclear driven decarbonization of shipping and some of the options presented here as part of their climate action strategies.","container-title":"e-Prime - Advances in Electrical Engineering, Electronics and Energy","DOI":"10.1016/j.prime.2023.100132","ISSN":"27726711","journalAbbreviation":"e-Prime - Advances in Electrical Engineering, Electronics and Energy","language":"en","page":"100132","source":"DOI.org (Crossref)","title":"Climate action for the shipping industry: Some perspectives on the role of nuclear power in maritime decarbonization","title-short":"Climate action for the shipping industry","volume":"4","author":[{"family":"Bhattacharyya","given":"Rupsha"},{"family":"El-Emam","given":"Rami S."},{"family":"Khalid","given":"Farrukh"}],"issued":{"date-parts":[["2023",6]]}}}],"schema":"https://github.com/citation-style-language/schema/raw/master/csl-citation.json"} </w:instrText>
      </w:r>
      <w:r w:rsidR="00D80269" w:rsidRPr="00C66C24">
        <w:rPr>
          <w:rFonts w:ascii="Calibri" w:eastAsia="Calibri" w:hAnsi="Calibri" w:cs="Calibri"/>
        </w:rPr>
        <w:fldChar w:fldCharType="separate"/>
      </w:r>
      <w:r w:rsidR="001A5A7B" w:rsidRPr="00C66C24">
        <w:rPr>
          <w:rFonts w:ascii="Calibri" w:hAnsi="Calibri" w:cs="Calibri"/>
        </w:rPr>
        <w:t>(ANSTO, 2023; Bhattacharyya et al., 2023)</w:t>
      </w:r>
      <w:r w:rsidR="00D80269" w:rsidRPr="00C66C24">
        <w:rPr>
          <w:rFonts w:ascii="Calibri" w:eastAsia="Calibri" w:hAnsi="Calibri" w:cs="Calibri"/>
        </w:rPr>
        <w:fldChar w:fldCharType="end"/>
      </w:r>
      <w:r w:rsidRPr="00C66C24">
        <w:rPr>
          <w:rFonts w:ascii="Calibri" w:eastAsia="Calibri" w:hAnsi="Calibri" w:cs="Calibri"/>
        </w:rPr>
        <w:t xml:space="preserve">. Challenges may include high corrosiveness of the molten salts used, elevated operating temperatures and possible damage to materials from high-energy particles created by the fission processes. The major concern of the MSR is the corrosivity of the molten salts as well as its impurities (the selection of materials is very important). </w:t>
      </w:r>
      <w:r w:rsidRPr="00C66C24">
        <w:rPr>
          <w:rStyle w:val="ui-provider"/>
        </w:rPr>
        <w:t xml:space="preserve">Due to the chemical nature of the circulating salts, oxidation of the inner metal surfaces may not occur as in other type of reactor designs, leaving them less protected </w:t>
      </w:r>
      <w:r w:rsidRPr="00C66C24">
        <w:rPr>
          <w:rStyle w:val="ui-provider"/>
        </w:rPr>
        <w:fldChar w:fldCharType="begin"/>
      </w:r>
      <w:r w:rsidRPr="00C66C24">
        <w:rPr>
          <w:rStyle w:val="ui-provider"/>
        </w:rPr>
        <w:instrText xml:space="preserve"> ADDIN ZOTERO_ITEM CSL_CITATION {"citationID":"asomhdmduk","properties":{"formattedCitation":"(Calderoni &amp; Cabet, 2012; Roper et al., 2022)","plainCitation":"(Calderoni &amp; Cabet, 2012; Roper et al., 2022)","noteIndex":0},"citationItems":[{"id":53633,"uris":["http://zotero.org/groups/122386/items/LFHLXDLX"],"itemData":{"id":53633,"type":"chapter","abstract":"This chapter discusses corrosion phenomena in nuclear system employing molten salts as liquid fuel or coolant material. First, molten salt reactor concepts are reviewed, along with a brief historical perspective on their development. The physical and chemical phenomena involved in the corrosion process in molten salt media are then described. The references on corrosion data available from systems operation and R&amp;D activities are then discussed in detail, along with quantitative and phenomenological observation. Finally, monitoring methods are discussed along with the limited information on corrosion control and lifetime prediction based on the limited experience available.","container-title":"Nuclear Corrosion Science and Engineering","ISBN":"978-1-84569-765-5","language":"en","note":"DOI: 10.1533/9780857095343.6.842","page":"842-865","publisher":"Elsevier","source":"DOI.org (Crossref)","title":"Corrosion issues in molten salt reactor (MSR) systems","URL":"https://linkinghub.elsevier.com/retrieve/pii/B9781845697655500238","author":[{"family":"Calderoni","given":"P."},{"family":"Cabet","given":"C."}],"accessed":{"date-parts":[["2023",11,21]]},"issued":{"date-parts":[["2012"]]}}},{"id":53639,"uris":["http://zotero.org/groups/122386/items/RIXKQ4CX"],"itemData":{"id":53639,"type":"article-journal","abstract":"The primary uses of molten salt in energy technologies are in power production and energy storage. Salts remain a single-phase liquid even at very high temperatures and atmospheric pressure, which makes molten salt well-suited to advanced energy technologies, such as molten salt reactors, or hybrid energy systems. The molten salt cooled reactor is an advanced nuclear reactor concept that utilizes molten salt as either a coolant for solid fuel or as a fuel salt. The liquid phase provides orders of magnitude higher heat capacity per cubic meter than the gas phase. This, coupled with the low-pressure environment required to maintain the liquid phase, provides significant advantages in terms of compact-sized systems constructed with relatively thin walls. The heat from a heat-generating process is transferred to a heat transfer media and can be extracted later using a secondary power cycle. There are several types of facilities that use thermal energy storage with molten salts, such as concentrated solar power plants (CSP plants) or nuclear hybrid energy systems (NHES). A CSP plant is a power production facility that uses a broad array of reflectors or lenses to concentrate solar energy onto a small receiver. Since molten salt remains in the liquid phase, it has excellent heat retention properties, meaning heat from a solar-generation process can be stored for an extended period for later use. A Nuclear Hybrid Energy System (NHES) refers to several energy systems combined to generate energy more efficiently, such as nuclear reactors, renewable energy sources, process heat applications, and energy storage. The selection of a salt type for a nuclear reactor or a thermal storage system requires careful consideration of the chemical and thermodynamic properties of the candidate salts. Different energy technologies will require different salt types, based on temperature and fluid property requirements. Fluoride salts are often the primary candidate salts for nuclear reactor systems. Chloride salts are another category of candidate salt that have been considered for power production because chloride salts often exhibit similar behavior to fluoride salts. Nitrate-nitrite salts contain NO3 and NO2 and are used in solar applications. As with other nuclear reactors, molten salt systems involve radiological and chemistry challenges, including tritium production and corrosion. Tritium production can be problematic in a reactor system because it can be a hazard to human operators. Tritium is difficult to contain; therefore, the production of tritium must be minimized. Corrosion of structural materials is also an area requiring further study in molten salt systems. Corrosion in a molten salt system differs from standard nuclear reactor systems due to the lack of a passive oxide film on the surface of structural materials, making it necessary to mitigate corrosion by either purifying the salt, controlling its redox potential in a reducing state, or using redox buffers. Additionally, since molten salt reactors are constructed with much thinner structural members due to low-pressure loads, reducing reactor operating lifetime and/or marginally increasing the structural thickness to provide additional corrosion allowance may be acceptable design approaches. The behavior of volatile fission products in Fluoride and Chloride salts is also a consideration due to the volatility of insoluble fission products that precipitate and plate out on surfaces affecting thermal hydraulic parameters. Fission products such as cesium (Cs), iodine (I), strontium (Sr) and other salt seekers, have a complexing nature with fluoride (F) and iodine (I) and their behavior in molten salt reactors will have to be addressed. Molten salt reactors present a particular challenge for recycling fission products including solubility, volatility, and precipitation behavior, and how the fission products change the corrosivity of the salt melt. Current nuclear fuel recycling technology will not accommodate molten salt streams and will need to be redesigned. New molten salt recycling designs and chemistry will ultimately need to be applied to a variety of fluoride and chloride salts mixtures. All thermal energy facilities either utilize the heat energy produced directly, such as space or process heating, or convert a portion of the heat energy to some other energy form such as electricity. The energy conversion cycles utilized in most (if not all) other types of base-load power plants (e.g., coal-fired power plants, gas-fired power plants, and nuclear power plants) are the Rankine and Brayton power conversion cycles. MSRs are also coupled with both Rankine and Brayton power-conversion cycles to transform heat into other energy forms. The feasibility for cycle coupling with MSRs depends on a variety of factors; two of the more important factors are technology readiness level (TRL) and efficiency. The application of existing steam cycle designs will likely require modifications to equipment. Steam generators and reheaters will present a particular problem in accommodating the molten salt. The adaptation of the plant to the molten salt reactor will require trade studies to obtain information necessary for further design.","container-title":"Annals of Nuclear Energy","DOI":"https://doi.org/10.1016/j.anucene.2021.108924","ISSN":"0306-4549","page":"108924","title":"Molten salt for advanced energy applications: A review","volume":"169","author":[{"family":"Roper","given":"Robin"},{"family":"Harkema","given":"Megan"},{"family":"Sabharwall","given":"Piyush"},{"family":"Riddle","given":"Catherine"},{"family":"Chisholm","given":"Brandon"},{"family":"Day","given":"Brandon"},{"family":"Marotta","given":"Paul"}],"issued":{"date-parts":[["2022"]]}}}],"schema":"https://github.com/citation-style-language/schema/raw/master/csl-citation.json"} </w:instrText>
      </w:r>
      <w:r w:rsidRPr="00C66C24">
        <w:rPr>
          <w:rStyle w:val="ui-provider"/>
        </w:rPr>
        <w:fldChar w:fldCharType="separate"/>
      </w:r>
      <w:r w:rsidRPr="00C66C24">
        <w:rPr>
          <w:rFonts w:ascii="Calibri" w:hAnsi="Calibri" w:cs="Calibri"/>
        </w:rPr>
        <w:t>(</w:t>
      </w:r>
      <w:proofErr w:type="spellStart"/>
      <w:r w:rsidRPr="00C66C24">
        <w:rPr>
          <w:rFonts w:ascii="Calibri" w:hAnsi="Calibri" w:cs="Calibri"/>
        </w:rPr>
        <w:t>Calderoni</w:t>
      </w:r>
      <w:proofErr w:type="spellEnd"/>
      <w:r w:rsidRPr="00C66C24">
        <w:rPr>
          <w:rFonts w:ascii="Calibri" w:hAnsi="Calibri" w:cs="Calibri"/>
        </w:rPr>
        <w:t xml:space="preserve"> &amp; </w:t>
      </w:r>
      <w:proofErr w:type="spellStart"/>
      <w:r w:rsidRPr="00C66C24">
        <w:rPr>
          <w:rFonts w:ascii="Calibri" w:hAnsi="Calibri" w:cs="Calibri"/>
        </w:rPr>
        <w:t>Cabet</w:t>
      </w:r>
      <w:proofErr w:type="spellEnd"/>
      <w:r w:rsidRPr="00C66C24">
        <w:rPr>
          <w:rFonts w:ascii="Calibri" w:hAnsi="Calibri" w:cs="Calibri"/>
        </w:rPr>
        <w:t>, 2012; Roper et al., 2022)</w:t>
      </w:r>
      <w:r w:rsidRPr="00C66C24">
        <w:rPr>
          <w:rStyle w:val="ui-provider"/>
        </w:rPr>
        <w:fldChar w:fldCharType="end"/>
      </w:r>
      <w:r w:rsidRPr="00C66C24">
        <w:rPr>
          <w:rFonts w:ascii="Calibri" w:eastAsia="Calibri" w:hAnsi="Calibri" w:cs="Calibri"/>
        </w:rPr>
        <w:t>. Training and regulation are other main topics of discussion in the sphere of nuclear power onboard ships.</w:t>
      </w:r>
    </w:p>
    <w:p w14:paraId="1AAD437D" w14:textId="640BABB1" w:rsidR="00C04ECD" w:rsidRPr="00C66C24" w:rsidRDefault="00C04ECD" w:rsidP="008C6A9C">
      <w:pPr>
        <w:pStyle w:val="Heading3"/>
        <w:spacing w:line="257" w:lineRule="auto"/>
      </w:pPr>
      <w:bookmarkStart w:id="229" w:name="_Toc157762098"/>
      <w:r w:rsidRPr="00C66C24">
        <w:t>Carbon capture</w:t>
      </w:r>
      <w:r w:rsidR="0095538A" w:rsidRPr="00C66C24">
        <w:t xml:space="preserve"> and storage</w:t>
      </w:r>
      <w:bookmarkEnd w:id="229"/>
    </w:p>
    <w:p w14:paraId="7BCA0BFA" w14:textId="6C908E75" w:rsidR="00C04ECD" w:rsidRPr="00C66C24" w:rsidRDefault="00C04ECD" w:rsidP="008C6A9C">
      <w:pPr>
        <w:spacing w:before="0" w:after="0" w:line="257" w:lineRule="auto"/>
        <w:rPr>
          <w:rFonts w:ascii="Calibri" w:eastAsia="Calibri" w:hAnsi="Calibri" w:cs="Calibri"/>
        </w:rPr>
      </w:pPr>
      <w:r w:rsidRPr="00C66C24">
        <w:rPr>
          <w:rFonts w:ascii="Calibri" w:eastAsia="Calibri" w:hAnsi="Calibri" w:cs="Calibri"/>
        </w:rPr>
        <w:t>Carbon capture and storage (CCS) technology is currently being examined as an alternative or current solution, in the absence of mature applications for clean fuels as well as the uncertainty over whether the demand could be met. CCS technology refers to the capture, separation of CO</w:t>
      </w:r>
      <w:r w:rsidRPr="00C66C24">
        <w:rPr>
          <w:rFonts w:ascii="Calibri" w:eastAsia="Calibri" w:hAnsi="Calibri" w:cs="Calibri"/>
          <w:vertAlign w:val="subscript"/>
        </w:rPr>
        <w:t>2</w:t>
      </w:r>
      <w:r w:rsidRPr="00C66C24">
        <w:rPr>
          <w:rFonts w:ascii="Calibri" w:eastAsia="Calibri" w:hAnsi="Calibri" w:cs="Calibri"/>
        </w:rPr>
        <w:t xml:space="preserve"> from various sources and the conversion into other substances for further use or transport. Particularly, CO</w:t>
      </w:r>
      <w:r w:rsidRPr="00C66C24">
        <w:rPr>
          <w:rFonts w:ascii="Calibri" w:eastAsia="Calibri" w:hAnsi="Calibri" w:cs="Calibri"/>
          <w:vertAlign w:val="subscript"/>
        </w:rPr>
        <w:t>2</w:t>
      </w:r>
      <w:r w:rsidRPr="00C66C24">
        <w:rPr>
          <w:rFonts w:ascii="Calibri" w:eastAsia="Calibri" w:hAnsi="Calibri" w:cs="Calibri"/>
        </w:rPr>
        <w:t xml:space="preserve"> is collected, purified</w:t>
      </w:r>
      <w:r w:rsidR="00726219" w:rsidRPr="00C66C24">
        <w:rPr>
          <w:rFonts w:ascii="Calibri" w:eastAsia="Calibri" w:hAnsi="Calibri" w:cs="Calibri"/>
        </w:rPr>
        <w:t>,</w:t>
      </w:r>
      <w:r w:rsidRPr="00C66C24">
        <w:rPr>
          <w:rFonts w:ascii="Calibri" w:eastAsia="Calibri" w:hAnsi="Calibri" w:cs="Calibri"/>
        </w:rPr>
        <w:t xml:space="preserve"> and used as </w:t>
      </w:r>
      <w:r w:rsidR="007C04BF" w:rsidRPr="00C66C24">
        <w:rPr>
          <w:rFonts w:ascii="Calibri" w:eastAsia="Calibri" w:hAnsi="Calibri" w:cs="Calibri"/>
        </w:rPr>
        <w:t xml:space="preserve">a </w:t>
      </w:r>
      <w:r w:rsidRPr="00C66C24">
        <w:rPr>
          <w:rFonts w:ascii="Calibri" w:eastAsia="Calibri" w:hAnsi="Calibri" w:cs="Calibri"/>
        </w:rPr>
        <w:t xml:space="preserve">raw material in other industries or permanently stored under the land or ocean bottom </w:t>
      </w:r>
      <w:r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{"citationID":"agt6oq4duh","properties":{"formattedCitation":"(Wang et al., 2022)","plainCitation":"(Wang et al., 2022)","noteIndex":0},"citationItems":[{"id":59281,"uris":["http://zotero.org/groups/122386/items/7UCKSVLW"],"itemData":{"id":59281,"type":"article-journal","container-title":"Separation and Purification Technology","DOI":"10.1016/j.seppur.2022.121390","ISSN":"13835866","journalAbbreviation":"Separation and Purification Technology","language":"en","page":"121390","source":"DOI.org (Crossref)","title":"Ion exchange membrane related processes towards carbon capture, utilization and storage: Current trends and perspectives","title-short":"Ion exchange membrane related processes towards carbon capture, utilization and storage","volume":"296","author":[{"family":"Wang","given":"Huangying"},{"family":"Yan","given":"Junying"},{"family":"Song","given":"Wanjie"},{"family":"Jiang","given":"Chenxiao"},{"family":"Wang","given":"Yaoming"},{"family":"Xu","given":"Tongwen"}],"issued":{"date-parts":[["2022",9]]}}}],"schema":"https://github.com/citation-style-language/schema/raw/master/csl-citation.json"} </w:instrText>
      </w:r>
      <w:r w:rsidRPr="00C66C24">
        <w:rPr>
          <w:rFonts w:ascii="Calibri" w:eastAsia="Calibri" w:hAnsi="Calibri" w:cs="Calibri"/>
        </w:rPr>
        <w:fldChar w:fldCharType="separate"/>
      </w:r>
      <w:r w:rsidR="001855E3" w:rsidRPr="00C66C24">
        <w:rPr>
          <w:rFonts w:ascii="Calibri" w:hAnsi="Calibri" w:cs="Calibri"/>
        </w:rPr>
        <w:t>(Wang et al., 2022)</w:t>
      </w:r>
      <w:r w:rsidRPr="00C66C24">
        <w:rPr>
          <w:rFonts w:ascii="Calibri" w:eastAsia="Calibri" w:hAnsi="Calibri" w:cs="Calibri"/>
        </w:rPr>
        <w:fldChar w:fldCharType="end"/>
      </w:r>
      <w:r w:rsidRPr="00C66C24">
        <w:rPr>
          <w:rFonts w:ascii="Calibri" w:eastAsia="Calibri" w:hAnsi="Calibri" w:cs="Calibri"/>
        </w:rPr>
        <w:t xml:space="preserve">. </w:t>
      </w:r>
      <w:r w:rsidR="007C04BF" w:rsidRPr="00C66C24">
        <w:rPr>
          <w:rFonts w:ascii="Calibri" w:eastAsia="Calibri" w:hAnsi="Calibri" w:cs="Calibri"/>
        </w:rPr>
        <w:t>Currently</w:t>
      </w:r>
      <w:r w:rsidRPr="00C66C24">
        <w:rPr>
          <w:rFonts w:ascii="Calibri" w:eastAsia="Calibri" w:hAnsi="Calibri" w:cs="Calibri"/>
        </w:rPr>
        <w:t>, research on carbon capture and storage mainly focuses on thermal power generation, coal chemical industry</w:t>
      </w:r>
      <w:r w:rsidR="004C5198" w:rsidRPr="00C66C24">
        <w:rPr>
          <w:rFonts w:ascii="Calibri" w:eastAsia="Calibri" w:hAnsi="Calibri" w:cs="Calibri"/>
        </w:rPr>
        <w:t>,</w:t>
      </w:r>
      <w:r w:rsidRPr="00C66C24">
        <w:rPr>
          <w:rFonts w:ascii="Calibri" w:eastAsia="Calibri" w:hAnsi="Calibri" w:cs="Calibri"/>
        </w:rPr>
        <w:t xml:space="preserve"> and cement production, while there are few studies on carbon capture based on the shipping industry </w:t>
      </w:r>
      <w:r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{"citationID":"a2pm363d15b","properties":{"formattedCitation":"(Hua et al., 2023)","plainCitation":"(Hua et al., 2023)","noteIndex":0},"citationItems":[{"id":59282,"uris":["http://zotero.org/groups/122386/items/58XPYDYF"],"itemData":{"id":59282,"type":"article-journal","container-title":"Ocean Engineering","DOI":"10.1016/j.oceaneng.2023.114929","ISSN":"00298018","journalAbbreviation":"Ocean Engineering","language":"en","page":"114929","source":"DOI.org (Crossref)","title":"Research progress of carbon capture and storage (CCS) technology based on the shipping industry","volume":"281","author":[{"family":"Hua","given":"Weisan"},{"family":"Sha","given":"Yishun"},{"family":"Zhang","given":"Xuelai"},{"family":"Cao","given":"Hongfen"}],"issued":{"date-parts":[["2023",8]]}}}],"schema":"https://github.com/citation-style-language/schema/raw/master/csl-citation.json"} </w:instrText>
      </w:r>
      <w:r w:rsidRPr="00C66C24">
        <w:rPr>
          <w:rFonts w:ascii="Calibri" w:eastAsia="Calibri" w:hAnsi="Calibri" w:cs="Calibri"/>
        </w:rPr>
        <w:fldChar w:fldCharType="separate"/>
      </w:r>
      <w:r w:rsidR="001855E3" w:rsidRPr="00C66C24">
        <w:rPr>
          <w:rFonts w:ascii="Calibri" w:hAnsi="Calibri" w:cs="Calibri"/>
        </w:rPr>
        <w:t>(Hua et al., 2023)</w:t>
      </w:r>
      <w:r w:rsidRPr="00C66C24">
        <w:rPr>
          <w:rFonts w:ascii="Calibri" w:eastAsia="Calibri" w:hAnsi="Calibri" w:cs="Calibri"/>
        </w:rPr>
        <w:fldChar w:fldCharType="end"/>
      </w:r>
      <w:r w:rsidRPr="00C66C24">
        <w:rPr>
          <w:rFonts w:ascii="Calibri" w:eastAsia="Calibri" w:hAnsi="Calibri" w:cs="Calibri"/>
        </w:rPr>
        <w:t>. The uniqueness of CCS for the shipping industry results from the fact that there is limited space to utili</w:t>
      </w:r>
      <w:r w:rsidR="00961E2A" w:rsidRPr="00C66C24">
        <w:rPr>
          <w:rFonts w:ascii="Calibri" w:eastAsia="Calibri" w:hAnsi="Calibri" w:cs="Calibri"/>
        </w:rPr>
        <w:t>s</w:t>
      </w:r>
      <w:r w:rsidRPr="00C66C24">
        <w:rPr>
          <w:rFonts w:ascii="Calibri" w:eastAsia="Calibri" w:hAnsi="Calibri" w:cs="Calibri"/>
        </w:rPr>
        <w:t>e on board the ship. Furthermore, the design and placing of the CO</w:t>
      </w:r>
      <w:r w:rsidRPr="00C66C24">
        <w:rPr>
          <w:rFonts w:ascii="Calibri" w:eastAsia="Calibri" w:hAnsi="Calibri" w:cs="Calibri"/>
          <w:vertAlign w:val="subscript"/>
        </w:rPr>
        <w:t>2</w:t>
      </w:r>
      <w:r w:rsidRPr="00C66C24">
        <w:rPr>
          <w:rFonts w:ascii="Calibri" w:eastAsia="Calibri" w:hAnsi="Calibri" w:cs="Calibri"/>
        </w:rPr>
        <w:t xml:space="preserve"> storage tank on board the vessel must be taken into consideration as well as the ship characteristics (power limitations, operational patterns, etc.). </w:t>
      </w:r>
      <w:r w:rsidR="00463AEB" w:rsidRPr="00C66C24">
        <w:rPr>
          <w:rFonts w:ascii="Calibri" w:eastAsia="Calibri" w:hAnsi="Calibri" w:cs="Calibri"/>
        </w:rPr>
        <w:t>Stability issues may</w:t>
      </w:r>
      <w:r w:rsidR="00867BFC" w:rsidRPr="00C66C24">
        <w:rPr>
          <w:rFonts w:ascii="Calibri" w:eastAsia="Calibri" w:hAnsi="Calibri" w:cs="Calibri"/>
        </w:rPr>
        <w:t xml:space="preserve"> also arise </w:t>
      </w:r>
      <w:r w:rsidR="006B0A3C" w:rsidRPr="00C66C24">
        <w:rPr>
          <w:rFonts w:ascii="Calibri" w:eastAsia="Calibri" w:hAnsi="Calibri" w:cs="Calibri"/>
        </w:rPr>
        <w:t xml:space="preserve">due to </w:t>
      </w:r>
      <w:r w:rsidRPr="00C66C24">
        <w:rPr>
          <w:rFonts w:ascii="Calibri" w:eastAsia="Calibri" w:hAnsi="Calibri" w:cs="Calibri"/>
        </w:rPr>
        <w:t>ship</w:t>
      </w:r>
      <w:r w:rsidR="006B0A3C" w:rsidRPr="00C66C24">
        <w:rPr>
          <w:rFonts w:ascii="Calibri" w:eastAsia="Calibri" w:hAnsi="Calibri" w:cs="Calibri"/>
        </w:rPr>
        <w:t>s</w:t>
      </w:r>
      <w:r w:rsidRPr="00C66C24">
        <w:rPr>
          <w:rFonts w:ascii="Calibri" w:eastAsia="Calibri" w:hAnsi="Calibri" w:cs="Calibri"/>
        </w:rPr>
        <w:t xml:space="preserve">’ nature of constantly sailing offshore. </w:t>
      </w:r>
    </w:p>
    <w:p w14:paraId="113A6026" w14:textId="68EC9447" w:rsidR="00C04ECD" w:rsidRPr="00C66C24" w:rsidRDefault="00C04ECD" w:rsidP="008C6A9C">
      <w:pPr>
        <w:spacing w:before="0" w:after="0" w:line="257" w:lineRule="auto"/>
        <w:rPr>
          <w:rFonts w:ascii="Calibri" w:eastAsia="Calibri" w:hAnsi="Calibri" w:cs="Calibri"/>
        </w:rPr>
      </w:pPr>
      <w:r w:rsidRPr="00C66C24">
        <w:rPr>
          <w:rFonts w:ascii="Calibri" w:eastAsia="Calibri" w:hAnsi="Calibri" w:cs="Calibri"/>
        </w:rPr>
        <w:t>Another relevant issue relates to the transport of CO</w:t>
      </w:r>
      <w:r w:rsidRPr="00C66C24">
        <w:rPr>
          <w:rFonts w:ascii="Calibri" w:eastAsia="Calibri" w:hAnsi="Calibri" w:cs="Calibri"/>
          <w:vertAlign w:val="subscript"/>
        </w:rPr>
        <w:t>2</w:t>
      </w:r>
      <w:r w:rsidRPr="00C66C24">
        <w:rPr>
          <w:rFonts w:ascii="Calibri" w:eastAsia="Calibri" w:hAnsi="Calibri" w:cs="Calibri"/>
        </w:rPr>
        <w:t xml:space="preserve"> captured to the place of use or storage by the shipping sector, which may require a speciali</w:t>
      </w:r>
      <w:r w:rsidR="00A22AB2" w:rsidRPr="00C66C24">
        <w:rPr>
          <w:rFonts w:ascii="Calibri" w:eastAsia="Calibri" w:hAnsi="Calibri" w:cs="Calibri"/>
        </w:rPr>
        <w:t>s</w:t>
      </w:r>
      <w:r w:rsidRPr="00C66C24">
        <w:rPr>
          <w:rFonts w:ascii="Calibri" w:eastAsia="Calibri" w:hAnsi="Calibri" w:cs="Calibri"/>
        </w:rPr>
        <w:t>ed fleet. CO</w:t>
      </w:r>
      <w:r w:rsidRPr="00C66C24">
        <w:rPr>
          <w:rFonts w:ascii="Calibri" w:eastAsia="Calibri" w:hAnsi="Calibri" w:cs="Calibri"/>
          <w:vertAlign w:val="subscript"/>
        </w:rPr>
        <w:t>2</w:t>
      </w:r>
      <w:r w:rsidRPr="00C66C24">
        <w:rPr>
          <w:rFonts w:ascii="Calibri" w:eastAsia="Calibri" w:hAnsi="Calibri" w:cs="Calibri"/>
        </w:rPr>
        <w:t xml:space="preserve"> is liquefied and stored in tanks before being loaded onto ships for transport. Ships transporting CO</w:t>
      </w:r>
      <w:r w:rsidRPr="00C66C24">
        <w:rPr>
          <w:rFonts w:ascii="Calibri" w:eastAsia="Calibri" w:hAnsi="Calibri" w:cs="Calibri"/>
          <w:vertAlign w:val="subscript"/>
        </w:rPr>
        <w:t>2</w:t>
      </w:r>
      <w:r w:rsidRPr="00C66C24">
        <w:rPr>
          <w:rFonts w:ascii="Calibri" w:eastAsia="Calibri" w:hAnsi="Calibri" w:cs="Calibri"/>
        </w:rPr>
        <w:t xml:space="preserve"> can adopt a semi-refrigerated type, in which the optimal pressure of the storage tank should reach 1.5 MPa and the temperature should be about − 27 </w:t>
      </w:r>
      <w:r w:rsidR="00744775" w:rsidRPr="00C66C24">
        <w:rPr>
          <w:rFonts w:ascii="Calibri" w:eastAsia="Calibri" w:hAnsi="Calibri" w:cs="Calibri"/>
        </w:rPr>
        <w:t>°C</w:t>
      </w:r>
      <w:r w:rsidRPr="00C66C24">
        <w:rPr>
          <w:rFonts w:ascii="Calibri" w:eastAsia="Calibri" w:hAnsi="Calibri" w:cs="Calibri"/>
        </w:rPr>
        <w:t xml:space="preserve"> </w:t>
      </w:r>
      <w:r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{"citationID":"a25d5q7osgq","properties":{"formattedCitation":"(Seo et al., 2016)","plainCitation":"(Seo et al., 2016)","noteIndex":0},"citationItems":[{"id":59283,"uris":["http://zotero.org/groups/122386/items/6G68GRBN"],"itemData":{"id":59283,"type":"article-journal","container-title":"International Journal of Greenhouse Gas Control","DOI":"10.1016/j.ijggc.2016.06.011","ISSN":"17505836","journalAbbreviation":"International Journal of Greenhouse Gas Control","language":"en","page":"1-12","source":"DOI.org (Crossref)","title":"Comparison of CO2 liquefaction pressures for ship-based carbon capture and storage (CCS) chain","volume":"52","author":[{"family":"Seo","given":"Youngkyun"},{"family":"Huh","given":"Cheol"},{"family":"Lee","given":"Sangick"},{"family":"Chang","given":"Daejun"}],"issued":{"date-parts":[["2016",9]]}}}],"schema":"https://github.com/citation-style-language/schema/raw/master/csl-citation.json"} </w:instrText>
      </w:r>
      <w:r w:rsidRPr="00C66C24">
        <w:rPr>
          <w:rFonts w:ascii="Calibri" w:eastAsia="Calibri" w:hAnsi="Calibri" w:cs="Calibri"/>
        </w:rPr>
        <w:fldChar w:fldCharType="separate"/>
      </w:r>
      <w:r w:rsidR="001855E3" w:rsidRPr="00C66C24">
        <w:rPr>
          <w:rFonts w:ascii="Calibri" w:hAnsi="Calibri" w:cs="Calibri"/>
        </w:rPr>
        <w:t>(</w:t>
      </w:r>
      <w:proofErr w:type="spellStart"/>
      <w:r w:rsidR="001855E3" w:rsidRPr="00C66C24">
        <w:rPr>
          <w:rFonts w:ascii="Calibri" w:hAnsi="Calibri" w:cs="Calibri"/>
        </w:rPr>
        <w:t>Seo</w:t>
      </w:r>
      <w:proofErr w:type="spellEnd"/>
      <w:r w:rsidR="001855E3" w:rsidRPr="00C66C24">
        <w:rPr>
          <w:rFonts w:ascii="Calibri" w:hAnsi="Calibri" w:cs="Calibri"/>
        </w:rPr>
        <w:t xml:space="preserve"> et al., 2016)</w:t>
      </w:r>
      <w:r w:rsidRPr="00C66C24">
        <w:rPr>
          <w:rFonts w:ascii="Calibri" w:eastAsia="Calibri" w:hAnsi="Calibri" w:cs="Calibri"/>
        </w:rPr>
        <w:fldChar w:fldCharType="end"/>
      </w:r>
      <w:r w:rsidRPr="00C66C24">
        <w:rPr>
          <w:rFonts w:ascii="Calibri" w:eastAsia="Calibri" w:hAnsi="Calibri" w:cs="Calibri"/>
        </w:rPr>
        <w:t>. Currently, there are only four ships transporting CO</w:t>
      </w:r>
      <w:r w:rsidRPr="00C66C24">
        <w:rPr>
          <w:rFonts w:ascii="Calibri" w:eastAsia="Calibri" w:hAnsi="Calibri" w:cs="Calibri"/>
          <w:vertAlign w:val="subscript"/>
        </w:rPr>
        <w:t>2</w:t>
      </w:r>
      <w:r w:rsidRPr="00C66C24">
        <w:rPr>
          <w:rFonts w:ascii="Calibri" w:eastAsia="Calibri" w:hAnsi="Calibri" w:cs="Calibri"/>
        </w:rPr>
        <w:t xml:space="preserve"> globally, mainly serving the food processing and beverage. Although the technology is mature and has been practiced for more than 30 years, the scale is not large, with only 3 Mt</w:t>
      </w:r>
      <w:r w:rsidR="006F5E8B" w:rsidRPr="00C66C24">
        <w:rPr>
          <w:rFonts w:ascii="Calibri" w:eastAsia="Calibri" w:hAnsi="Calibri" w:cs="Calibri"/>
        </w:rPr>
        <w:t xml:space="preserve"> CO</w:t>
      </w:r>
      <w:r w:rsidR="006F5E8B" w:rsidRPr="00C66C24">
        <w:rPr>
          <w:rFonts w:ascii="Calibri" w:eastAsia="Calibri" w:hAnsi="Calibri" w:cs="Calibri"/>
          <w:vertAlign w:val="subscript"/>
        </w:rPr>
        <w:t>2</w:t>
      </w:r>
      <w:r w:rsidRPr="00C66C24">
        <w:rPr>
          <w:rFonts w:ascii="Calibri" w:eastAsia="Calibri" w:hAnsi="Calibri" w:cs="Calibri"/>
        </w:rPr>
        <w:t xml:space="preserve"> transported every year. Existing small CO</w:t>
      </w:r>
      <w:r w:rsidRPr="00C66C24">
        <w:rPr>
          <w:rFonts w:ascii="Calibri" w:eastAsia="Calibri" w:hAnsi="Calibri" w:cs="Calibri"/>
          <w:vertAlign w:val="subscript"/>
        </w:rPr>
        <w:t>2</w:t>
      </w:r>
      <w:r w:rsidRPr="00C66C24">
        <w:rPr>
          <w:rFonts w:ascii="Calibri" w:eastAsia="Calibri" w:hAnsi="Calibri" w:cs="Calibri"/>
        </w:rPr>
        <w:t xml:space="preserve"> transportation ships have a capacity of about 850-1,400 tons, which cannot meet the needs of large-scale CCS applications </w:t>
      </w:r>
      <w:r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{"citationID":"auvic187ki","properties":{"formattedCitation":"(Hua et al., 2023)","plainCitation":"(Hua et al., 2023)","noteIndex":0},"citationItems":[{"id":59282,"uris":["http://zotero.org/groups/122386/items/58XPYDYF"],"itemData":{"id":59282,"type":"article-journal","container-title":"Ocean Engineering","DOI":"10.1016/j.oceaneng.2023.114929","ISSN":"00298018","journalAbbreviation":"Ocean Engineering","language":"en","page":"114929","source":"DOI.org (Crossref)","title":"Research progress of carbon capture and storage (CCS) technology based on the shipping industry","volume":"281","author":[{"family":"Hua","given":"Weisan"},{"family":"Sha","given":"Yishun"},{"family":"Zhang","given":"Xuelai"},{"family":"Cao","given":"Hongfen"}],"issued":{"date-parts":[["2023",8]]}}}],"schema":"https://github.com/citation-style-language/schema/raw/master/csl-citation.json"} </w:instrText>
      </w:r>
      <w:r w:rsidRPr="00C66C24">
        <w:rPr>
          <w:rFonts w:ascii="Calibri" w:eastAsia="Calibri" w:hAnsi="Calibri" w:cs="Calibri"/>
        </w:rPr>
        <w:fldChar w:fldCharType="separate"/>
      </w:r>
      <w:r w:rsidR="001855E3" w:rsidRPr="00C66C24">
        <w:rPr>
          <w:rFonts w:ascii="Calibri" w:hAnsi="Calibri" w:cs="Calibri"/>
        </w:rPr>
        <w:t>(Hua et al., 2023)</w:t>
      </w:r>
      <w:r w:rsidRPr="00C66C24">
        <w:rPr>
          <w:rFonts w:ascii="Calibri" w:eastAsia="Calibri" w:hAnsi="Calibri" w:cs="Calibri"/>
        </w:rPr>
        <w:fldChar w:fldCharType="end"/>
      </w:r>
      <w:r w:rsidRPr="00C66C24">
        <w:rPr>
          <w:rFonts w:ascii="Calibri" w:eastAsia="Calibri" w:hAnsi="Calibri" w:cs="Calibri"/>
        </w:rPr>
        <w:t>. There are currently no large ships suitable for CO</w:t>
      </w:r>
      <w:r w:rsidRPr="00C66C24">
        <w:rPr>
          <w:rFonts w:ascii="Calibri" w:eastAsia="Calibri" w:hAnsi="Calibri" w:cs="Calibri"/>
          <w:vertAlign w:val="subscript"/>
        </w:rPr>
        <w:t>2</w:t>
      </w:r>
      <w:r w:rsidRPr="00C66C24">
        <w:rPr>
          <w:rFonts w:ascii="Calibri" w:eastAsia="Calibri" w:hAnsi="Calibri" w:cs="Calibri"/>
        </w:rPr>
        <w:t xml:space="preserve"> transportation. However, considering that CO</w:t>
      </w:r>
      <w:r w:rsidRPr="00C66C24">
        <w:rPr>
          <w:rFonts w:ascii="Calibri" w:eastAsia="Calibri" w:hAnsi="Calibri" w:cs="Calibri"/>
          <w:vertAlign w:val="subscript"/>
        </w:rPr>
        <w:t>2</w:t>
      </w:r>
      <w:r w:rsidRPr="00C66C24">
        <w:rPr>
          <w:rFonts w:ascii="Calibri" w:eastAsia="Calibri" w:hAnsi="Calibri" w:cs="Calibri"/>
        </w:rPr>
        <w:t xml:space="preserve"> would have similar characteristics to LNG and LPG, it would be safe to say that LPG and LNG carriers could be considered suitable for CO</w:t>
      </w:r>
      <w:r w:rsidRPr="00C66C24">
        <w:rPr>
          <w:rFonts w:ascii="Calibri" w:eastAsia="Calibri" w:hAnsi="Calibri" w:cs="Calibri"/>
          <w:vertAlign w:val="subscript"/>
        </w:rPr>
        <w:t>2</w:t>
      </w:r>
      <w:r w:rsidRPr="00C66C24">
        <w:rPr>
          <w:rFonts w:ascii="Calibri" w:eastAsia="Calibri" w:hAnsi="Calibri" w:cs="Calibri"/>
        </w:rPr>
        <w:t xml:space="preserve"> transportation. It is estimated that the capacity of CO</w:t>
      </w:r>
      <w:r w:rsidRPr="00C66C24">
        <w:rPr>
          <w:rFonts w:ascii="Calibri" w:eastAsia="Calibri" w:hAnsi="Calibri" w:cs="Calibri"/>
          <w:vertAlign w:val="subscript"/>
        </w:rPr>
        <w:t>2</w:t>
      </w:r>
      <w:r w:rsidRPr="00C66C24">
        <w:rPr>
          <w:rFonts w:ascii="Calibri" w:eastAsia="Calibri" w:hAnsi="Calibri" w:cs="Calibri"/>
        </w:rPr>
        <w:t xml:space="preserve"> transportation by a single ship can reach 10,000–100,000 tonnes </w:t>
      </w:r>
      <w:r w:rsidRPr="00C66C24">
        <w:rPr>
          <w:rFonts w:ascii="Calibri" w:eastAsia="Calibri" w:hAnsi="Calibri" w:cs="Calibri"/>
        </w:rPr>
        <w:fldChar w:fldCharType="begin"/>
      </w:r>
      <w:r w:rsidR="001855E3" w:rsidRPr="00C66C24">
        <w:rPr>
          <w:rFonts w:ascii="Calibri" w:eastAsia="Calibri" w:hAnsi="Calibri" w:cs="Calibri"/>
        </w:rPr>
        <w:instrText xml:space="preserve"> ADDIN ZOTERO_ITEM CSL_CITATION {"citationID":"ahcd7rbbfg","properties":{"formattedCitation":"(Brownsort, 2015)","plainCitation":"(Brownsort, 2015)","noteIndex":0},"citationItems":[{"id":59284,"uris":["http://zotero.org/groups/122386/items/SDLD4LC5"],"itemData":{"id":59284,"type":"document","abstract":"Transport of carbon dioxide (CO2) by ship may fulfil a key role in the development of carbon capture and storage (CCS), particularly for CO2-enhanced oil recovery (EOR) in the North Sea where a flexible transport system may be advantageous. Shipping of liquefied CO2 already occurs, albeit at a limited scale, to service the industrial gases market. Use of shipping to supply early-phase CO2-EOR projects may bring benefits including the flexibility to use equipment in several projects, ability to collect from existing industrial sources and moderate capital costs compared to new pipelines. A number of studies have focussed on use of shipping for CO2 transport in the context of CCS; this work package has assessed the available literature, reviewed appropriate studies in detail and summarises in this report the main points of note for CO2-EOR interests. The purpose of the work package is detailed in the scoping document, attached as Appendix 1. The key aims are to: determine the extent and scope of literature on transport of CO2 by ship; review a selection of available literature to extract and report the key findings of interest for CO2-EOR, with a focus on options for loading/offloading and comparative costs against other transport modes.","title":"Ship transport of CO2 for Enhanced  Oil Recovery – Literature Survey","URL":"https://era.ed.ac.uk/handle/1842/15727","author":[{"family":"Brownsort","given":"Peter"}],"issued":{"date-parts":[["2015"]]}}}],"schema":"https://github.com/citation-style-language/schema/raw/master/csl-citation.json"} </w:instrText>
      </w:r>
      <w:r w:rsidRPr="00C66C24">
        <w:rPr>
          <w:rFonts w:ascii="Calibri" w:eastAsia="Calibri" w:hAnsi="Calibri" w:cs="Calibri"/>
        </w:rPr>
        <w:fldChar w:fldCharType="separate"/>
      </w:r>
      <w:r w:rsidR="001855E3" w:rsidRPr="00C66C24">
        <w:rPr>
          <w:rFonts w:ascii="Calibri" w:hAnsi="Calibri" w:cs="Calibri"/>
        </w:rPr>
        <w:t>(</w:t>
      </w:r>
      <w:proofErr w:type="spellStart"/>
      <w:r w:rsidR="001855E3" w:rsidRPr="00C66C24">
        <w:rPr>
          <w:rFonts w:ascii="Calibri" w:hAnsi="Calibri" w:cs="Calibri"/>
        </w:rPr>
        <w:t>Brownsort</w:t>
      </w:r>
      <w:proofErr w:type="spellEnd"/>
      <w:r w:rsidR="001855E3" w:rsidRPr="00C66C24">
        <w:rPr>
          <w:rFonts w:ascii="Calibri" w:hAnsi="Calibri" w:cs="Calibri"/>
        </w:rPr>
        <w:t>, 2015)</w:t>
      </w:r>
      <w:r w:rsidRPr="00C66C24">
        <w:rPr>
          <w:rFonts w:ascii="Calibri" w:eastAsia="Calibri" w:hAnsi="Calibri" w:cs="Calibri"/>
        </w:rPr>
        <w:fldChar w:fldCharType="end"/>
      </w:r>
      <w:r w:rsidRPr="00C66C24">
        <w:rPr>
          <w:rFonts w:ascii="Calibri" w:eastAsia="Calibri" w:hAnsi="Calibri" w:cs="Calibri"/>
        </w:rPr>
        <w:t>.</w:t>
      </w:r>
    </w:p>
    <w:p w14:paraId="08DA488D" w14:textId="5C129115" w:rsidR="005A54B5" w:rsidRPr="00C66C24" w:rsidRDefault="00C04ECD" w:rsidP="0095538A">
      <w:pPr>
        <w:spacing w:before="0" w:after="120" w:line="257" w:lineRule="auto"/>
        <w:rPr>
          <w:rFonts w:ascii="Calibri" w:eastAsia="Calibri" w:hAnsi="Calibri" w:cs="Calibri"/>
        </w:rPr>
      </w:pPr>
      <w:r w:rsidRPr="00C66C24">
        <w:rPr>
          <w:rFonts w:ascii="Calibri" w:eastAsia="Calibri" w:hAnsi="Calibri" w:cs="Calibri"/>
        </w:rPr>
        <w:t>Regarding safety issues, the storage of CO</w:t>
      </w:r>
      <w:r w:rsidRPr="00C66C24">
        <w:rPr>
          <w:rFonts w:ascii="Calibri" w:eastAsia="Calibri" w:hAnsi="Calibri" w:cs="Calibri"/>
          <w:vertAlign w:val="subscript"/>
        </w:rPr>
        <w:t>2</w:t>
      </w:r>
      <w:r w:rsidRPr="00C66C24">
        <w:rPr>
          <w:rFonts w:ascii="Calibri" w:eastAsia="Calibri" w:hAnsi="Calibri" w:cs="Calibri"/>
        </w:rPr>
        <w:t xml:space="preserve">, both gaseous and liquid, </w:t>
      </w:r>
      <w:r w:rsidR="00660027" w:rsidRPr="00C66C24">
        <w:rPr>
          <w:rFonts w:ascii="Calibri" w:eastAsia="Calibri" w:hAnsi="Calibri" w:cs="Calibri"/>
        </w:rPr>
        <w:t>poses</w:t>
      </w:r>
      <w:r w:rsidRPr="00C66C24">
        <w:rPr>
          <w:rFonts w:ascii="Calibri" w:eastAsia="Calibri" w:hAnsi="Calibri" w:cs="Calibri"/>
        </w:rPr>
        <w:t xml:space="preserve"> certain risks. If liquid CO</w:t>
      </w:r>
      <w:r w:rsidRPr="00C66C24">
        <w:rPr>
          <w:rFonts w:ascii="Calibri" w:eastAsia="Calibri" w:hAnsi="Calibri" w:cs="Calibri"/>
          <w:vertAlign w:val="subscript"/>
        </w:rPr>
        <w:t>2</w:t>
      </w:r>
      <w:r w:rsidRPr="00C66C24">
        <w:rPr>
          <w:rFonts w:ascii="Calibri" w:eastAsia="Calibri" w:hAnsi="Calibri" w:cs="Calibri"/>
        </w:rPr>
        <w:t xml:space="preserve"> leak</w:t>
      </w:r>
      <w:r w:rsidR="00660027" w:rsidRPr="00C66C24">
        <w:rPr>
          <w:rFonts w:ascii="Calibri" w:eastAsia="Calibri" w:hAnsi="Calibri" w:cs="Calibri"/>
        </w:rPr>
        <w:t>s</w:t>
      </w:r>
      <w:r w:rsidRPr="00C66C24">
        <w:rPr>
          <w:rFonts w:ascii="Calibri" w:eastAsia="Calibri" w:hAnsi="Calibri" w:cs="Calibri"/>
        </w:rPr>
        <w:t>, the cryogenic gases could cause damage to the ship structure or crew. Besides, if the liquid CO</w:t>
      </w:r>
      <w:r w:rsidRPr="00C66C24">
        <w:rPr>
          <w:rFonts w:ascii="Calibri" w:eastAsia="Calibri" w:hAnsi="Calibri" w:cs="Calibri"/>
          <w:vertAlign w:val="subscript"/>
        </w:rPr>
        <w:t>2</w:t>
      </w:r>
      <w:r w:rsidRPr="00C66C24">
        <w:rPr>
          <w:rFonts w:ascii="Calibri" w:eastAsia="Calibri" w:hAnsi="Calibri" w:cs="Calibri"/>
        </w:rPr>
        <w:t xml:space="preserve"> tank encounters high temperature, the gasification will increase the pressure in the tank, and there is a risk of explosion. This puts forward higher requirements for CO</w:t>
      </w:r>
      <w:r w:rsidRPr="00C66C24">
        <w:rPr>
          <w:rFonts w:ascii="Calibri" w:eastAsia="Calibri" w:hAnsi="Calibri" w:cs="Calibri"/>
          <w:vertAlign w:val="subscript"/>
        </w:rPr>
        <w:t>2</w:t>
      </w:r>
      <w:r w:rsidRPr="00C66C24">
        <w:rPr>
          <w:rFonts w:ascii="Calibri" w:eastAsia="Calibri" w:hAnsi="Calibri" w:cs="Calibri"/>
        </w:rPr>
        <w:t xml:space="preserve"> purity, CO</w:t>
      </w:r>
      <w:r w:rsidRPr="00C66C24">
        <w:rPr>
          <w:rFonts w:ascii="Calibri" w:eastAsia="Calibri" w:hAnsi="Calibri" w:cs="Calibri"/>
          <w:vertAlign w:val="subscript"/>
        </w:rPr>
        <w:t>2</w:t>
      </w:r>
      <w:r w:rsidRPr="00C66C24">
        <w:rPr>
          <w:rFonts w:ascii="Calibri" w:eastAsia="Calibri" w:hAnsi="Calibri" w:cs="Calibri"/>
        </w:rPr>
        <w:t xml:space="preserve"> storage tank</w:t>
      </w:r>
      <w:r w:rsidR="007124C7" w:rsidRPr="00C66C24">
        <w:rPr>
          <w:rFonts w:ascii="Calibri" w:eastAsia="Calibri" w:hAnsi="Calibri" w:cs="Calibri"/>
        </w:rPr>
        <w:t>s,</w:t>
      </w:r>
      <w:r w:rsidRPr="00C66C24">
        <w:rPr>
          <w:rFonts w:ascii="Calibri" w:eastAsia="Calibri" w:hAnsi="Calibri" w:cs="Calibri"/>
        </w:rPr>
        <w:t xml:space="preserve"> and sealing system</w:t>
      </w:r>
      <w:r w:rsidR="007124C7" w:rsidRPr="00C66C24">
        <w:rPr>
          <w:rFonts w:ascii="Calibri" w:eastAsia="Calibri" w:hAnsi="Calibri" w:cs="Calibri"/>
        </w:rPr>
        <w:t>s</w:t>
      </w:r>
      <w:r w:rsidRPr="00C66C24">
        <w:rPr>
          <w:rFonts w:ascii="Calibri" w:eastAsia="Calibri" w:hAnsi="Calibri" w:cs="Calibri"/>
        </w:rPr>
        <w:t>.</w:t>
      </w:r>
    </w:p>
    <w:p w14:paraId="391E0EE8" w14:textId="77777777" w:rsidR="005A54B5" w:rsidRPr="00C66C24" w:rsidRDefault="005A54B5" w:rsidP="008C6A9C">
      <w:pPr>
        <w:pStyle w:val="Heading3"/>
        <w:spacing w:line="257" w:lineRule="auto"/>
      </w:pPr>
      <w:bookmarkStart w:id="230" w:name="_Toc149643893"/>
      <w:bookmarkStart w:id="231" w:name="_Toc149643894"/>
      <w:bookmarkStart w:id="232" w:name="_Toc149643895"/>
      <w:bookmarkStart w:id="233" w:name="_Toc156316357"/>
      <w:bookmarkStart w:id="234" w:name="_Toc156316508"/>
      <w:bookmarkStart w:id="235" w:name="_Toc157762099"/>
      <w:bookmarkEnd w:id="230"/>
      <w:bookmarkEnd w:id="231"/>
      <w:bookmarkEnd w:id="232"/>
      <w:r w:rsidRPr="00C66C24">
        <w:t>Onshore Power Supply</w:t>
      </w:r>
      <w:bookmarkEnd w:id="233"/>
      <w:bookmarkEnd w:id="234"/>
      <w:bookmarkEnd w:id="235"/>
    </w:p>
    <w:p w14:paraId="512EB146" w14:textId="14565392" w:rsidR="005A54B5" w:rsidRPr="00C66C24" w:rsidRDefault="005A54B5" w:rsidP="00AA4AC4">
      <w:pPr>
        <w:pStyle w:val="Bibliography"/>
        <w:rPr>
          <w:rFonts w:eastAsiaTheme="minorEastAsia"/>
        </w:rPr>
      </w:pPr>
      <w:r w:rsidRPr="00C66C24">
        <w:rPr>
          <w:rFonts w:eastAsiaTheme="minorEastAsia"/>
        </w:rPr>
        <w:t xml:space="preserve">There is a limited number of ships in the world equipped with the necessary elements for high-voltage OPS, </w:t>
      </w:r>
      <w:r w:rsidR="00FF5CA7" w:rsidRPr="00C66C24">
        <w:rPr>
          <w:rFonts w:eastAsiaTheme="minorEastAsia"/>
        </w:rPr>
        <w:t xml:space="preserve">with </w:t>
      </w:r>
      <w:r w:rsidR="00CF2ED8" w:rsidRPr="00C66C24">
        <w:rPr>
          <w:rFonts w:eastAsiaTheme="minorEastAsia"/>
        </w:rPr>
        <w:t>the European Alternative Fuels Observatory (</w:t>
      </w:r>
      <w:r w:rsidRPr="00C66C24">
        <w:rPr>
          <w:rFonts w:eastAsiaTheme="minorEastAsia"/>
        </w:rPr>
        <w:t>EAFO</w:t>
      </w:r>
      <w:r w:rsidR="00CF2ED8" w:rsidRPr="00C66C24">
        <w:rPr>
          <w:rFonts w:eastAsiaTheme="minorEastAsia"/>
        </w:rPr>
        <w:t>)</w:t>
      </w:r>
      <w:r w:rsidRPr="00C66C24">
        <w:rPr>
          <w:rFonts w:eastAsiaTheme="minorEastAsia"/>
        </w:rPr>
        <w:t xml:space="preserve"> </w:t>
      </w:r>
      <w:r w:rsidR="00FF5CA7" w:rsidRPr="00C66C24">
        <w:rPr>
          <w:rFonts w:eastAsiaTheme="minorEastAsia"/>
        </w:rPr>
        <w:t>reporting this number to be</w:t>
      </w:r>
      <w:r w:rsidRPr="00C66C24">
        <w:rPr>
          <w:rFonts w:eastAsiaTheme="minorEastAsia"/>
        </w:rPr>
        <w:t xml:space="preserve"> 33 ships</w:t>
      </w:r>
      <w:r w:rsidR="00AA4AC4" w:rsidRPr="00C66C24">
        <w:rPr>
          <w:rFonts w:eastAsiaTheme="minorEastAsia"/>
        </w:rPr>
        <w:t xml:space="preserve"> </w:t>
      </w:r>
      <w:r w:rsidR="00AA4AC4" w:rsidRPr="00C66C24">
        <w:rPr>
          <w:rFonts w:eastAsiaTheme="minorEastAsia"/>
        </w:rPr>
        <w:fldChar w:fldCharType="begin"/>
      </w:r>
      <w:r w:rsidR="00AA4AC4" w:rsidRPr="00C66C24">
        <w:rPr>
          <w:rFonts w:eastAsiaTheme="minorEastAsia"/>
        </w:rPr>
        <w:instrText xml:space="preserve"> ADDIN ZOTERO_ITEM CSL_CITATION {"citationID":"aonklglvoi","properties":{"formattedCitation":"\\uldash{(EAFO, 2023)}","plainCitation":"(EAFO, 2023)","noteIndex":0},"citationItems":[{"id":59496,"uris":["http://zotero.org/groups/122386/items/NQFYVCRC"],"itemData":{"id":59496,"type":"webpage","abstract":"In this section, you may access detailed graphs about the uptake of alternative fuels and technologies on maritime ships and infrastructure. You may browse the vessels report, based on ship types, region (global or Europe), technology and more.","title":"Maritime | European Alternative Fuels Observatory","URL":"https://alternative-fuels-observatory.ec.europa.eu/transport-mode/maritime-sea","author":[{"literal":"EAFO"}],"issued":{"date-parts":[["2023"]]}}}],"schema":"https://github.com/citation-style-language/schema/raw/master/csl-citation.json"} </w:instrText>
      </w:r>
      <w:r w:rsidR="00AA4AC4" w:rsidRPr="00C66C24">
        <w:rPr>
          <w:rFonts w:eastAsiaTheme="minorEastAsia"/>
        </w:rPr>
        <w:fldChar w:fldCharType="separate"/>
      </w:r>
      <w:r w:rsidR="00AA4AC4" w:rsidRPr="00C66C24">
        <w:rPr>
          <w:rFonts w:ascii="Calibri" w:hAnsi="Calibri" w:cs="Calibri"/>
        </w:rPr>
        <w:t>(EAFO, 2023)</w:t>
      </w:r>
      <w:r w:rsidR="00AA4AC4" w:rsidRPr="00C66C24">
        <w:rPr>
          <w:rFonts w:eastAsiaTheme="minorEastAsia"/>
        </w:rPr>
        <w:fldChar w:fldCharType="end"/>
      </w:r>
      <w:r w:rsidRPr="00C66C24">
        <w:rPr>
          <w:rFonts w:eastAsiaTheme="minorEastAsia"/>
        </w:rPr>
        <w:t xml:space="preserve">. In the EU, there are </w:t>
      </w:r>
      <w:r w:rsidR="003707F7">
        <w:rPr>
          <w:rFonts w:eastAsiaTheme="minorEastAsia"/>
        </w:rPr>
        <w:t>three</w:t>
      </w:r>
      <w:r w:rsidRPr="00C66C24">
        <w:rPr>
          <w:rFonts w:eastAsiaTheme="minorEastAsia"/>
        </w:rPr>
        <w:t xml:space="preserve"> container ships, </w:t>
      </w:r>
      <w:r w:rsidR="003707F7">
        <w:rPr>
          <w:rFonts w:eastAsiaTheme="minorEastAsia"/>
        </w:rPr>
        <w:t>nine</w:t>
      </w:r>
      <w:r w:rsidRPr="00C66C24">
        <w:rPr>
          <w:rFonts w:eastAsiaTheme="minorEastAsia"/>
        </w:rPr>
        <w:t xml:space="preserve"> cruise ships and 15 Ro-pax ships calling at ports equipped with high-voltage OPS. In addition, there are also ships that are designed and built as ‘OPS ready’, preparing them for a simplified conversion once the decision to retrofit OPS equipment is made. The elements provided in OPS-ready ships are typically space</w:t>
      </w:r>
      <w:r w:rsidR="00CF2ED8" w:rsidRPr="00C66C24">
        <w:rPr>
          <w:rFonts w:eastAsiaTheme="minorEastAsia"/>
        </w:rPr>
        <w:t>-</w:t>
      </w:r>
      <w:r w:rsidRPr="00C66C24">
        <w:rPr>
          <w:rFonts w:eastAsiaTheme="minorEastAsia"/>
        </w:rPr>
        <w:t xml:space="preserve">related, allowing room for growth not only in the ship’s general arrangement and </w:t>
      </w:r>
      <w:r w:rsidR="00CF2ED8" w:rsidRPr="00C66C24">
        <w:rPr>
          <w:rFonts w:eastAsiaTheme="minorEastAsia"/>
        </w:rPr>
        <w:t xml:space="preserve">the specific </w:t>
      </w:r>
      <w:r w:rsidRPr="00C66C24">
        <w:rPr>
          <w:rFonts w:eastAsiaTheme="minorEastAsia"/>
        </w:rPr>
        <w:t xml:space="preserve">structural spaces for cable routing, but also in the main switchboards. </w:t>
      </w:r>
    </w:p>
    <w:p w14:paraId="07539FDA" w14:textId="3FFF66C2" w:rsidR="005A54B5" w:rsidRPr="00C66C24" w:rsidRDefault="005A54B5" w:rsidP="008C6A9C">
      <w:pPr>
        <w:spacing w:before="0" w:after="0" w:line="257" w:lineRule="auto"/>
        <w:rPr>
          <w:rFonts w:eastAsiaTheme="minorEastAsia"/>
        </w:rPr>
      </w:pPr>
      <w:r w:rsidRPr="00C66C24">
        <w:rPr>
          <w:rFonts w:eastAsiaTheme="minorEastAsia"/>
        </w:rPr>
        <w:t xml:space="preserve">Based on information from the EAFO, at least 96 ports from 19 EU Member States have already implemented onshore power connections. This means that, at present, in the EU there is a total of 556 berths with available shore-to-ship </w:t>
      </w:r>
      <w:r w:rsidRPr="00C66C24">
        <w:rPr>
          <w:rFonts w:eastAsiaTheme="minorEastAsia"/>
          <w:szCs w:val="22"/>
        </w:rPr>
        <w:t xml:space="preserve">power supply facilities (see </w:t>
      </w:r>
      <w:r w:rsidRPr="00C66C24">
        <w:rPr>
          <w:rFonts w:eastAsiaTheme="minorEastAsia"/>
          <w:szCs w:val="22"/>
        </w:rPr>
        <w:fldChar w:fldCharType="begin"/>
      </w:r>
      <w:r w:rsidRPr="00C66C24">
        <w:rPr>
          <w:rFonts w:eastAsiaTheme="minorEastAsia"/>
          <w:szCs w:val="22"/>
        </w:rPr>
        <w:instrText xml:space="preserve"> REF _Ref151387242 \h </w:instrText>
      </w:r>
      <w:r w:rsidR="00254C36" w:rsidRPr="00C66C24">
        <w:rPr>
          <w:rFonts w:eastAsiaTheme="minorEastAsia"/>
          <w:szCs w:val="22"/>
        </w:rPr>
        <w:instrText xml:space="preserve"> \* MERGEFORMAT </w:instrText>
      </w:r>
      <w:r w:rsidRPr="00C66C24">
        <w:rPr>
          <w:rFonts w:eastAsiaTheme="minorEastAsia"/>
          <w:szCs w:val="22"/>
        </w:rPr>
      </w:r>
      <w:r w:rsidRPr="00C66C24">
        <w:rPr>
          <w:rFonts w:eastAsiaTheme="minorEastAsia"/>
          <w:szCs w:val="22"/>
        </w:rPr>
        <w:fldChar w:fldCharType="separate"/>
      </w:r>
      <w:r w:rsidR="0095538A" w:rsidRPr="00C66C24">
        <w:rPr>
          <w:szCs w:val="22"/>
        </w:rPr>
        <w:t xml:space="preserve">Figure </w:t>
      </w:r>
      <w:r w:rsidR="0095538A" w:rsidRPr="00C66C24">
        <w:rPr>
          <w:noProof/>
          <w:szCs w:val="22"/>
        </w:rPr>
        <w:t>3.2</w:t>
      </w:r>
      <w:r w:rsidRPr="00C66C24">
        <w:rPr>
          <w:rFonts w:eastAsiaTheme="minorEastAsia"/>
          <w:szCs w:val="22"/>
        </w:rPr>
        <w:fldChar w:fldCharType="end"/>
      </w:r>
      <w:r w:rsidRPr="00C66C24">
        <w:rPr>
          <w:rFonts w:eastAsiaTheme="minorEastAsia"/>
        </w:rPr>
        <w:t xml:space="preserve">). </w:t>
      </w:r>
    </w:p>
    <w:p w14:paraId="55081080" w14:textId="1018D9DF" w:rsidR="005A54B5" w:rsidRPr="00C66C24" w:rsidRDefault="005A54B5" w:rsidP="0095538A">
      <w:pPr>
        <w:spacing w:before="0" w:after="120" w:line="257" w:lineRule="auto"/>
        <w:rPr>
          <w:rFonts w:eastAsiaTheme="minorEastAsia"/>
        </w:rPr>
      </w:pPr>
      <w:r w:rsidRPr="00C66C24">
        <w:rPr>
          <w:rFonts w:eastAsiaTheme="minorEastAsia"/>
        </w:rPr>
        <w:t xml:space="preserve">For the cruise sector, in Europe as per April 2023 there were 6 ports with at least one berth with OPS, 4 already funded and 14 planed. Furthermore, according with the CLIA State of the Cruise industry report, 30% of ships which represent 40% of capacity </w:t>
      </w:r>
      <w:r w:rsidR="00634B4E" w:rsidRPr="00C66C24">
        <w:rPr>
          <w:rFonts w:eastAsiaTheme="minorEastAsia"/>
        </w:rPr>
        <w:t>are</w:t>
      </w:r>
      <w:r w:rsidRPr="00C66C24">
        <w:rPr>
          <w:rFonts w:eastAsiaTheme="minorEastAsia"/>
        </w:rPr>
        <w:t xml:space="preserve"> plug-ready and 30% are to be retrofitted </w:t>
      </w:r>
      <w:r w:rsidRPr="00C66C24">
        <w:rPr>
          <w:rFonts w:eastAsiaTheme="minorEastAsia"/>
        </w:rPr>
        <w:fldChar w:fldCharType="begin"/>
      </w:r>
      <w:r w:rsidR="001855E3" w:rsidRPr="00C66C24">
        <w:rPr>
          <w:rFonts w:eastAsiaTheme="minorEastAsia"/>
        </w:rPr>
        <w:instrText xml:space="preserve"> ADDIN ZOTERO_ITEM CSL_CITATION {"citationID":"a1sc1nn326j","properties":{"formattedCitation":"(CLIA, 2023)","plainCitation":"(CLIA, 2023)","noteIndex":0},"citationItems":[{"id":52478,"uris":["http://zotero.org/groups/122386/items/KGWABXP9"],"itemData":{"id":52478,"type":"webpage","title":"State of the cruise industry report","URL":"https://cruising.org/-/media/clia-media/research/2023/2023-clia-state-of-the-cruise-industry-report_low-res.ashx","author":[{"family":"CLIA","given":""}],"accessed":{"date-parts":[["2023",10,30]]},"issued":{"date-parts":[["2023"]]}}}],"schema":"https://github.com/citation-style-language/schema/raw/master/csl-citation.json"} </w:instrText>
      </w:r>
      <w:r w:rsidRPr="00C66C24">
        <w:rPr>
          <w:rFonts w:eastAsiaTheme="minorEastAsia"/>
        </w:rPr>
        <w:fldChar w:fldCharType="separate"/>
      </w:r>
      <w:r w:rsidR="001A5A7B" w:rsidRPr="00C66C24">
        <w:rPr>
          <w:rFonts w:ascii="Calibri" w:hAnsi="Calibri" w:cs="Calibri"/>
        </w:rPr>
        <w:t>(CLIA, 2023)</w:t>
      </w:r>
      <w:r w:rsidRPr="00C66C24">
        <w:rPr>
          <w:rFonts w:eastAsiaTheme="minorEastAsia"/>
        </w:rPr>
        <w:fldChar w:fldCharType="end"/>
      </w:r>
      <w:r w:rsidRPr="00C66C24">
        <w:rPr>
          <w:rFonts w:eastAsiaTheme="minorEastAsia"/>
        </w:rPr>
        <w:t>.</w:t>
      </w:r>
    </w:p>
    <w:p w14:paraId="48DCE7EA" w14:textId="77777777" w:rsidR="00C04ECD" w:rsidRPr="00C66C24" w:rsidRDefault="00C04ECD" w:rsidP="008C6A9C">
      <w:pPr>
        <w:keepNext/>
        <w:spacing w:before="0" w:after="0" w:line="257" w:lineRule="auto"/>
        <w:jc w:val="center"/>
      </w:pPr>
      <w:r w:rsidRPr="00C66C24">
        <w:rPr>
          <w:noProof/>
        </w:rPr>
        <w:drawing>
          <wp:inline distT="0" distB="0" distL="0" distR="0" wp14:anchorId="086BCAA4" wp14:editId="4807BFCD">
            <wp:extent cx="5511800" cy="3403600"/>
            <wp:effectExtent l="0" t="0" r="12700" b="6350"/>
            <wp:docPr id="1164877124" name="Chart 1164877124">
              <a:extLst xmlns:a="http://schemas.openxmlformats.org/drawingml/2006/main">
                <a:ext uri="{FF2B5EF4-FFF2-40B4-BE49-F238E27FC236}">
                  <a16:creationId xmlns:a16="http://schemas.microsoft.com/office/drawing/2014/main" id="{3163512B-E962-492E-8EB6-D92DF7DA81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5DB9EAAD" w14:textId="256F67B1" w:rsidR="00C04ECD" w:rsidRPr="00C66C24" w:rsidRDefault="005A54B5" w:rsidP="008C6A9C">
      <w:pPr>
        <w:pStyle w:val="Caption"/>
        <w:spacing w:after="0" w:line="257" w:lineRule="auto"/>
        <w:jc w:val="center"/>
        <w:rPr>
          <w:sz w:val="20"/>
          <w:szCs w:val="20"/>
        </w:rPr>
      </w:pPr>
      <w:bookmarkStart w:id="236" w:name="_Ref151387242"/>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3</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2</w:t>
      </w:r>
      <w:r w:rsidR="00A81F61" w:rsidRPr="00C66C24">
        <w:rPr>
          <w:sz w:val="20"/>
          <w:szCs w:val="20"/>
        </w:rPr>
        <w:fldChar w:fldCharType="end"/>
      </w:r>
      <w:bookmarkEnd w:id="236"/>
      <w:r w:rsidR="00C04ECD" w:rsidRPr="00C66C24">
        <w:rPr>
          <w:sz w:val="20"/>
          <w:szCs w:val="20"/>
        </w:rPr>
        <w:t xml:space="preserve"> European ports and number of berths with OPS connection.</w:t>
      </w:r>
    </w:p>
    <w:p w14:paraId="724230F4" w14:textId="4CECACFE" w:rsidR="001152F6" w:rsidRPr="00C66C24" w:rsidRDefault="005A54B5" w:rsidP="008C6A9C">
      <w:pPr>
        <w:pStyle w:val="Caption"/>
        <w:spacing w:after="0" w:line="257" w:lineRule="auto"/>
        <w:jc w:val="center"/>
        <w:rPr>
          <w:b w:val="0"/>
          <w:bCs/>
          <w:color w:val="000000" w:themeColor="text1"/>
          <w:sz w:val="20"/>
          <w:szCs w:val="20"/>
        </w:rPr>
      </w:pPr>
      <w:r w:rsidRPr="00C66C24">
        <w:rPr>
          <w:b w:val="0"/>
          <w:bCs/>
          <w:color w:val="000000" w:themeColor="text1"/>
          <w:sz w:val="20"/>
          <w:szCs w:val="20"/>
        </w:rPr>
        <w:t>Source: EAFO, 2023.</w:t>
      </w:r>
    </w:p>
    <w:p w14:paraId="7F402578" w14:textId="4359F6EE" w:rsidR="00F510CE" w:rsidRPr="00C66C24" w:rsidRDefault="001152F6" w:rsidP="008C6A9C">
      <w:pPr>
        <w:pStyle w:val="Heading2"/>
        <w:spacing w:line="257" w:lineRule="auto"/>
      </w:pPr>
      <w:bookmarkStart w:id="237" w:name="_Toc156316358"/>
      <w:bookmarkStart w:id="238" w:name="_Toc156316509"/>
      <w:bookmarkStart w:id="239" w:name="_Toc157762100"/>
      <w:r w:rsidRPr="00C66C24">
        <w:t>Energy transition foresight</w:t>
      </w:r>
      <w:bookmarkEnd w:id="237"/>
      <w:bookmarkEnd w:id="238"/>
      <w:bookmarkEnd w:id="239"/>
    </w:p>
    <w:p w14:paraId="1C601471" w14:textId="77777777" w:rsidR="00C04ECD" w:rsidRPr="00C66C24" w:rsidRDefault="00C04ECD" w:rsidP="008C6A9C">
      <w:pPr>
        <w:pStyle w:val="Heading3"/>
        <w:spacing w:line="257" w:lineRule="auto"/>
      </w:pPr>
      <w:bookmarkStart w:id="240" w:name="_Toc156316510"/>
      <w:bookmarkStart w:id="241" w:name="_Toc156316359"/>
      <w:bookmarkStart w:id="242" w:name="_Toc157762101"/>
      <w:r w:rsidRPr="00C66C24">
        <w:t>CO</w:t>
      </w:r>
      <w:r w:rsidRPr="00C66C24">
        <w:rPr>
          <w:vertAlign w:val="subscript"/>
        </w:rPr>
        <w:t>2</w:t>
      </w:r>
      <w:r w:rsidRPr="00C66C24">
        <w:t xml:space="preserve"> emissions outlook</w:t>
      </w:r>
      <w:bookmarkEnd w:id="240"/>
      <w:bookmarkEnd w:id="242"/>
    </w:p>
    <w:p w14:paraId="2CFCF2E4" w14:textId="1089D8D9" w:rsidR="00C04ECD" w:rsidRPr="00C66C24" w:rsidRDefault="00C04ECD" w:rsidP="008C6A9C">
      <w:pPr>
        <w:spacing w:before="0" w:after="0" w:line="257" w:lineRule="auto"/>
        <w:rPr>
          <w:rFonts w:eastAsiaTheme="minorEastAsia"/>
        </w:rPr>
      </w:pPr>
      <w:bookmarkStart w:id="243" w:name="_Toc156316360"/>
      <w:bookmarkEnd w:id="241"/>
      <w:r w:rsidRPr="00C66C24">
        <w:rPr>
          <w:rFonts w:eastAsiaTheme="minorEastAsia"/>
        </w:rPr>
        <w:t>While shipping is considered one of the least carbon intensive modes of transport, it emits 3-4% of all EU CO</w:t>
      </w:r>
      <w:r w:rsidRPr="00C66C24">
        <w:rPr>
          <w:rFonts w:eastAsiaTheme="minorEastAsia"/>
          <w:vertAlign w:val="subscript"/>
        </w:rPr>
        <w:t>2</w:t>
      </w:r>
      <w:r w:rsidRPr="00C66C24">
        <w:rPr>
          <w:rFonts w:eastAsiaTheme="minorEastAsia"/>
        </w:rPr>
        <w:t xml:space="preserve"> emissions</w:t>
      </w:r>
      <w:r w:rsidR="00F2572E">
        <w:rPr>
          <w:rFonts w:eastAsiaTheme="minorEastAsia"/>
        </w:rPr>
        <w:t>,</w:t>
      </w:r>
      <w:r w:rsidRPr="00C66C24">
        <w:rPr>
          <w:rFonts w:eastAsiaTheme="minorEastAsia"/>
        </w:rPr>
        <w:t xml:space="preserve"> and the</w:t>
      </w:r>
      <w:r w:rsidR="007778C4">
        <w:rPr>
          <w:rFonts w:eastAsiaTheme="minorEastAsia"/>
        </w:rPr>
        <w:t>se</w:t>
      </w:r>
      <w:r w:rsidRPr="00C66C24">
        <w:rPr>
          <w:rFonts w:eastAsiaTheme="minorEastAsia"/>
        </w:rPr>
        <w:t xml:space="preserve"> are projected to grow quickly if mitigation measures are not swiftly introduced </w:t>
      </w:r>
      <w:bookmarkEnd w:id="243"/>
      <w:r w:rsidR="00623505" w:rsidRPr="00C66C24">
        <w:rPr>
          <w:rFonts w:eastAsiaTheme="minorEastAsia"/>
        </w:rPr>
        <w:fldChar w:fldCharType="begin"/>
      </w:r>
      <w:r w:rsidR="001855E3" w:rsidRPr="00C66C24">
        <w:rPr>
          <w:rFonts w:eastAsiaTheme="minorEastAsia"/>
        </w:rPr>
        <w:instrText xml:space="preserve"> ADDIN ZOTERO_ITEM CSL_CITATION {"citationID":"a24fcidpl62","properties":{"formattedCitation":"(EC, 2023a)","plainCitation":"(EC, 2023a)","dontUpdate":true,"noteIndex":0},"citationItems":[{"id":51668,"uris":["http://zotero.org/groups/122386/items/SS6C58UT"],"itemData":{"id":51668,"type":"document","title":"Fourth Annual Report from the European Commission on CO2 Emissions from  Maritime Transport (period 2018-2021)","URL":"https://climate.ec.europa.eu/system/files/2023-03/swd_2023_54_en.pdf","author":[{"family":"EC","given":""}],"accessed":{"date-parts":[["2023",10,11]]},"issued":{"date-parts":[["2023"]]}}}],"schema":"https://github.com/citation-style-language/schema/raw/master/csl-citation.json"} </w:instrText>
      </w:r>
      <w:r w:rsidR="00623505" w:rsidRPr="00C66C24">
        <w:rPr>
          <w:rFonts w:eastAsiaTheme="minorEastAsia"/>
        </w:rPr>
        <w:fldChar w:fldCharType="separate"/>
      </w:r>
      <w:r w:rsidR="00623505" w:rsidRPr="00C66C24">
        <w:rPr>
          <w:rFonts w:ascii="Calibri" w:hAnsi="Calibri" w:cs="Calibri"/>
        </w:rPr>
        <w:t>(EC, 2023</w:t>
      </w:r>
      <w:r w:rsidR="002E6CCE">
        <w:rPr>
          <w:rFonts w:ascii="Calibri" w:hAnsi="Calibri" w:cs="Calibri"/>
        </w:rPr>
        <w:t>c</w:t>
      </w:r>
      <w:r w:rsidR="00623505" w:rsidRPr="00C66C24">
        <w:rPr>
          <w:rFonts w:ascii="Calibri" w:hAnsi="Calibri" w:cs="Calibri"/>
        </w:rPr>
        <w:t>)</w:t>
      </w:r>
      <w:r w:rsidR="00623505" w:rsidRPr="00C66C24">
        <w:rPr>
          <w:rFonts w:eastAsiaTheme="minorEastAsia"/>
        </w:rPr>
        <w:fldChar w:fldCharType="end"/>
      </w:r>
      <w:r w:rsidRPr="00C66C24">
        <w:rPr>
          <w:rFonts w:eastAsiaTheme="minorEastAsia"/>
        </w:rPr>
        <w:t>. Since 1990, CO</w:t>
      </w:r>
      <w:r w:rsidRPr="00C66C24">
        <w:rPr>
          <w:rFonts w:eastAsiaTheme="minorEastAsia"/>
          <w:vertAlign w:val="subscript"/>
        </w:rPr>
        <w:t>2</w:t>
      </w:r>
      <w:r w:rsidRPr="00C66C24">
        <w:rPr>
          <w:rFonts w:eastAsiaTheme="minorEastAsia"/>
        </w:rPr>
        <w:t xml:space="preserve"> emissions from fuel sold in the EU for international navigation have increased by around 36%, contrary to domestic navigation emissions that have decreased by 26% over the same period. Today, CO</w:t>
      </w:r>
      <w:r w:rsidRPr="00C66C24">
        <w:rPr>
          <w:rFonts w:eastAsiaTheme="minorEastAsia"/>
          <w:vertAlign w:val="subscript"/>
        </w:rPr>
        <w:t>2</w:t>
      </w:r>
      <w:r w:rsidRPr="00C66C24">
        <w:rPr>
          <w:rFonts w:eastAsiaTheme="minorEastAsia"/>
        </w:rPr>
        <w:t xml:space="preserve"> emissions from international navigation represent close to 90% of all EU seaborne navigation emissions and according to projections, these could grow by around 14% between 2015 and 2030 and 34% between 2015 and 2050 in a business-as-usual scenario </w:t>
      </w:r>
      <w:r w:rsidR="00123A6F" w:rsidRPr="00C66C24">
        <w:rPr>
          <w:rFonts w:eastAsiaTheme="minorEastAsia"/>
        </w:rPr>
        <w:fldChar w:fldCharType="begin"/>
      </w:r>
      <w:r w:rsidR="001855E3" w:rsidRPr="00C66C24">
        <w:rPr>
          <w:rFonts w:eastAsiaTheme="minorEastAsia"/>
        </w:rPr>
        <w:instrText xml:space="preserve"> ADDIN ZOTERO_ITEM CSL_CITATION {"citationID":"a2nd9fhmkrs","properties":{"formattedCitation":"(EP, 2021)","plainCitation":"(EP, 2021)","noteIndex":0},"citationItems":[{"id":51697,"uris":["http://zotero.org/groups/122386/items/8AHMXMWI"],"itemData":{"id":51697,"type":"report","abstract":"Review of the Energy Taxation Directive","publisher":"European Parliament Think Tank","title":"Review of the Energy Taxation Directive","URL":"https://www.europarl.europa.eu/thinktank/en/document/EPRS_BRI(2021)662636","author":[{"family":"EP","given":""}],"accessed":{"date-parts":[["2023",10,6]]},"issued":{"date-parts":[["2021",5,18]]}}}],"schema":"https://github.com/citation-style-language/schema/raw/master/csl-citation.json"} </w:instrText>
      </w:r>
      <w:r w:rsidR="00123A6F" w:rsidRPr="00C66C24">
        <w:rPr>
          <w:rFonts w:eastAsiaTheme="minorEastAsia"/>
        </w:rPr>
        <w:fldChar w:fldCharType="separate"/>
      </w:r>
      <w:r w:rsidR="001855E3" w:rsidRPr="00C66C24">
        <w:rPr>
          <w:rFonts w:ascii="Calibri" w:hAnsi="Calibri" w:cs="Calibri"/>
        </w:rPr>
        <w:t>(EP, 2021)</w:t>
      </w:r>
      <w:r w:rsidR="00123A6F" w:rsidRPr="00C66C24">
        <w:rPr>
          <w:rFonts w:eastAsiaTheme="minorEastAsia"/>
        </w:rPr>
        <w:fldChar w:fldCharType="end"/>
      </w:r>
      <w:r w:rsidRPr="00C66C24">
        <w:rPr>
          <w:rFonts w:eastAsiaTheme="minorEastAsia"/>
        </w:rPr>
        <w:t>.</w:t>
      </w:r>
    </w:p>
    <w:p w14:paraId="40ABE5D8" w14:textId="7BCC2C1A" w:rsidR="00C04ECD" w:rsidRPr="00C66C24" w:rsidRDefault="00623505" w:rsidP="00996E3A">
      <w:pPr>
        <w:spacing w:before="0" w:after="120" w:line="257" w:lineRule="auto"/>
        <w:rPr>
          <w:rFonts w:eastAsiaTheme="minorEastAsia"/>
        </w:rPr>
      </w:pPr>
      <w:r w:rsidRPr="00C66C24">
        <w:rPr>
          <w:rFonts w:eastAsiaTheme="minorEastAsia"/>
        </w:rPr>
        <w:t>Despite the marked increase in ambitions, CO</w:t>
      </w:r>
      <w:r w:rsidRPr="00C66C24">
        <w:rPr>
          <w:rFonts w:eastAsiaTheme="minorEastAsia"/>
          <w:vertAlign w:val="subscript"/>
        </w:rPr>
        <w:t>2</w:t>
      </w:r>
      <w:r w:rsidRPr="00C66C24">
        <w:rPr>
          <w:rFonts w:eastAsiaTheme="minorEastAsia"/>
        </w:rPr>
        <w:t xml:space="preserve"> emissions have increased every year since the Paris C</w:t>
      </w:r>
      <w:r w:rsidR="00000CD2">
        <w:rPr>
          <w:rFonts w:eastAsiaTheme="minorEastAsia"/>
        </w:rPr>
        <w:t>onference of Parties (C</w:t>
      </w:r>
      <w:r w:rsidRPr="00C66C24">
        <w:rPr>
          <w:rFonts w:eastAsiaTheme="minorEastAsia"/>
        </w:rPr>
        <w:t>OP</w:t>
      </w:r>
      <w:r w:rsidR="006F65A3">
        <w:rPr>
          <w:rFonts w:eastAsiaTheme="minorEastAsia"/>
        </w:rPr>
        <w:t>)</w:t>
      </w:r>
      <w:r w:rsidRPr="00C66C24">
        <w:rPr>
          <w:rFonts w:eastAsiaTheme="minorEastAsia"/>
        </w:rPr>
        <w:t xml:space="preserve"> in 2015 (except for the 2020 pandemic year) </w:t>
      </w:r>
      <w:r w:rsidRPr="00C66C24">
        <w:rPr>
          <w:rFonts w:eastAsiaTheme="minorEastAsia"/>
        </w:rPr>
        <w:fldChar w:fldCharType="begin"/>
      </w:r>
      <w:r w:rsidR="001855E3" w:rsidRPr="00C66C24">
        <w:rPr>
          <w:rFonts w:eastAsiaTheme="minorEastAsia"/>
        </w:rPr>
        <w:instrText xml:space="preserve"> ADDIN ZOTERO_ITEM CSL_CITATION {"citationID":"a13709cjb4k","properties":{"formattedCitation":"(IEA, 2021)","plainCitation":"(IEA, 2021)","noteIndex":0},"citationItems":[{"id":21768,"uris":["http://zotero.org/groups/122386/items/W6ZZM3EW"],"itemData":{"id":21768,"type":"report","event-place":"Paris","note":"IEA, Annual change in CO2 emissions from energy combustion and industrial processes, 1900-2021, IEA, Paris https://www.iea.org/data-and-statistics/charts/annual-change-in-co2-emissions-from-energy-combustion-and-industrial-processes-1900-2021, IEA. Licence: CC BY 4.0","publisher":"IEA","publisher-place":"Paris","source":"Licence: CC BY 4.0","title":"Annual change in CO2 emissions from energy combustion and industrial processes, 1900-2021","URL":"https://www.iea.org/data-and-statistics/charts/annual-change-in-co2-emissions-from-energy-combustion-and-industrial-processes-1900-2021","author":[{"family":"IEA","given":""}],"issued":{"date-parts":[["2021"]]}}}],"schema":"https://github.com/citation-style-language/schema/raw/master/csl-citation.json"} </w:instrText>
      </w:r>
      <w:r w:rsidRPr="00C66C24">
        <w:rPr>
          <w:rFonts w:eastAsiaTheme="minorEastAsia"/>
        </w:rPr>
        <w:fldChar w:fldCharType="separate"/>
      </w:r>
      <w:r w:rsidRPr="00C66C24">
        <w:rPr>
          <w:rFonts w:ascii="Calibri" w:hAnsi="Calibri" w:cs="Calibri"/>
        </w:rPr>
        <w:t>(IEA, 2021)</w:t>
      </w:r>
      <w:r w:rsidRPr="00C66C24">
        <w:rPr>
          <w:rFonts w:eastAsiaTheme="minorEastAsia"/>
        </w:rPr>
        <w:fldChar w:fldCharType="end"/>
      </w:r>
      <w:r w:rsidRPr="00C66C24">
        <w:rPr>
          <w:rFonts w:eastAsiaTheme="minorEastAsia"/>
        </w:rPr>
        <w:t xml:space="preserve">. A report published by the “Getting to Zero Coalition” and commissioned by the World Economic Forum examines multiple ways to reduce GHG emissions from shipping, including reducing demand for shipping, increasing the energy efficiency of the sector to reduce  use of fossil fuels, and reducing the GHG intensity of shipping’s fuels </w:t>
      </w:r>
      <w:r w:rsidRPr="00C66C24">
        <w:rPr>
          <w:rFonts w:eastAsiaTheme="minorEastAsia"/>
        </w:rPr>
        <w:fldChar w:fldCharType="begin"/>
      </w:r>
      <w:r w:rsidRPr="00C66C24">
        <w:rPr>
          <w:rFonts w:eastAsiaTheme="minorEastAsia"/>
        </w:rPr>
        <w:instrText xml:space="preserve"> ADDIN ZOTERO_ITEM CSL_CITATION {"citationID":"a26g6m12a89","properties":{"formattedCitation":"(WEF, 2021)","plainCitation":"(WEF, 2021)","noteIndex":0},"citationItems":[{"id":52307,"uris":["http://zotero.org/groups/122386/items/FEWTVLDB"],"itemData":{"id":52307,"type":"report","publisher":"World Economic Forum","title":"A Strategy for the Transition to Zero-Emission Shipping","URL":"https://www3.weforum.org/docs/WEF_A%20Strategy_for_the_Transition_to_Zero_Emission_Shipping_2021.pdf","author":[{"literal":"WEF"}],"issued":{"date-parts":[["2021"]]}}}],"schema":"https://github.com/citation-style-language/schema/raw/master/csl-citation.json"} </w:instrText>
      </w:r>
      <w:r w:rsidRPr="00C66C24">
        <w:rPr>
          <w:rFonts w:eastAsiaTheme="minorEastAsia"/>
        </w:rPr>
        <w:fldChar w:fldCharType="separate"/>
      </w:r>
      <w:r w:rsidRPr="00C66C24">
        <w:rPr>
          <w:rFonts w:ascii="Calibri" w:hAnsi="Calibri" w:cs="Calibri"/>
        </w:rPr>
        <w:t>(WEF, 2021)</w:t>
      </w:r>
      <w:r w:rsidRPr="00C66C24">
        <w:rPr>
          <w:rFonts w:eastAsiaTheme="minorEastAsia"/>
        </w:rPr>
        <w:fldChar w:fldCharType="end"/>
      </w:r>
      <w:r w:rsidR="00C04ECD" w:rsidRPr="00C66C24">
        <w:rPr>
          <w:rFonts w:eastAsiaTheme="minorEastAsia"/>
        </w:rPr>
        <w:t>. A more recent report by the United Nations Convention on Trade and Development (UNCTAD), shows that while the total emitted CO</w:t>
      </w:r>
      <w:r w:rsidR="00C04ECD" w:rsidRPr="00C66C24">
        <w:rPr>
          <w:rFonts w:eastAsiaTheme="minorEastAsia"/>
          <w:vertAlign w:val="subscript"/>
        </w:rPr>
        <w:t>2</w:t>
      </w:r>
      <w:r w:rsidR="00C04ECD" w:rsidRPr="00C66C24">
        <w:rPr>
          <w:rFonts w:eastAsiaTheme="minorEastAsia"/>
        </w:rPr>
        <w:t xml:space="preserve"> from the sector is still growing at global level, the emissions per ton-mile for the three top emitting ship types are decreasing </w:t>
      </w:r>
      <w:r w:rsidR="00832E6A" w:rsidRPr="00C66C24">
        <w:rPr>
          <w:rFonts w:eastAsiaTheme="minorEastAsia"/>
        </w:rPr>
        <w:t>(</w:t>
      </w:r>
      <w:r w:rsidR="00832E6A" w:rsidRPr="00C66C24">
        <w:t xml:space="preserve">see </w:t>
      </w:r>
      <w:r w:rsidR="00832E6A" w:rsidRPr="00C66C24">
        <w:fldChar w:fldCharType="begin"/>
      </w:r>
      <w:r w:rsidR="00832E6A" w:rsidRPr="00C66C24">
        <w:instrText xml:space="preserve"> REF _Ref157600670 \h </w:instrText>
      </w:r>
      <w:r w:rsidR="00832E6A" w:rsidRPr="00C66C24">
        <w:fldChar w:fldCharType="separate"/>
      </w:r>
      <w:r w:rsidR="00832E6A" w:rsidRPr="00C66C24">
        <w:t>Figure 3.3</w:t>
      </w:r>
      <w:r w:rsidR="00832E6A" w:rsidRPr="00C66C24">
        <w:fldChar w:fldCharType="end"/>
      </w:r>
      <w:r w:rsidR="00832E6A" w:rsidRPr="00C66C24">
        <w:t>)</w:t>
      </w:r>
      <w:r w:rsidR="00C04ECD" w:rsidRPr="00C66C24">
        <w:rPr>
          <w:rFonts w:eastAsiaTheme="minorEastAsia"/>
        </w:rPr>
        <w:t xml:space="preserve"> </w:t>
      </w:r>
      <w:r w:rsidRPr="00C66C24">
        <w:rPr>
          <w:rFonts w:eastAsiaTheme="minorEastAsia"/>
        </w:rPr>
        <w:fldChar w:fldCharType="begin"/>
      </w:r>
      <w:r w:rsidRPr="00C66C24">
        <w:rPr>
          <w:rFonts w:eastAsiaTheme="minorEastAsia"/>
        </w:rPr>
        <w:instrText xml:space="preserve"> ADDIN ZOTERO_ITEM CSL_CITATION {"citationID":"y74yHJNz","properties":{"formattedCitation":"(UNCTAD, 2023)","plainCitation":"(UNCTAD, 2023)","noteIndex":0},"citationItems":[{"id":52075,"uris":["http://zotero.org/groups/122386/items/J5EEYPCC"],"itemData":{"id":52075,"type":"report","publisher":"United Nations Conference on Trade and Development","title":"Review of Maritime Transport 2023","URL":"https://unctad.org/system/files/official-document/rmt2023_en.pdf","author":[{"literal":"UNCTAD"}],"issued":{"date-parts":[["2023"]]}}}],"schema":"https://github.com/citation-style-language/schema/raw/master/csl-citation.json"} </w:instrText>
      </w:r>
      <w:r w:rsidRPr="00C66C24">
        <w:rPr>
          <w:rFonts w:eastAsiaTheme="minorEastAsia"/>
        </w:rPr>
        <w:fldChar w:fldCharType="separate"/>
      </w:r>
      <w:r w:rsidRPr="00C66C24">
        <w:rPr>
          <w:rFonts w:ascii="Calibri" w:hAnsi="Calibri" w:cs="Calibri"/>
        </w:rPr>
        <w:t>(UNCTAD, 2023)</w:t>
      </w:r>
      <w:r w:rsidRPr="00C66C24">
        <w:rPr>
          <w:rFonts w:eastAsiaTheme="minorEastAsia"/>
        </w:rPr>
        <w:fldChar w:fldCharType="end"/>
      </w:r>
      <w:r w:rsidR="00C04ECD" w:rsidRPr="00C66C24">
        <w:rPr>
          <w:rFonts w:eastAsiaTheme="minorEastAsia"/>
        </w:rPr>
        <w:t>. Although achieving further reductions in energy demand (and, therefore in CO</w:t>
      </w:r>
      <w:r w:rsidR="00C04ECD" w:rsidRPr="00C66C24">
        <w:rPr>
          <w:rFonts w:eastAsiaTheme="minorEastAsia"/>
          <w:vertAlign w:val="subscript"/>
        </w:rPr>
        <w:t>2</w:t>
      </w:r>
      <w:r w:rsidR="00C04ECD" w:rsidRPr="00C66C24">
        <w:rPr>
          <w:rFonts w:eastAsiaTheme="minorEastAsia"/>
        </w:rPr>
        <w:t xml:space="preserve"> emissions) through increasing energy efficiencies is possible, introducing sustainable fuels is also necessary.</w:t>
      </w:r>
    </w:p>
    <w:p w14:paraId="1D9D638A" w14:textId="77777777" w:rsidR="00C04ECD" w:rsidRPr="00C66C24" w:rsidRDefault="00C04ECD" w:rsidP="008C6A9C">
      <w:pPr>
        <w:keepNext/>
        <w:spacing w:before="0" w:after="0" w:line="257" w:lineRule="auto"/>
        <w:jc w:val="center"/>
      </w:pPr>
      <w:r w:rsidRPr="00C66C24">
        <w:rPr>
          <w:noProof/>
          <w:lang w:eastAsia="de-DE"/>
        </w:rPr>
        <w:drawing>
          <wp:inline distT="0" distB="0" distL="0" distR="0" wp14:anchorId="647A6BB1" wp14:editId="4F08E725">
            <wp:extent cx="4178537" cy="2260397"/>
            <wp:effectExtent l="0" t="0" r="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r:link="rId98" cstate="print">
                      <a:extLst>
                        <a:ext uri="{28A0092B-C50C-407E-A947-70E740481C1C}">
                          <a14:useLocalDpi xmlns:a14="http://schemas.microsoft.com/office/drawing/2010/main" val="0"/>
                        </a:ext>
                      </a:extLst>
                    </a:blip>
                    <a:srcRect/>
                    <a:stretch>
                      <a:fillRect/>
                    </a:stretch>
                  </pic:blipFill>
                  <pic:spPr bwMode="auto">
                    <a:xfrm>
                      <a:off x="0" y="0"/>
                      <a:ext cx="4190398" cy="2266813"/>
                    </a:xfrm>
                    <a:prstGeom prst="rect">
                      <a:avLst/>
                    </a:prstGeom>
                    <a:noFill/>
                    <a:ln>
                      <a:noFill/>
                    </a:ln>
                  </pic:spPr>
                </pic:pic>
              </a:graphicData>
            </a:graphic>
          </wp:inline>
        </w:drawing>
      </w:r>
    </w:p>
    <w:p w14:paraId="3EEEB552" w14:textId="58CEDBB5" w:rsidR="00C04ECD" w:rsidRPr="00C66C24" w:rsidRDefault="00623505" w:rsidP="008C6A9C">
      <w:pPr>
        <w:pStyle w:val="Caption"/>
        <w:spacing w:after="0" w:line="257" w:lineRule="auto"/>
        <w:jc w:val="center"/>
        <w:rPr>
          <w:rFonts w:eastAsiaTheme="minorEastAsia"/>
          <w:sz w:val="20"/>
          <w:szCs w:val="20"/>
        </w:rPr>
      </w:pPr>
      <w:bookmarkStart w:id="244" w:name="_Ref157600670"/>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3</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3</w:t>
      </w:r>
      <w:r w:rsidR="00A81F61" w:rsidRPr="00C66C24">
        <w:rPr>
          <w:sz w:val="20"/>
          <w:szCs w:val="20"/>
        </w:rPr>
        <w:fldChar w:fldCharType="end"/>
      </w:r>
      <w:bookmarkEnd w:id="244"/>
      <w:r w:rsidR="00C04ECD" w:rsidRPr="00C66C24">
        <w:rPr>
          <w:sz w:val="20"/>
          <w:szCs w:val="20"/>
        </w:rPr>
        <w:t xml:space="preserve"> Total CO</w:t>
      </w:r>
      <w:r w:rsidR="00C04ECD" w:rsidRPr="00C66C24">
        <w:rPr>
          <w:sz w:val="20"/>
          <w:szCs w:val="20"/>
          <w:vertAlign w:val="subscript"/>
        </w:rPr>
        <w:t>2</w:t>
      </w:r>
      <w:r w:rsidR="00C04ECD" w:rsidRPr="00C66C24">
        <w:rPr>
          <w:sz w:val="20"/>
          <w:szCs w:val="20"/>
        </w:rPr>
        <w:t xml:space="preserve"> emissions per ship type, 2012-2023 (above); World fleet monthly top three CO</w:t>
      </w:r>
      <w:r w:rsidR="00C04ECD" w:rsidRPr="00C66C24">
        <w:rPr>
          <w:sz w:val="20"/>
          <w:szCs w:val="20"/>
          <w:vertAlign w:val="subscript"/>
        </w:rPr>
        <w:t>2</w:t>
      </w:r>
      <w:r w:rsidR="00C04ECD" w:rsidRPr="00C66C24">
        <w:rPr>
          <w:sz w:val="20"/>
          <w:szCs w:val="20"/>
        </w:rPr>
        <w:t xml:space="preserve"> emissions per ton mile, 2012-2023 (below).</w:t>
      </w:r>
    </w:p>
    <w:p w14:paraId="5E3549C8" w14:textId="6E748239" w:rsidR="00C04ECD" w:rsidRPr="00C66C24" w:rsidRDefault="00C04ECD" w:rsidP="00A943C9">
      <w:pPr>
        <w:spacing w:before="0" w:after="120" w:line="257" w:lineRule="auto"/>
        <w:jc w:val="center"/>
        <w:rPr>
          <w:rFonts w:eastAsiaTheme="minorEastAsia"/>
          <w:sz w:val="20"/>
          <w:szCs w:val="20"/>
        </w:rPr>
      </w:pPr>
      <w:r w:rsidRPr="00C66C24">
        <w:rPr>
          <w:rFonts w:eastAsiaTheme="minorEastAsia"/>
          <w:sz w:val="20"/>
          <w:szCs w:val="20"/>
        </w:rPr>
        <w:t>Source: UNCTAD, 2023.</w:t>
      </w:r>
    </w:p>
    <w:p w14:paraId="1A8FB512" w14:textId="3F26AF0C" w:rsidR="00C04ECD" w:rsidRPr="00C66C24" w:rsidRDefault="00C04ECD" w:rsidP="008971BF">
      <w:pPr>
        <w:spacing w:before="0" w:after="120" w:line="257" w:lineRule="auto"/>
        <w:rPr>
          <w:rFonts w:eastAsiaTheme="minorEastAsia"/>
        </w:rPr>
      </w:pPr>
      <w:r w:rsidRPr="00C66C24">
        <w:rPr>
          <w:rFonts w:eastAsiaTheme="minorEastAsia"/>
        </w:rPr>
        <w:t>The Maritime decarbonisation strategy published by Maersk Mc-Kinney Moller Centre for Zero Carbon Shipping (MMMCZCS), analyses Well</w:t>
      </w:r>
      <w:r w:rsidR="00406FA8">
        <w:rPr>
          <w:rFonts w:eastAsiaTheme="minorEastAsia"/>
        </w:rPr>
        <w:t>-</w:t>
      </w:r>
      <w:r w:rsidRPr="00C66C24">
        <w:rPr>
          <w:rFonts w:eastAsiaTheme="minorEastAsia"/>
        </w:rPr>
        <w:t>to</w:t>
      </w:r>
      <w:r w:rsidR="00406FA8">
        <w:rPr>
          <w:rFonts w:eastAsiaTheme="minorEastAsia"/>
        </w:rPr>
        <w:t>-</w:t>
      </w:r>
      <w:r w:rsidRPr="00C66C24">
        <w:rPr>
          <w:rFonts w:eastAsiaTheme="minorEastAsia"/>
        </w:rPr>
        <w:t xml:space="preserve">Wake (WTW) emissions under different scenarios </w:t>
      </w:r>
      <w:r w:rsidRPr="00C66C24">
        <w:rPr>
          <w:rFonts w:eastAsiaTheme="minorEastAsia"/>
        </w:rPr>
        <w:fldChar w:fldCharType="begin"/>
      </w:r>
      <w:r w:rsidRPr="00C66C24">
        <w:rPr>
          <w:rFonts w:eastAsiaTheme="minorEastAsia"/>
        </w:rPr>
        <w:instrText xml:space="preserve"> ADDIN ZOTERO_ITEM CSL_CITATION {"citationID":"OdWcjoHI","properties":{"formattedCitation":"(MMMCZCS, 2022)","plainCitation":"(MMMCZCS, 2022)","noteIndex":0},"citationItems":[{"id":274,"uris":["http://zotero.org/groups/122386/items/DI9HV6PE"],"itemData":{"id":274,"type":"document","publisher":"Maersk Mc-Kinney Moller Center for Zero Carbon Shipping","title":"Maritime Decarbonization Strategy 2022","URL":"https://cms.zerocarbonshipping.com/media/uploads/publications/Maritime-Decarbonization-Strategy-2022.pdf","author":[{"family":"MMMCZCS","given":""}],"issued":{"date-parts":[["2022"]]}}}],"schema":"https://github.com/citation-style-language/schema/raw/master/csl-citation.json"} </w:instrText>
      </w:r>
      <w:r w:rsidRPr="00C66C24">
        <w:rPr>
          <w:rFonts w:eastAsiaTheme="minorEastAsia"/>
        </w:rPr>
        <w:fldChar w:fldCharType="separate"/>
      </w:r>
      <w:r w:rsidRPr="00C66C24">
        <w:rPr>
          <w:rFonts w:ascii="Calibri" w:hAnsi="Calibri" w:cs="Calibri"/>
        </w:rPr>
        <w:t>(MMMCZCS, 2022)</w:t>
      </w:r>
      <w:r w:rsidRPr="00C66C24">
        <w:rPr>
          <w:rFonts w:eastAsiaTheme="minorEastAsia"/>
        </w:rPr>
        <w:fldChar w:fldCharType="end"/>
      </w:r>
      <w:r w:rsidRPr="00C66C24">
        <w:rPr>
          <w:rFonts w:eastAsiaTheme="minorEastAsia"/>
        </w:rPr>
        <w:t>. The report mentions that in order to reduce our emissions by 45% in 2030 (compared with 2010), the fossil fuel consumption should be limited to approximately 6 EJ of the total energy demand from the global fleet (the estimated energy demand by the global fleet is projected to be 12.1 to 14.2 EJ in 2030) (see</w:t>
      </w:r>
      <w:r w:rsidR="00DE7F4C" w:rsidRPr="00C66C24">
        <w:rPr>
          <w:rFonts w:eastAsiaTheme="minorEastAsia"/>
        </w:rPr>
        <w:t xml:space="preserve"> </w:t>
      </w:r>
      <w:r w:rsidR="00DA5A54" w:rsidRPr="00C66C24">
        <w:rPr>
          <w:rFonts w:eastAsiaTheme="minorEastAsia"/>
          <w:szCs w:val="22"/>
        </w:rPr>
        <w:fldChar w:fldCharType="begin"/>
      </w:r>
      <w:r w:rsidR="00DA5A54" w:rsidRPr="00C66C24">
        <w:rPr>
          <w:rFonts w:eastAsiaTheme="minorEastAsia"/>
          <w:szCs w:val="22"/>
        </w:rPr>
        <w:instrText xml:space="preserve"> REF _Ref157430795 \h </w:instrText>
      </w:r>
      <w:r w:rsidR="00851D74" w:rsidRPr="00C66C24">
        <w:rPr>
          <w:rFonts w:eastAsiaTheme="minorEastAsia"/>
          <w:szCs w:val="22"/>
        </w:rPr>
        <w:instrText xml:space="preserve"> \* MERGEFORMAT </w:instrText>
      </w:r>
      <w:r w:rsidR="00DA5A54" w:rsidRPr="00C66C24">
        <w:rPr>
          <w:rFonts w:eastAsiaTheme="minorEastAsia"/>
          <w:szCs w:val="22"/>
        </w:rPr>
      </w:r>
      <w:r w:rsidR="00DA5A54" w:rsidRPr="00C66C24">
        <w:rPr>
          <w:rFonts w:eastAsiaTheme="minorEastAsia"/>
          <w:szCs w:val="22"/>
        </w:rPr>
        <w:fldChar w:fldCharType="separate"/>
      </w:r>
      <w:r w:rsidR="00DA5A54" w:rsidRPr="00C66C24">
        <w:rPr>
          <w:szCs w:val="22"/>
        </w:rPr>
        <w:t xml:space="preserve">Figure </w:t>
      </w:r>
      <w:r w:rsidR="00DA5A54" w:rsidRPr="00C66C24">
        <w:rPr>
          <w:noProof/>
          <w:szCs w:val="22"/>
        </w:rPr>
        <w:t>3</w:t>
      </w:r>
      <w:r w:rsidR="00DA5A54" w:rsidRPr="00C66C24">
        <w:rPr>
          <w:szCs w:val="22"/>
        </w:rPr>
        <w:t>.</w:t>
      </w:r>
      <w:r w:rsidR="00DA5A54" w:rsidRPr="00C66C24">
        <w:rPr>
          <w:noProof/>
          <w:szCs w:val="22"/>
        </w:rPr>
        <w:t>4</w:t>
      </w:r>
      <w:r w:rsidR="00DA5A54" w:rsidRPr="00C66C24">
        <w:rPr>
          <w:rFonts w:eastAsiaTheme="minorEastAsia"/>
          <w:szCs w:val="22"/>
        </w:rPr>
        <w:fldChar w:fldCharType="end"/>
      </w:r>
      <w:r w:rsidRPr="00C66C24">
        <w:rPr>
          <w:rFonts w:eastAsiaTheme="minorEastAsia"/>
        </w:rPr>
        <w:t>). Leaving aside the alternative of reducing the activity of the sector, this can be achieved by implementing both energy efficiency measures and replacing fossil fuels with low-emission alternative fuels. In other words, limiting the sector emissions requires using both less and greener fuels.</w:t>
      </w:r>
    </w:p>
    <w:p w14:paraId="16222ECF" w14:textId="77777777" w:rsidR="00C04ECD" w:rsidRPr="00C66C24" w:rsidRDefault="00C04ECD" w:rsidP="008C6A9C">
      <w:pPr>
        <w:keepNext/>
        <w:spacing w:before="0" w:after="0" w:line="257" w:lineRule="auto"/>
        <w:jc w:val="center"/>
      </w:pPr>
      <w:r w:rsidRPr="00C66C24">
        <w:rPr>
          <w:rFonts w:eastAsiaTheme="minorEastAsia"/>
        </w:rPr>
        <w:t xml:space="preserve"> </w:t>
      </w:r>
      <w:r w:rsidRPr="00C66C24">
        <w:rPr>
          <w:noProof/>
        </w:rPr>
        <w:drawing>
          <wp:inline distT="0" distB="0" distL="0" distR="0" wp14:anchorId="6BD6CD13" wp14:editId="0BB9AD50">
            <wp:extent cx="5209349" cy="29603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546527"/>
                    <pic:cNvPicPr/>
                  </pic:nvPicPr>
                  <pic:blipFill rotWithShape="1">
                    <a:blip r:embed="rId99">
                      <a:extLst>
                        <a:ext uri="{28A0092B-C50C-407E-A947-70E740481C1C}">
                          <a14:useLocalDpi xmlns:a14="http://schemas.microsoft.com/office/drawing/2010/main" val="0"/>
                        </a:ext>
                      </a:extLst>
                    </a:blip>
                    <a:srcRect t="16030"/>
                    <a:stretch/>
                  </pic:blipFill>
                  <pic:spPr bwMode="auto">
                    <a:xfrm>
                      <a:off x="0" y="0"/>
                      <a:ext cx="5210032" cy="2960758"/>
                    </a:xfrm>
                    <a:prstGeom prst="rect">
                      <a:avLst/>
                    </a:prstGeom>
                    <a:ln>
                      <a:noFill/>
                    </a:ln>
                    <a:extLst>
                      <a:ext uri="{53640926-AAD7-44D8-BBD7-CCE9431645EC}">
                        <a14:shadowObscured xmlns:a14="http://schemas.microsoft.com/office/drawing/2010/main"/>
                      </a:ext>
                    </a:extLst>
                  </pic:spPr>
                </pic:pic>
              </a:graphicData>
            </a:graphic>
          </wp:inline>
        </w:drawing>
      </w:r>
    </w:p>
    <w:p w14:paraId="386A88AD" w14:textId="7B8C6D87" w:rsidR="00C04ECD" w:rsidRPr="00C66C24" w:rsidRDefault="007A2A09" w:rsidP="007A2A09">
      <w:pPr>
        <w:pStyle w:val="Caption"/>
        <w:spacing w:after="0"/>
        <w:jc w:val="center"/>
        <w:rPr>
          <w:rFonts w:eastAsiaTheme="minorEastAsia"/>
          <w:sz w:val="20"/>
          <w:szCs w:val="20"/>
        </w:rPr>
      </w:pPr>
      <w:bookmarkStart w:id="245" w:name="_Ref157430795"/>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3</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A81F61" w:rsidRPr="00C66C24">
        <w:rPr>
          <w:noProof/>
          <w:sz w:val="20"/>
          <w:szCs w:val="20"/>
        </w:rPr>
        <w:t>4</w:t>
      </w:r>
      <w:r w:rsidR="00A81F61" w:rsidRPr="00C66C24">
        <w:rPr>
          <w:sz w:val="20"/>
          <w:szCs w:val="20"/>
        </w:rPr>
        <w:fldChar w:fldCharType="end"/>
      </w:r>
      <w:bookmarkEnd w:id="245"/>
      <w:r w:rsidRPr="00C66C24">
        <w:rPr>
          <w:sz w:val="20"/>
          <w:szCs w:val="20"/>
        </w:rPr>
        <w:t xml:space="preserve"> Emissions based on three scenarios, ’no decarbonisation’ ’business as usual’ ’Paris 1.5 trajectory’’ between 2010 and 2050</w:t>
      </w:r>
      <w:r w:rsidR="0081629D" w:rsidRPr="00C66C24">
        <w:rPr>
          <w:sz w:val="20"/>
          <w:szCs w:val="20"/>
        </w:rPr>
        <w:t xml:space="preserve"> </w:t>
      </w:r>
      <w:r w:rsidR="005A1C06" w:rsidRPr="00C66C24">
        <w:rPr>
          <w:sz w:val="20"/>
          <w:szCs w:val="20"/>
        </w:rPr>
        <w:t>based on IPCC global trajectory</w:t>
      </w:r>
      <w:r w:rsidRPr="00C66C24">
        <w:rPr>
          <w:sz w:val="20"/>
          <w:szCs w:val="20"/>
        </w:rPr>
        <w:t>.</w:t>
      </w:r>
    </w:p>
    <w:p w14:paraId="0B7CCA73" w14:textId="42A984B6" w:rsidR="00623505" w:rsidRPr="00C66C24" w:rsidRDefault="00623505" w:rsidP="008971BF">
      <w:pPr>
        <w:spacing w:before="0" w:after="120"/>
        <w:jc w:val="center"/>
        <w:rPr>
          <w:rFonts w:ascii="Calibri" w:eastAsia="Calibri" w:hAnsi="Calibri" w:cs="Calibri"/>
          <w:bCs/>
          <w:color w:val="000000" w:themeColor="text1"/>
          <w:sz w:val="20"/>
          <w:szCs w:val="20"/>
        </w:rPr>
      </w:pPr>
      <w:r w:rsidRPr="00C66C24">
        <w:rPr>
          <w:rFonts w:ascii="Calibri" w:eastAsia="Calibri" w:hAnsi="Calibri" w:cs="Calibri"/>
          <w:bCs/>
          <w:color w:val="000000" w:themeColor="text1"/>
          <w:sz w:val="20"/>
          <w:szCs w:val="20"/>
        </w:rPr>
        <w:t>Source: Maritime Decarbonisation Strategy 2022, Maersk Mc-Kinney Moller Centre.</w:t>
      </w:r>
    </w:p>
    <w:p w14:paraId="63C04356" w14:textId="77777777" w:rsidR="00C04ECD" w:rsidRPr="00C66C24" w:rsidRDefault="00C04ECD" w:rsidP="008C6A9C">
      <w:pPr>
        <w:pStyle w:val="Heading3"/>
        <w:spacing w:line="257" w:lineRule="auto"/>
      </w:pPr>
      <w:bookmarkStart w:id="246" w:name="_Toc157762102"/>
      <w:r w:rsidRPr="00C66C24">
        <w:t>Roadmap to energy transition in 2030 and 2050</w:t>
      </w:r>
      <w:bookmarkEnd w:id="246"/>
    </w:p>
    <w:p w14:paraId="61E431FA" w14:textId="614A512A" w:rsidR="00C04ECD" w:rsidRPr="00C66C24" w:rsidRDefault="00C04ECD" w:rsidP="008C6A9C">
      <w:pPr>
        <w:spacing w:before="0" w:after="0" w:line="257" w:lineRule="auto"/>
      </w:pPr>
      <w:r w:rsidRPr="00C66C24">
        <w:t>Based on the 2023 IMO GHG strategy, by 2030 international shipping should reduce the total annual GHG emissions by at least 20%, striving for 30%, as well as reducing its carbon intensity by at least 40% compared to 2008. In contrast, the EU targets by 2030 set the maximum GHG intensity of the energy used on board ships to be 85</w:t>
      </w:r>
      <w:r w:rsidR="00406FA8">
        <w:t>.</w:t>
      </w:r>
      <w:r w:rsidRPr="00C66C24">
        <w:t>6904 CO</w:t>
      </w:r>
      <w:r w:rsidRPr="00C66C24">
        <w:rPr>
          <w:vertAlign w:val="subscript"/>
        </w:rPr>
        <w:t>2</w:t>
      </w:r>
      <w:r w:rsidRPr="00C66C24">
        <w:t>eq/MJ (from a baseline of 91</w:t>
      </w:r>
      <w:r w:rsidR="00406FA8">
        <w:t>.</w:t>
      </w:r>
      <w:r w:rsidRPr="00C66C24">
        <w:t>16 CO</w:t>
      </w:r>
      <w:r w:rsidRPr="00C66C24">
        <w:rPr>
          <w:vertAlign w:val="subscript"/>
        </w:rPr>
        <w:t>2</w:t>
      </w:r>
      <w:r w:rsidRPr="00C66C24">
        <w:t>eq/MJ in 2020). In addition,</w:t>
      </w:r>
      <w:r w:rsidRPr="00C66C24" w:rsidDel="00AD2A08">
        <w:t xml:space="preserve"> a share of 1% in renewable fuels of non-biological origin (RFNBO) (i.e. </w:t>
      </w:r>
      <w:r w:rsidRPr="00C66C24">
        <w:t>synthetic fuels) in the energy used on board (in 2031) would also be required.</w:t>
      </w:r>
    </w:p>
    <w:p w14:paraId="1C9208EB" w14:textId="43371279" w:rsidR="00C04ECD" w:rsidRPr="00C66C24" w:rsidRDefault="00C04ECD" w:rsidP="00EE1EF2">
      <w:pPr>
        <w:spacing w:before="0" w:after="120" w:line="257" w:lineRule="auto"/>
        <w:rPr>
          <w:color w:val="000000" w:themeColor="text1"/>
          <w:szCs w:val="22"/>
        </w:rPr>
      </w:pPr>
      <w:r w:rsidRPr="00C66C24">
        <w:t xml:space="preserve">The above targets already provide some important indications of the necessary adaptations the maritime industry must make in the coming decades. The shipping global energy consumption is of approximately 14 EJ/year </w:t>
      </w:r>
      <w:r w:rsidRPr="00C66C24">
        <w:fldChar w:fldCharType="begin"/>
      </w:r>
      <w:r w:rsidR="001855E3" w:rsidRPr="00C66C24">
        <w:instrText xml:space="preserve"> ADDIN ZOTERO_ITEM CSL_CITATION {"citationID":"a2mum9l98lr","properties":{"formattedCitation":"\\uldash{(IMO, 2020)}","plainCitation":"(IMO, 2020)","dontUpdate":true,"noteIndex":0},"citationItems":[{"id":1068,"uris":["http://zotero.org/groups/122386/items/HJNG5DQJ"],"itemData":{"id":1068,"type":"report","event-place":"London, UK","publisher":"International Maritime Organization","publisher-place":"London, UK","title":"Fourth IMO greenhouse gas study","URL":"https://wwwcdn.imo.org/localresources/en/OurWork/Environment/Documents/Fourth%20IMO%20GHG%20Study%202020%20-%20Full%20report%20and%20annexes.pdf","author":[{"literal":"IMO"}],"accessed":{"date-parts":[["2020",12,20]]},"issued":{"date-parts":[["2020"]]}}}],"schema":"https://github.com/citation-style-language/schema/raw/master/csl-citation.json"} </w:instrText>
      </w:r>
      <w:r w:rsidRPr="00C66C24">
        <w:fldChar w:fldCharType="separate"/>
      </w:r>
      <w:r w:rsidRPr="00C66C24">
        <w:rPr>
          <w:rFonts w:ascii="Calibri" w:hAnsi="Calibri" w:cs="Calibri"/>
        </w:rPr>
        <w:t>(IMO, 2020a)</w:t>
      </w:r>
      <w:r w:rsidRPr="00C66C24">
        <w:fldChar w:fldCharType="end"/>
      </w:r>
      <w:r w:rsidRPr="00C66C24">
        <w:t xml:space="preserve">, equivalent to 3.2% of the global primary energy consumption of 442 EJ/year (2022; </w:t>
      </w:r>
      <w:r w:rsidRPr="00C66C24">
        <w:fldChar w:fldCharType="begin"/>
      </w:r>
      <w:r w:rsidR="001855E3" w:rsidRPr="00C66C24">
        <w:instrText xml:space="preserve"> ADDIN ZOTERO_ITEM CSL_CITATION {"citationID":"a2bjaeiq9ur","properties":{"formattedCitation":"\\uldash{(IEA, 2023)}","plainCitation":"(IEA, 2023)","dontUpdate":true,"noteIndex":0},"citationItems":[{"id":54204,"uris":["http://zotero.org/groups/122386/items/MELCD6TP"],"itemData":{"id":54204,"type":"report","language":"EN","publisher":"International Energy Agency","title":"World Energy Outlook 2023","URL":"https://iea.blob.core.windows.net/assets/614bb748-dc5e-440b-966a-adae9ea022fe/WorldEnergyOutlook2023.pdf","author":[{"literal":"IEA"}],"issued":{"date-parts":[["2023",10]]}}}],"schema":"https://github.com/citation-style-language/schema/raw/master/csl-citation.json"} </w:instrText>
      </w:r>
      <w:r w:rsidRPr="00C66C24">
        <w:fldChar w:fldCharType="separate"/>
      </w:r>
      <w:r w:rsidRPr="00C66C24">
        <w:rPr>
          <w:rFonts w:ascii="Calibri" w:hAnsi="Calibri" w:cs="Calibri"/>
        </w:rPr>
        <w:t>IEA, 2023)</w:t>
      </w:r>
      <w:r w:rsidRPr="00C66C24">
        <w:fldChar w:fldCharType="end"/>
      </w:r>
      <w:r w:rsidRPr="00C66C24">
        <w:t>. In order to achieve the expected emission reductions and energy intensity expected from the various provisions by 2030, fossil fuel c</w:t>
      </w:r>
      <w:r w:rsidRPr="00C66C24">
        <w:rPr>
          <w:color w:val="000000" w:themeColor="text1"/>
          <w:szCs w:val="22"/>
        </w:rPr>
        <w:t>onsumption should be limited to approximately 11</w:t>
      </w:r>
      <w:r w:rsidR="000F730B">
        <w:rPr>
          <w:color w:val="000000" w:themeColor="text1"/>
          <w:szCs w:val="22"/>
        </w:rPr>
        <w:t>.</w:t>
      </w:r>
      <w:r w:rsidRPr="00C66C24">
        <w:rPr>
          <w:color w:val="000000" w:themeColor="text1"/>
          <w:szCs w:val="22"/>
        </w:rPr>
        <w:t>28 EJ</w:t>
      </w:r>
      <w:r w:rsidRPr="00C66C24">
        <w:rPr>
          <w:color w:val="000000" w:themeColor="text1"/>
        </w:rPr>
        <w:t xml:space="preserve"> </w:t>
      </w:r>
      <w:r w:rsidRPr="00C66C24">
        <w:rPr>
          <w:color w:val="000000" w:themeColor="text1"/>
          <w:szCs w:val="22"/>
        </w:rPr>
        <w:t>of the total energy demand.</w:t>
      </w:r>
    </w:p>
    <w:p w14:paraId="065E5CE2" w14:textId="35BD807E" w:rsidR="00623505" w:rsidRPr="00C66C24" w:rsidRDefault="00C04ECD" w:rsidP="008C6A9C">
      <w:pPr>
        <w:keepNext/>
        <w:spacing w:before="0" w:after="0" w:line="257" w:lineRule="auto"/>
        <w:jc w:val="center"/>
        <w:rPr>
          <w:rFonts w:eastAsiaTheme="minorEastAsia"/>
        </w:rPr>
      </w:pPr>
      <w:r w:rsidRPr="00C66C24">
        <w:rPr>
          <w:noProof/>
        </w:rPr>
        <w:drawing>
          <wp:inline distT="0" distB="0" distL="0" distR="0" wp14:anchorId="7AEF4B3F" wp14:editId="03BDA866">
            <wp:extent cx="5721350" cy="14118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0">
                      <a:extLst>
                        <a:ext uri="{28A0092B-C50C-407E-A947-70E740481C1C}">
                          <a14:useLocalDpi xmlns:a14="http://schemas.microsoft.com/office/drawing/2010/main" val="0"/>
                        </a:ext>
                      </a:extLst>
                    </a:blip>
                    <a:srcRect t="11634"/>
                    <a:stretch/>
                  </pic:blipFill>
                  <pic:spPr bwMode="auto">
                    <a:xfrm>
                      <a:off x="0" y="0"/>
                      <a:ext cx="5766359" cy="1422941"/>
                    </a:xfrm>
                    <a:prstGeom prst="rect">
                      <a:avLst/>
                    </a:prstGeom>
                    <a:ln>
                      <a:noFill/>
                    </a:ln>
                    <a:extLst>
                      <a:ext uri="{53640926-AAD7-44D8-BBD7-CCE9431645EC}">
                        <a14:shadowObscured xmlns:a14="http://schemas.microsoft.com/office/drawing/2010/main"/>
                      </a:ext>
                    </a:extLst>
                  </pic:spPr>
                </pic:pic>
              </a:graphicData>
            </a:graphic>
          </wp:inline>
        </w:drawing>
      </w:r>
    </w:p>
    <w:p w14:paraId="4EEA401E" w14:textId="49BB6CC0" w:rsidR="00C04ECD" w:rsidRPr="00C66C24" w:rsidRDefault="00A81F61" w:rsidP="00E01923">
      <w:pPr>
        <w:pStyle w:val="Caption"/>
        <w:spacing w:after="0"/>
        <w:jc w:val="center"/>
        <w:rPr>
          <w:rFonts w:cstheme="minorHAnsi"/>
          <w:b w:val="0"/>
          <w:color w:val="44546A"/>
          <w:sz w:val="20"/>
          <w:szCs w:val="20"/>
        </w:rPr>
      </w:pPr>
      <w:r w:rsidRPr="00C66C24">
        <w:rPr>
          <w:sz w:val="20"/>
          <w:szCs w:val="20"/>
        </w:rPr>
        <w:t xml:space="preserve">Figure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Pr="00C66C24">
        <w:rPr>
          <w:noProof/>
          <w:sz w:val="20"/>
          <w:szCs w:val="20"/>
        </w:rPr>
        <w:t>3</w:t>
      </w:r>
      <w:r w:rsidRPr="00C66C24">
        <w:rPr>
          <w:sz w:val="20"/>
          <w:szCs w:val="20"/>
        </w:rPr>
        <w:fldChar w:fldCharType="end"/>
      </w:r>
      <w:r w:rsidRPr="00C66C24">
        <w:rPr>
          <w:sz w:val="20"/>
          <w:szCs w:val="20"/>
        </w:rPr>
        <w:t>.</w:t>
      </w:r>
      <w:r w:rsidRPr="00C66C24">
        <w:rPr>
          <w:sz w:val="20"/>
          <w:szCs w:val="20"/>
        </w:rPr>
        <w:fldChar w:fldCharType="begin"/>
      </w:r>
      <w:r w:rsidRPr="00C66C24">
        <w:rPr>
          <w:sz w:val="20"/>
          <w:szCs w:val="20"/>
        </w:rPr>
        <w:instrText xml:space="preserve"> SEQ Figure \* ARABIC \s 1 </w:instrText>
      </w:r>
      <w:r w:rsidRPr="00C66C24">
        <w:rPr>
          <w:sz w:val="20"/>
          <w:szCs w:val="20"/>
        </w:rPr>
        <w:fldChar w:fldCharType="separate"/>
      </w:r>
      <w:r w:rsidR="00E01923" w:rsidRPr="00C66C24">
        <w:rPr>
          <w:noProof/>
          <w:sz w:val="20"/>
          <w:szCs w:val="20"/>
        </w:rPr>
        <w:t>5</w:t>
      </w:r>
      <w:r w:rsidRPr="00C66C24">
        <w:rPr>
          <w:sz w:val="20"/>
          <w:szCs w:val="20"/>
        </w:rPr>
        <w:fldChar w:fldCharType="end"/>
      </w:r>
      <w:r w:rsidRPr="00C66C24">
        <w:rPr>
          <w:sz w:val="20"/>
          <w:szCs w:val="20"/>
        </w:rPr>
        <w:t xml:space="preserve"> Percentage of global fleet using conventional vs alternative fuels per vessels in operation, on order and regarding the new contracts in 2023.</w:t>
      </w:r>
    </w:p>
    <w:p w14:paraId="6E8446F6" w14:textId="313B9547" w:rsidR="00C04ECD" w:rsidRPr="00C66C24" w:rsidRDefault="00BB1C32" w:rsidP="00E01923">
      <w:pPr>
        <w:spacing w:before="0" w:after="120"/>
        <w:jc w:val="center"/>
        <w:rPr>
          <w:rFonts w:eastAsia="Calibri" w:cstheme="minorHAnsi"/>
          <w:iCs w:val="0"/>
          <w:color w:val="000000"/>
          <w:sz w:val="20"/>
          <w:szCs w:val="20"/>
        </w:rPr>
      </w:pPr>
      <w:r w:rsidRPr="00C66C24">
        <w:rPr>
          <w:rFonts w:eastAsia="Calibri" w:cstheme="minorHAnsi"/>
          <w:color w:val="000000"/>
          <w:sz w:val="20"/>
          <w:szCs w:val="20"/>
        </w:rPr>
        <w:t>Source: DNV – AFI, 2023.</w:t>
      </w:r>
    </w:p>
    <w:p w14:paraId="63A34C9E" w14:textId="77777777" w:rsidR="00C04ECD" w:rsidRPr="00C66C24" w:rsidRDefault="00C04ECD" w:rsidP="008C6A9C">
      <w:pPr>
        <w:keepNext/>
        <w:spacing w:before="0" w:after="0" w:line="257" w:lineRule="auto"/>
        <w:jc w:val="center"/>
        <w:rPr>
          <w:rFonts w:cstheme="minorHAnsi"/>
          <w:iCs w:val="0"/>
        </w:rPr>
      </w:pPr>
      <w:r w:rsidRPr="00C66C24">
        <w:rPr>
          <w:noProof/>
        </w:rPr>
        <w:drawing>
          <wp:inline distT="0" distB="0" distL="0" distR="0" wp14:anchorId="6B32E034" wp14:editId="197B00F0">
            <wp:extent cx="4039235" cy="251885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052958" cy="2527416"/>
                    </a:xfrm>
                    <a:prstGeom prst="rect">
                      <a:avLst/>
                    </a:prstGeom>
                    <a:noFill/>
                    <a:ln>
                      <a:noFill/>
                    </a:ln>
                  </pic:spPr>
                </pic:pic>
              </a:graphicData>
            </a:graphic>
          </wp:inline>
        </w:drawing>
      </w:r>
    </w:p>
    <w:p w14:paraId="0ABF2FFB" w14:textId="24FF7FEA" w:rsidR="00C04ECD" w:rsidRPr="00C66C24" w:rsidRDefault="00BB1C32" w:rsidP="008C6A9C">
      <w:pPr>
        <w:spacing w:before="0" w:after="0" w:line="257" w:lineRule="auto"/>
        <w:jc w:val="center"/>
        <w:rPr>
          <w:rFonts w:cstheme="minorHAnsi"/>
          <w:b/>
          <w:color w:val="44546A"/>
          <w:sz w:val="20"/>
          <w:szCs w:val="20"/>
        </w:rPr>
      </w:pPr>
      <w:bookmarkStart w:id="247" w:name="_Ref151392200"/>
      <w:r w:rsidRPr="00C66C24">
        <w:rPr>
          <w:rFonts w:cstheme="minorHAnsi"/>
          <w:b/>
          <w:color w:val="44546A"/>
          <w:sz w:val="20"/>
          <w:szCs w:val="20"/>
        </w:rPr>
        <w:t xml:space="preserve">Figure </w:t>
      </w:r>
      <w:r w:rsidR="00A81F61" w:rsidRPr="00C66C24">
        <w:rPr>
          <w:rFonts w:cstheme="minorHAnsi"/>
          <w:b/>
          <w:color w:val="44546A"/>
          <w:sz w:val="20"/>
          <w:szCs w:val="20"/>
        </w:rPr>
        <w:fldChar w:fldCharType="begin"/>
      </w:r>
      <w:r w:rsidR="00A81F61" w:rsidRPr="00C66C24">
        <w:rPr>
          <w:rFonts w:cstheme="minorHAnsi"/>
          <w:b/>
          <w:color w:val="44546A"/>
          <w:sz w:val="20"/>
          <w:szCs w:val="20"/>
        </w:rPr>
        <w:instrText xml:space="preserve"> STYLEREF 1 \s </w:instrText>
      </w:r>
      <w:r w:rsidR="00A81F61" w:rsidRPr="00C66C24">
        <w:rPr>
          <w:rFonts w:cstheme="minorHAnsi"/>
          <w:b/>
          <w:color w:val="44546A"/>
          <w:sz w:val="20"/>
          <w:szCs w:val="20"/>
        </w:rPr>
        <w:fldChar w:fldCharType="separate"/>
      </w:r>
      <w:r w:rsidR="00A81F61" w:rsidRPr="00C66C24">
        <w:rPr>
          <w:rFonts w:cstheme="minorHAnsi"/>
          <w:b/>
          <w:noProof/>
          <w:color w:val="44546A"/>
          <w:sz w:val="20"/>
          <w:szCs w:val="20"/>
        </w:rPr>
        <w:t>3</w:t>
      </w:r>
      <w:r w:rsidR="00A81F61" w:rsidRPr="00C66C24">
        <w:rPr>
          <w:rFonts w:cstheme="minorHAnsi"/>
          <w:b/>
          <w:color w:val="44546A"/>
          <w:sz w:val="20"/>
          <w:szCs w:val="20"/>
        </w:rPr>
        <w:fldChar w:fldCharType="end"/>
      </w:r>
      <w:r w:rsidR="00A81F61" w:rsidRPr="00C66C24">
        <w:rPr>
          <w:rFonts w:cstheme="minorHAnsi"/>
          <w:b/>
          <w:color w:val="44546A"/>
          <w:sz w:val="20"/>
          <w:szCs w:val="20"/>
        </w:rPr>
        <w:t>.</w:t>
      </w:r>
      <w:r w:rsidR="00A81F61" w:rsidRPr="00C66C24">
        <w:rPr>
          <w:rFonts w:cstheme="minorHAnsi"/>
          <w:b/>
          <w:color w:val="44546A"/>
          <w:sz w:val="20"/>
          <w:szCs w:val="20"/>
        </w:rPr>
        <w:fldChar w:fldCharType="begin"/>
      </w:r>
      <w:r w:rsidR="00A81F61" w:rsidRPr="00C66C24">
        <w:rPr>
          <w:rFonts w:cstheme="minorHAnsi"/>
          <w:b/>
          <w:color w:val="44546A"/>
          <w:sz w:val="20"/>
          <w:szCs w:val="20"/>
        </w:rPr>
        <w:instrText xml:space="preserve"> SEQ Figure \* ARABIC \s 1 </w:instrText>
      </w:r>
      <w:r w:rsidR="00A81F61" w:rsidRPr="00C66C24">
        <w:rPr>
          <w:rFonts w:cstheme="minorHAnsi"/>
          <w:b/>
          <w:color w:val="44546A"/>
          <w:sz w:val="20"/>
          <w:szCs w:val="20"/>
        </w:rPr>
        <w:fldChar w:fldCharType="separate"/>
      </w:r>
      <w:r w:rsidR="00E01923" w:rsidRPr="00C66C24">
        <w:rPr>
          <w:rFonts w:cstheme="minorHAnsi"/>
          <w:b/>
          <w:noProof/>
          <w:color w:val="44546A"/>
          <w:sz w:val="20"/>
          <w:szCs w:val="20"/>
        </w:rPr>
        <w:t>6</w:t>
      </w:r>
      <w:r w:rsidR="00A81F61" w:rsidRPr="00C66C24">
        <w:rPr>
          <w:rFonts w:cstheme="minorHAnsi"/>
          <w:b/>
          <w:color w:val="44546A"/>
          <w:sz w:val="20"/>
          <w:szCs w:val="20"/>
        </w:rPr>
        <w:fldChar w:fldCharType="end"/>
      </w:r>
      <w:r w:rsidR="00C04ECD" w:rsidRPr="00C66C24">
        <w:rPr>
          <w:rFonts w:cstheme="minorHAnsi"/>
          <w:b/>
          <w:color w:val="44546A"/>
          <w:sz w:val="20"/>
          <w:szCs w:val="20"/>
        </w:rPr>
        <w:t xml:space="preserve"> Global number of vessels using or capable of using alternative fuels (in operation or on order) 2023.</w:t>
      </w:r>
    </w:p>
    <w:p w14:paraId="1930922F" w14:textId="1E17725B" w:rsidR="00C04ECD" w:rsidRPr="00C66C24" w:rsidRDefault="00C04ECD" w:rsidP="000D08F2">
      <w:pPr>
        <w:spacing w:before="0" w:after="120" w:line="257" w:lineRule="auto"/>
        <w:jc w:val="center"/>
        <w:rPr>
          <w:rFonts w:cstheme="minorHAnsi"/>
          <w:bCs/>
          <w:color w:val="000000"/>
          <w:sz w:val="20"/>
          <w:szCs w:val="20"/>
        </w:rPr>
      </w:pPr>
      <w:r w:rsidRPr="00C66C24">
        <w:rPr>
          <w:rFonts w:cstheme="minorHAnsi"/>
          <w:bCs/>
          <w:color w:val="000000"/>
          <w:sz w:val="20"/>
          <w:szCs w:val="20"/>
        </w:rPr>
        <w:t>Source: EAFO, 2023.</w:t>
      </w:r>
    </w:p>
    <w:p w14:paraId="7764D642" w14:textId="77777777" w:rsidR="00C04ECD" w:rsidRPr="00C66C24" w:rsidRDefault="00C04ECD" w:rsidP="008C6A9C">
      <w:pPr>
        <w:spacing w:before="0" w:after="0" w:line="257" w:lineRule="auto"/>
      </w:pPr>
      <w:r w:rsidRPr="00C66C24">
        <w:t>RED certified sustainable biofuels with at least 65% less well-to-wake GHG emissions compared with fossil fuels can use reduced CO</w:t>
      </w:r>
      <w:r w:rsidRPr="00C66C24">
        <w:rPr>
          <w:vertAlign w:val="subscript"/>
        </w:rPr>
        <w:t>2</w:t>
      </w:r>
      <w:r w:rsidRPr="00C66C24">
        <w:t xml:space="preserve">-emission factors. This, together with their drop-in characteristics, means that biofuels should become an immediate, attractive, and cost-effective solution for the existing fleet. </w:t>
      </w:r>
    </w:p>
    <w:p w14:paraId="2B9A8368" w14:textId="256DCD90" w:rsidR="00C04ECD" w:rsidRPr="00C66C24" w:rsidRDefault="00C04ECD" w:rsidP="00E1026B">
      <w:pPr>
        <w:spacing w:before="0" w:after="120" w:line="257" w:lineRule="auto"/>
      </w:pPr>
      <w:r w:rsidRPr="00C66C24">
        <w:t>The projections for the availability of sustainable biomass volumes vary considerably. Projections for 2030 forecast between 6.3 to 8.0 exajoules (EJ) of available biomass volume in the EU and increasing to 6.7 to 14.7 EJ by 2050. In 2030, maritime shipping is projected to consume 1 to 2.4% of the EU’s potential biomass. Among the different biofuels, looking into their potential based on their sustainability, availability, technology readiness level (TRL) for production, suitability, and projected cost, the most promising are bio-methanol, synthetic Fischer-</w:t>
      </w:r>
      <w:proofErr w:type="spellStart"/>
      <w:r w:rsidRPr="00C66C24">
        <w:t>Tropsch</w:t>
      </w:r>
      <w:proofErr w:type="spellEnd"/>
      <w:r w:rsidRPr="00C66C24">
        <w:t xml:space="preserve"> (FT) diesel, biomethane from digestion of waste and residues, and Dimethyl ether (DME). In 2030, the total cost of ownership (TCO) of some biofuels (i.e. </w:t>
      </w:r>
      <w:r w:rsidRPr="00C66C24">
        <w:rPr>
          <w:rFonts w:ascii="Calibri" w:eastAsia="Calibri" w:hAnsi="Calibri" w:cs="Calibri"/>
          <w:iCs w:val="0"/>
          <w:color w:val="000000" w:themeColor="text1"/>
          <w:szCs w:val="22"/>
        </w:rPr>
        <w:t xml:space="preserve">hydrotreated vegetable oil </w:t>
      </w:r>
      <w:r w:rsidRPr="00C66C24">
        <w:t xml:space="preserve">and FT) is at a similar level as the estimated TCO for a conventional marine fossil fuel oil. For the other biofuels, the TCO would still remain </w:t>
      </w:r>
      <w:r w:rsidRPr="00C66C24">
        <w:rPr>
          <w:szCs w:val="22"/>
        </w:rPr>
        <w:t xml:space="preserve">higher compared to marine fossil fuels, though clearly the difference would be lower than in 2022 (see </w:t>
      </w:r>
      <w:r w:rsidRPr="00C66C24">
        <w:rPr>
          <w:szCs w:val="22"/>
        </w:rPr>
        <w:fldChar w:fldCharType="begin"/>
      </w:r>
      <w:r w:rsidRPr="00C66C24">
        <w:rPr>
          <w:szCs w:val="22"/>
        </w:rPr>
        <w:instrText xml:space="preserve"> REF _Ref151392591 \h </w:instrText>
      </w:r>
      <w:r w:rsidR="00E1026B" w:rsidRPr="00C66C24">
        <w:rPr>
          <w:szCs w:val="22"/>
        </w:rPr>
        <w:instrText xml:space="preserve"> \* MERGEFORMAT </w:instrText>
      </w:r>
      <w:r w:rsidRPr="00C66C24">
        <w:rPr>
          <w:szCs w:val="22"/>
        </w:rPr>
      </w:r>
      <w:r w:rsidRPr="00C66C24">
        <w:rPr>
          <w:szCs w:val="22"/>
        </w:rPr>
        <w:fldChar w:fldCharType="separate"/>
      </w:r>
      <w:r w:rsidR="00E1026B" w:rsidRPr="00C66C24">
        <w:rPr>
          <w:szCs w:val="22"/>
        </w:rPr>
        <w:t xml:space="preserve">Table </w:t>
      </w:r>
      <w:r w:rsidR="00E1026B" w:rsidRPr="00C66C24">
        <w:rPr>
          <w:noProof/>
          <w:szCs w:val="22"/>
        </w:rPr>
        <w:t>3</w:t>
      </w:r>
      <w:r w:rsidR="00E1026B" w:rsidRPr="00C66C24">
        <w:rPr>
          <w:szCs w:val="22"/>
        </w:rPr>
        <w:t>.</w:t>
      </w:r>
      <w:r w:rsidR="00E1026B" w:rsidRPr="00C66C24">
        <w:rPr>
          <w:noProof/>
          <w:szCs w:val="22"/>
        </w:rPr>
        <w:t>1</w:t>
      </w:r>
      <w:r w:rsidRPr="00C66C24">
        <w:rPr>
          <w:szCs w:val="22"/>
        </w:rPr>
        <w:fldChar w:fldCharType="end"/>
      </w:r>
      <w:r w:rsidRPr="00C66C24">
        <w:t>).</w:t>
      </w:r>
    </w:p>
    <w:bookmarkEnd w:id="247"/>
    <w:p w14:paraId="7472A1E5" w14:textId="760398BA" w:rsidR="00BB1C32" w:rsidRPr="00C66C24" w:rsidRDefault="00C04ECD" w:rsidP="008C6A9C">
      <w:pPr>
        <w:spacing w:before="0" w:after="0" w:line="257" w:lineRule="auto"/>
        <w:rPr>
          <w:sz w:val="20"/>
          <w:szCs w:val="20"/>
        </w:rPr>
      </w:pPr>
      <w:r w:rsidRPr="00C66C24">
        <w:rPr>
          <w:noProof/>
          <w:sz w:val="20"/>
        </w:rPr>
        <w:drawing>
          <wp:inline distT="0" distB="0" distL="0" distR="0" wp14:anchorId="5E49551F" wp14:editId="788C1C44">
            <wp:extent cx="5731510" cy="2392070"/>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t="6943" b="2241"/>
                    <a:stretch/>
                  </pic:blipFill>
                  <pic:spPr bwMode="auto">
                    <a:xfrm>
                      <a:off x="0" y="0"/>
                      <a:ext cx="5731510" cy="2392070"/>
                    </a:xfrm>
                    <a:prstGeom prst="rect">
                      <a:avLst/>
                    </a:prstGeom>
                    <a:noFill/>
                    <a:ln>
                      <a:noFill/>
                    </a:ln>
                    <a:extLst>
                      <a:ext uri="{53640926-AAD7-44D8-BBD7-CCE9431645EC}">
                        <a14:shadowObscured xmlns:a14="http://schemas.microsoft.com/office/drawing/2010/main"/>
                      </a:ext>
                    </a:extLst>
                  </pic:spPr>
                </pic:pic>
              </a:graphicData>
            </a:graphic>
          </wp:inline>
        </w:drawing>
      </w:r>
    </w:p>
    <w:p w14:paraId="6CB9BF1B" w14:textId="0A7D7975" w:rsidR="00BB1C32" w:rsidRPr="00C66C24" w:rsidRDefault="00BB1C32" w:rsidP="008C6A9C">
      <w:pPr>
        <w:pStyle w:val="Caption"/>
        <w:spacing w:after="0" w:line="257" w:lineRule="auto"/>
        <w:jc w:val="center"/>
        <w:rPr>
          <w:sz w:val="20"/>
          <w:szCs w:val="20"/>
        </w:rPr>
      </w:pPr>
      <w:bookmarkStart w:id="248" w:name="_Ref151392591"/>
      <w:r w:rsidRPr="00C66C24">
        <w:rPr>
          <w:sz w:val="20"/>
          <w:szCs w:val="20"/>
        </w:rPr>
        <w:t xml:space="preserve">Table </w:t>
      </w:r>
      <w:r w:rsidR="000F2E4C" w:rsidRPr="00C66C24">
        <w:rPr>
          <w:sz w:val="20"/>
          <w:szCs w:val="20"/>
        </w:rPr>
        <w:fldChar w:fldCharType="begin"/>
      </w:r>
      <w:r w:rsidR="000F2E4C" w:rsidRPr="00C66C24">
        <w:rPr>
          <w:sz w:val="20"/>
          <w:szCs w:val="20"/>
        </w:rPr>
        <w:instrText xml:space="preserve"> STYLEREF 1 \s </w:instrText>
      </w:r>
      <w:r w:rsidR="000F2E4C" w:rsidRPr="00C66C24">
        <w:rPr>
          <w:sz w:val="20"/>
          <w:szCs w:val="20"/>
        </w:rPr>
        <w:fldChar w:fldCharType="separate"/>
      </w:r>
      <w:r w:rsidR="00C6330B" w:rsidRPr="00C66C24">
        <w:rPr>
          <w:noProof/>
          <w:sz w:val="20"/>
          <w:szCs w:val="20"/>
        </w:rPr>
        <w:t>3</w:t>
      </w:r>
      <w:r w:rsidR="000F2E4C" w:rsidRPr="00C66C24">
        <w:rPr>
          <w:sz w:val="20"/>
          <w:szCs w:val="20"/>
        </w:rPr>
        <w:fldChar w:fldCharType="end"/>
      </w:r>
      <w:r w:rsidR="000F2E4C" w:rsidRPr="00C66C24">
        <w:rPr>
          <w:sz w:val="20"/>
          <w:szCs w:val="20"/>
        </w:rPr>
        <w:t>.</w:t>
      </w:r>
      <w:r w:rsidR="000F2E4C" w:rsidRPr="00C66C24">
        <w:rPr>
          <w:sz w:val="20"/>
          <w:szCs w:val="20"/>
        </w:rPr>
        <w:fldChar w:fldCharType="begin"/>
      </w:r>
      <w:r w:rsidR="000F2E4C" w:rsidRPr="00C66C24">
        <w:rPr>
          <w:sz w:val="20"/>
          <w:szCs w:val="20"/>
        </w:rPr>
        <w:instrText xml:space="preserve"> SEQ Table \* ARABIC \s 1 </w:instrText>
      </w:r>
      <w:r w:rsidR="000F2E4C" w:rsidRPr="00C66C24">
        <w:rPr>
          <w:sz w:val="20"/>
          <w:szCs w:val="20"/>
        </w:rPr>
        <w:fldChar w:fldCharType="separate"/>
      </w:r>
      <w:r w:rsidR="00AE7E1A" w:rsidRPr="00C66C24">
        <w:rPr>
          <w:noProof/>
          <w:sz w:val="20"/>
          <w:szCs w:val="20"/>
        </w:rPr>
        <w:t>1</w:t>
      </w:r>
      <w:r w:rsidR="000F2E4C" w:rsidRPr="00C66C24">
        <w:rPr>
          <w:sz w:val="20"/>
          <w:szCs w:val="20"/>
        </w:rPr>
        <w:fldChar w:fldCharType="end"/>
      </w:r>
      <w:bookmarkEnd w:id="248"/>
      <w:r w:rsidRPr="00C66C24">
        <w:rPr>
          <w:sz w:val="20"/>
          <w:szCs w:val="20"/>
        </w:rPr>
        <w:t xml:space="preserve"> Comparison of biofuel cost developments.</w:t>
      </w:r>
    </w:p>
    <w:p w14:paraId="7759A96C" w14:textId="737702F4" w:rsidR="00BB1C32" w:rsidRPr="00C66C24" w:rsidRDefault="00BB1C32" w:rsidP="00E1026B">
      <w:pPr>
        <w:spacing w:before="0" w:after="120" w:line="257" w:lineRule="auto"/>
        <w:jc w:val="center"/>
        <w:rPr>
          <w:sz w:val="20"/>
          <w:szCs w:val="20"/>
        </w:rPr>
      </w:pPr>
      <w:r w:rsidRPr="00C66C24">
        <w:rPr>
          <w:sz w:val="20"/>
          <w:szCs w:val="20"/>
        </w:rPr>
        <w:t>Source: EMSA, in publication</w:t>
      </w:r>
      <w:r w:rsidR="00E1026B" w:rsidRPr="00C66C24">
        <w:rPr>
          <w:sz w:val="20"/>
          <w:szCs w:val="20"/>
        </w:rPr>
        <w:t>.</w:t>
      </w:r>
    </w:p>
    <w:p w14:paraId="078C252B" w14:textId="7AD55386" w:rsidR="00C04ECD" w:rsidRPr="00C66C24" w:rsidRDefault="00C04ECD" w:rsidP="008C6A9C">
      <w:pPr>
        <w:spacing w:before="0" w:after="0" w:line="257" w:lineRule="auto"/>
        <w:rPr>
          <w:rFonts w:eastAsia="MS Mincho" w:cstheme="minorHAnsi"/>
          <w:iCs w:val="0"/>
        </w:rPr>
      </w:pPr>
      <w:r w:rsidRPr="00C66C24">
        <w:rPr>
          <w:rFonts w:eastAsia="MS Mincho" w:cstheme="minorHAnsi"/>
          <w:color w:val="000000" w:themeColor="text1"/>
          <w:szCs w:val="22"/>
        </w:rPr>
        <w:t>The LNG fleet has been growing on a yearly basis</w:t>
      </w:r>
      <w:r w:rsidRPr="00C66C24">
        <w:rPr>
          <w:rFonts w:eastAsia="MS Mincho" w:cstheme="minorHAnsi"/>
        </w:rPr>
        <w:t>. From 2021 to 2022 the fleet grew by 32.2%. In total there are 79 bunkering facilities worldwide, of which 33 are in Europe. The total capacity from the 33 bunkering facilities in Europe is 163,796 m</w:t>
      </w:r>
      <w:r w:rsidRPr="00C66C24">
        <w:rPr>
          <w:rFonts w:eastAsia="MS Mincho" w:cstheme="minorHAnsi"/>
          <w:vertAlign w:val="superscript"/>
        </w:rPr>
        <w:t>3</w:t>
      </w:r>
      <w:r w:rsidRPr="00C66C24">
        <w:rPr>
          <w:rFonts w:eastAsia="MS Mincho" w:cstheme="minorHAnsi"/>
        </w:rPr>
        <w:t xml:space="preserve">. The use of LNG as fuel remains as the main alternative of the technological options </w:t>
      </w:r>
      <w:r w:rsidR="00BF3072" w:rsidRPr="00C66C24">
        <w:rPr>
          <w:rFonts w:eastAsia="MS Mincho" w:cstheme="minorHAnsi"/>
        </w:rPr>
        <w:fldChar w:fldCharType="begin"/>
      </w:r>
      <w:r w:rsidR="00BF3072" w:rsidRPr="00C66C24">
        <w:rPr>
          <w:rFonts w:eastAsia="MS Mincho" w:cstheme="minorHAnsi"/>
        </w:rPr>
        <w:instrText xml:space="preserve"> ADDIN ZOTERO_ITEM CSL_CITATION {"citationID":"a2f5g9m4u6","properties":{"formattedCitation":"\\uldash{(EAFO, 2023)}","plainCitation":"(EAFO, 2023)","noteIndex":0},"citationItems":[{"id":59496,"uris":["http://zotero.org/groups/122386/items/NQFYVCRC"],"itemData":{"id":59496,"type":"webpage","abstract":"In this section, you may access detailed graphs about the uptake of alternative fuels and technologies on maritime ships and infrastructure. You may browse the vessels report, based on ship types, region (global or Europe), technology and more.","title":"Maritime | European Alternative Fuels Observatory","URL":"https://alternative-fuels-observatory.ec.europa.eu/transport-mode/maritime-sea","author":[{"literal":"EAFO"}],"issued":{"date-parts":[["2023"]]}}}],"schema":"https://github.com/citation-style-language/schema/raw/master/csl-citation.json"} </w:instrText>
      </w:r>
      <w:r w:rsidR="00BF3072" w:rsidRPr="00C66C24">
        <w:rPr>
          <w:rFonts w:eastAsia="MS Mincho" w:cstheme="minorHAnsi"/>
        </w:rPr>
        <w:fldChar w:fldCharType="separate"/>
      </w:r>
      <w:r w:rsidR="00BF3072" w:rsidRPr="00C66C24">
        <w:rPr>
          <w:rFonts w:ascii="Calibri" w:hAnsi="Calibri" w:cs="Calibri"/>
        </w:rPr>
        <w:t>(EAFO, 2023)</w:t>
      </w:r>
      <w:r w:rsidR="00BF3072" w:rsidRPr="00C66C24">
        <w:rPr>
          <w:rFonts w:eastAsia="MS Mincho" w:cstheme="minorHAnsi"/>
        </w:rPr>
        <w:fldChar w:fldCharType="end"/>
      </w:r>
      <w:r w:rsidRPr="00C66C24">
        <w:rPr>
          <w:rFonts w:eastAsia="MS Mincho" w:cstheme="minorHAnsi"/>
        </w:rPr>
        <w:t xml:space="preserve"> available to shipowners for car carriers and container ships, and it is also becoming significant for tankers and bulk carriers.</w:t>
      </w:r>
    </w:p>
    <w:p w14:paraId="47309683" w14:textId="77777777" w:rsidR="00C04ECD" w:rsidRPr="00C66C24" w:rsidRDefault="00C04ECD" w:rsidP="00E1026B">
      <w:pPr>
        <w:spacing w:before="0" w:after="0" w:line="257" w:lineRule="auto"/>
      </w:pPr>
      <w:r w:rsidRPr="00C66C24">
        <w:rPr>
          <w:rFonts w:eastAsia="MS Mincho" w:cstheme="minorHAnsi"/>
        </w:rPr>
        <w:t>Although LNG, the liquid form of natural gas, which is composed mostly of methane, is a hydrocarbon-based source of energy. LNG combustion determines lower GHG emissions compared to marine diesel but also entails emissions from non-combusted methane (i.e. slipped emissions). In addition, methane emissions from leakage during extraction, processing, and transport phases as well as from unburned methane are questioning the contribution of using LNG in shipping to achieving the GHG emission targets.</w:t>
      </w:r>
    </w:p>
    <w:p w14:paraId="788DE5EB" w14:textId="7AACA84F" w:rsidR="00C04ECD" w:rsidRPr="00C66C24" w:rsidRDefault="00C04ECD" w:rsidP="00FE1866">
      <w:pPr>
        <w:spacing w:before="0" w:after="120" w:line="257" w:lineRule="auto"/>
      </w:pPr>
      <w:r w:rsidRPr="00C66C24">
        <w:rPr>
          <w:rFonts w:eastAsiaTheme="minorEastAsia"/>
          <w:szCs w:val="22"/>
        </w:rPr>
        <w:t xml:space="preserve">From the forecast of EAFO until 2026, among the various power solutions under construction and their delivery date, LNG continues to be one of the main </w:t>
      </w:r>
      <w:r w:rsidRPr="00C66C24">
        <w:rPr>
          <w:rFonts w:eastAsiaTheme="minorEastAsia"/>
          <w:color w:val="000000" w:themeColor="text1"/>
          <w:szCs w:val="22"/>
        </w:rPr>
        <w:t>alternatives to conventional marine fuel oil</w:t>
      </w:r>
      <w:r w:rsidRPr="00C66C24" w:rsidDel="00006927">
        <w:rPr>
          <w:rFonts w:eastAsiaTheme="minorEastAsia"/>
          <w:color w:val="000000" w:themeColor="text1"/>
          <w:szCs w:val="22"/>
        </w:rPr>
        <w:t xml:space="preserve"> </w:t>
      </w:r>
      <w:r w:rsidRPr="00C66C24">
        <w:rPr>
          <w:rFonts w:eastAsiaTheme="minorEastAsia"/>
          <w:color w:val="000000" w:themeColor="text1"/>
          <w:szCs w:val="22"/>
        </w:rPr>
        <w:t>onboard ships, followed by batteries in the present and in the coming years (</w:t>
      </w:r>
      <w:r w:rsidR="00FE1866" w:rsidRPr="00C66C24">
        <w:rPr>
          <w:rFonts w:eastAsiaTheme="minorEastAsia"/>
          <w:color w:val="000000" w:themeColor="text1"/>
          <w:szCs w:val="22"/>
        </w:rPr>
        <w:fldChar w:fldCharType="begin"/>
      </w:r>
      <w:r w:rsidR="00FE1866" w:rsidRPr="00C66C24">
        <w:rPr>
          <w:rFonts w:eastAsiaTheme="minorEastAsia"/>
          <w:color w:val="000000" w:themeColor="text1"/>
          <w:szCs w:val="22"/>
        </w:rPr>
        <w:instrText xml:space="preserve"> REF _Ref157431638 \h  \* MERGEFORMAT </w:instrText>
      </w:r>
      <w:r w:rsidR="00FE1866" w:rsidRPr="00C66C24">
        <w:rPr>
          <w:rFonts w:eastAsiaTheme="minorEastAsia"/>
          <w:color w:val="000000" w:themeColor="text1"/>
          <w:szCs w:val="22"/>
        </w:rPr>
      </w:r>
      <w:r w:rsidR="00FE1866" w:rsidRPr="00C66C24">
        <w:rPr>
          <w:rFonts w:eastAsiaTheme="minorEastAsia"/>
          <w:color w:val="000000" w:themeColor="text1"/>
          <w:szCs w:val="22"/>
        </w:rPr>
        <w:fldChar w:fldCharType="separate"/>
      </w:r>
      <w:r w:rsidR="00FE1866" w:rsidRPr="00C66C24">
        <w:rPr>
          <w:rFonts w:cstheme="minorHAnsi"/>
          <w:color w:val="000000" w:themeColor="text1"/>
          <w:szCs w:val="22"/>
        </w:rPr>
        <w:t xml:space="preserve">Figure </w:t>
      </w:r>
      <w:r w:rsidR="00FE1866" w:rsidRPr="00C66C24">
        <w:rPr>
          <w:rFonts w:cstheme="minorHAnsi"/>
          <w:noProof/>
          <w:color w:val="000000" w:themeColor="text1"/>
          <w:szCs w:val="22"/>
        </w:rPr>
        <w:t>3</w:t>
      </w:r>
      <w:r w:rsidR="00FE1866" w:rsidRPr="00C66C24">
        <w:rPr>
          <w:rFonts w:cstheme="minorHAnsi"/>
          <w:color w:val="000000" w:themeColor="text1"/>
          <w:szCs w:val="22"/>
        </w:rPr>
        <w:t>.</w:t>
      </w:r>
      <w:r w:rsidR="00FE1866" w:rsidRPr="00C66C24">
        <w:rPr>
          <w:rFonts w:cstheme="minorHAnsi"/>
          <w:noProof/>
          <w:color w:val="000000" w:themeColor="text1"/>
          <w:szCs w:val="22"/>
        </w:rPr>
        <w:t>7</w:t>
      </w:r>
      <w:r w:rsidR="00FE1866" w:rsidRPr="00C66C24">
        <w:rPr>
          <w:rFonts w:eastAsiaTheme="minorEastAsia"/>
          <w:color w:val="000000" w:themeColor="text1"/>
          <w:szCs w:val="22"/>
        </w:rPr>
        <w:fldChar w:fldCharType="end"/>
      </w:r>
      <w:r w:rsidRPr="00C66C24">
        <w:rPr>
          <w:rFonts w:eastAsiaTheme="minorEastAsia"/>
          <w:color w:val="000000" w:themeColor="text1"/>
          <w:szCs w:val="22"/>
        </w:rPr>
        <w:t>).</w:t>
      </w:r>
    </w:p>
    <w:p w14:paraId="76BA6DF7" w14:textId="77777777" w:rsidR="00C04ECD" w:rsidRPr="00C66C24" w:rsidRDefault="00C04ECD" w:rsidP="001C5536">
      <w:pPr>
        <w:keepNext/>
        <w:spacing w:before="0" w:after="0" w:line="257" w:lineRule="auto"/>
        <w:jc w:val="center"/>
        <w:rPr>
          <w:rFonts w:cstheme="minorHAnsi"/>
          <w:iCs w:val="0"/>
        </w:rPr>
      </w:pPr>
      <w:r w:rsidRPr="00C66C24">
        <w:rPr>
          <w:noProof/>
          <w:sz w:val="18"/>
        </w:rPr>
        <w:drawing>
          <wp:inline distT="0" distB="0" distL="0" distR="0" wp14:anchorId="22C81285" wp14:editId="0F3D9F2B">
            <wp:extent cx="4425963" cy="3021631"/>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440619" cy="3031637"/>
                    </a:xfrm>
                    <a:prstGeom prst="rect">
                      <a:avLst/>
                    </a:prstGeom>
                    <a:noFill/>
                    <a:ln>
                      <a:noFill/>
                    </a:ln>
                  </pic:spPr>
                </pic:pic>
              </a:graphicData>
            </a:graphic>
          </wp:inline>
        </w:drawing>
      </w:r>
    </w:p>
    <w:p w14:paraId="691997D6" w14:textId="5E0F4246" w:rsidR="00C04ECD" w:rsidRPr="00C66C24" w:rsidRDefault="00C04ECD" w:rsidP="008C6A9C">
      <w:pPr>
        <w:spacing w:before="0" w:after="0" w:line="257" w:lineRule="auto"/>
        <w:jc w:val="center"/>
        <w:rPr>
          <w:rFonts w:cstheme="minorHAnsi"/>
          <w:b/>
          <w:color w:val="44546A"/>
          <w:sz w:val="20"/>
          <w:szCs w:val="20"/>
        </w:rPr>
      </w:pPr>
      <w:bookmarkStart w:id="249" w:name="_Ref157431638"/>
      <w:r w:rsidRPr="00C66C24">
        <w:rPr>
          <w:rFonts w:cstheme="minorHAnsi"/>
          <w:b/>
          <w:color w:val="44546A"/>
          <w:sz w:val="20"/>
          <w:szCs w:val="20"/>
        </w:rPr>
        <w:t xml:space="preserve">Figure </w:t>
      </w:r>
      <w:r w:rsidR="00A81F61" w:rsidRPr="00C66C24">
        <w:rPr>
          <w:rFonts w:cstheme="minorHAnsi"/>
          <w:b/>
          <w:color w:val="44546A"/>
          <w:sz w:val="20"/>
          <w:szCs w:val="20"/>
        </w:rPr>
        <w:fldChar w:fldCharType="begin"/>
      </w:r>
      <w:r w:rsidR="00A81F61" w:rsidRPr="00C66C24">
        <w:rPr>
          <w:rFonts w:cstheme="minorHAnsi"/>
          <w:b/>
          <w:color w:val="44546A"/>
          <w:sz w:val="20"/>
          <w:szCs w:val="20"/>
        </w:rPr>
        <w:instrText xml:space="preserve"> STYLEREF 1 \s </w:instrText>
      </w:r>
      <w:r w:rsidR="00A81F61" w:rsidRPr="00C66C24">
        <w:rPr>
          <w:rFonts w:cstheme="minorHAnsi"/>
          <w:b/>
          <w:color w:val="44546A"/>
          <w:sz w:val="20"/>
          <w:szCs w:val="20"/>
        </w:rPr>
        <w:fldChar w:fldCharType="separate"/>
      </w:r>
      <w:r w:rsidR="00A81F61" w:rsidRPr="00C66C24">
        <w:rPr>
          <w:rFonts w:cstheme="minorHAnsi"/>
          <w:b/>
          <w:noProof/>
          <w:color w:val="44546A"/>
          <w:sz w:val="20"/>
          <w:szCs w:val="20"/>
        </w:rPr>
        <w:t>3</w:t>
      </w:r>
      <w:r w:rsidR="00A81F61" w:rsidRPr="00C66C24">
        <w:rPr>
          <w:rFonts w:cstheme="minorHAnsi"/>
          <w:b/>
          <w:color w:val="44546A"/>
          <w:sz w:val="20"/>
          <w:szCs w:val="20"/>
        </w:rPr>
        <w:fldChar w:fldCharType="end"/>
      </w:r>
      <w:r w:rsidR="00A81F61" w:rsidRPr="00C66C24">
        <w:rPr>
          <w:rFonts w:cstheme="minorHAnsi"/>
          <w:b/>
          <w:color w:val="44546A"/>
          <w:sz w:val="20"/>
          <w:szCs w:val="20"/>
        </w:rPr>
        <w:t>.</w:t>
      </w:r>
      <w:r w:rsidR="00A81F61" w:rsidRPr="00C66C24">
        <w:rPr>
          <w:rFonts w:cstheme="minorHAnsi"/>
          <w:b/>
          <w:color w:val="44546A"/>
          <w:sz w:val="20"/>
          <w:szCs w:val="20"/>
        </w:rPr>
        <w:fldChar w:fldCharType="begin"/>
      </w:r>
      <w:r w:rsidR="00A81F61" w:rsidRPr="00C66C24">
        <w:rPr>
          <w:rFonts w:cstheme="minorHAnsi"/>
          <w:b/>
          <w:color w:val="44546A"/>
          <w:sz w:val="20"/>
          <w:szCs w:val="20"/>
        </w:rPr>
        <w:instrText xml:space="preserve"> SEQ Figure \* ARABIC \s 1 </w:instrText>
      </w:r>
      <w:r w:rsidR="00A81F61" w:rsidRPr="00C66C24">
        <w:rPr>
          <w:rFonts w:cstheme="minorHAnsi"/>
          <w:b/>
          <w:color w:val="44546A"/>
          <w:sz w:val="20"/>
          <w:szCs w:val="20"/>
        </w:rPr>
        <w:fldChar w:fldCharType="separate"/>
      </w:r>
      <w:r w:rsidR="00D34339" w:rsidRPr="00C66C24">
        <w:rPr>
          <w:rFonts w:cstheme="minorHAnsi"/>
          <w:b/>
          <w:noProof/>
          <w:color w:val="44546A"/>
          <w:sz w:val="20"/>
          <w:szCs w:val="20"/>
        </w:rPr>
        <w:t>7</w:t>
      </w:r>
      <w:r w:rsidR="00A81F61" w:rsidRPr="00C66C24">
        <w:rPr>
          <w:rFonts w:cstheme="minorHAnsi"/>
          <w:b/>
          <w:color w:val="44546A"/>
          <w:sz w:val="20"/>
          <w:szCs w:val="20"/>
        </w:rPr>
        <w:fldChar w:fldCharType="end"/>
      </w:r>
      <w:bookmarkEnd w:id="249"/>
      <w:r w:rsidRPr="00C66C24">
        <w:rPr>
          <w:rFonts w:cstheme="minorHAnsi"/>
          <w:b/>
          <w:color w:val="44546A"/>
          <w:sz w:val="20"/>
          <w:szCs w:val="20"/>
        </w:rPr>
        <w:t xml:space="preserve"> Alternative power solutions by number of ships in the EU (2003-2023) and forecast (2024-2026).</w:t>
      </w:r>
    </w:p>
    <w:p w14:paraId="3A6CF6D5" w14:textId="7DE25C14" w:rsidR="00C04ECD" w:rsidRPr="00C66C24" w:rsidRDefault="00C04ECD" w:rsidP="001C5536">
      <w:pPr>
        <w:spacing w:before="0" w:after="120" w:line="257" w:lineRule="auto"/>
        <w:jc w:val="center"/>
        <w:rPr>
          <w:rFonts w:eastAsia="MS Mincho" w:cstheme="minorHAnsi"/>
          <w:color w:val="000000"/>
          <w:sz w:val="20"/>
          <w:szCs w:val="20"/>
        </w:rPr>
      </w:pPr>
      <w:r w:rsidRPr="00C66C24">
        <w:rPr>
          <w:rFonts w:cstheme="minorHAnsi"/>
          <w:bCs/>
          <w:color w:val="000000"/>
          <w:sz w:val="20"/>
          <w:szCs w:val="20"/>
        </w:rPr>
        <w:t>Source: EAFO, 2023.</w:t>
      </w:r>
    </w:p>
    <w:p w14:paraId="7A54B1ED" w14:textId="4F782101" w:rsidR="00C04ECD" w:rsidRPr="00C66C24" w:rsidRDefault="00C04ECD" w:rsidP="00047BBD">
      <w:pPr>
        <w:spacing w:before="0" w:after="120" w:line="257" w:lineRule="auto"/>
      </w:pPr>
      <w:r w:rsidRPr="00C66C24">
        <w:t>The demand for methanol is expected to increase. The number of ships using methanol is still very low (20 ships) but increasing. However in 2023, 142 ships able to use methanol as fuel</w:t>
      </w:r>
      <w:r w:rsidR="008A0819">
        <w:t xml:space="preserve"> have  been placed on order</w:t>
      </w:r>
      <w:r w:rsidRPr="00C66C24">
        <w:t xml:space="preserve"> </w:t>
      </w:r>
      <w:r w:rsidRPr="00C66C24">
        <w:fldChar w:fldCharType="begin"/>
      </w:r>
      <w:r w:rsidR="001855E3" w:rsidRPr="00C66C24">
        <w:instrText xml:space="preserve"> ADDIN ZOTERO_ITEM CSL_CITATION {"citationID":"arotb4302h","properties":{"formattedCitation":"(DNV, 2023a)","plainCitation":"(DNV, 2023a)","noteIndex":0},"citationItems":[{"id":53003,"uris":["http://zotero.org/groups/122386/items/J26IS7WN"],"itemData":{"id":53003,"type":"document","abstract":"DNV’s annual Energy Transition Outlook presents the results from our independent model of the world’s energy system. It covers the period through to 2050 and forecasts the energy mix, supply and demand globally and in 10 world regions.","language":"en","publisher":"DNV","title":"Energy Transition Outlook - Maritime Forecast to 2050","URL":"https://www.dnv.com/Default","author":[{"family":"DNV","given":""}],"accessed":{"date-parts":[["2023",11,14]]},"issued":{"date-parts":[["2023"]]}}}],"schema":"https://github.com/citation-style-language/schema/raw/master/csl-citation.json"} </w:instrText>
      </w:r>
      <w:r w:rsidRPr="00C66C24">
        <w:fldChar w:fldCharType="separate"/>
      </w:r>
      <w:r w:rsidR="001855E3" w:rsidRPr="00C66C24">
        <w:rPr>
          <w:rFonts w:ascii="Calibri" w:hAnsi="Calibri" w:cs="Calibri"/>
        </w:rPr>
        <w:t>(DNV, 2023</w:t>
      </w:r>
      <w:r w:rsidR="00C85867">
        <w:rPr>
          <w:rFonts w:ascii="Calibri" w:hAnsi="Calibri" w:cs="Calibri"/>
        </w:rPr>
        <w:t>b</w:t>
      </w:r>
      <w:r w:rsidR="001855E3" w:rsidRPr="00C66C24">
        <w:rPr>
          <w:rFonts w:ascii="Calibri" w:hAnsi="Calibri" w:cs="Calibri"/>
        </w:rPr>
        <w:t>)</w:t>
      </w:r>
      <w:r w:rsidRPr="00C66C24">
        <w:fldChar w:fldCharType="end"/>
      </w:r>
      <w:r w:rsidRPr="00C66C24">
        <w:t xml:space="preserve">. Together with biofuels replacing fully or partially the existing power solutions for maritime, synthetic fuels, including e-fuels, can be considered advantageous as ‘drop-in’ fuels, </w:t>
      </w:r>
      <w:r w:rsidR="00D7407A">
        <w:t xml:space="preserve">and are also </w:t>
      </w:r>
      <w:r w:rsidRPr="00C66C24">
        <w:t>expected to replace fossil fuels in the future. The existing standards and regulations, as well as the ongoing regulatory development, industry guidance and best-practice publications are expected to facilitate to some extent their adoption as marine fuels. However, for a wide adoption of these fuels, there is still a need for further development. Renewable e-fuels (i.e. fuels made from renewable hydrogen (produced using renewable electricity and water electrolysis) and renewable CO</w:t>
      </w:r>
      <w:r w:rsidRPr="00C66C24">
        <w:rPr>
          <w:vertAlign w:val="subscript"/>
        </w:rPr>
        <w:t>2</w:t>
      </w:r>
      <w:r w:rsidRPr="00C66C24">
        <w:t>, if required) can include notably e-diesel, e-methane, e-methanol or, in the longer term, e-ammonia. The most practical way to introduce e-fuels in shipping is either by fully replacing fuel oils or by blending e-fuels with compatible fossil-based marine fuels in quantities verified by equipment suppliers and engine designers. The introduction of drop-in e-fuels such as e-diesel and e-methane allows for the continued use of current fuel infrastructure and ship engines. Early estimations indicate that the cost of these e- fuels (in EU</w:t>
      </w:r>
      <w:r w:rsidRPr="00C66C24">
        <w:rPr>
          <w:szCs w:val="22"/>
        </w:rPr>
        <w:t>R/GJ) would still be significantly higher compared to that of marine fossil fuels (</w:t>
      </w:r>
      <w:r w:rsidR="00047BBD" w:rsidRPr="00C66C24">
        <w:rPr>
          <w:szCs w:val="22"/>
        </w:rPr>
        <w:fldChar w:fldCharType="begin"/>
      </w:r>
      <w:r w:rsidR="00047BBD" w:rsidRPr="00C66C24">
        <w:rPr>
          <w:szCs w:val="22"/>
        </w:rPr>
        <w:instrText xml:space="preserve"> REF _Ref151471808 \h  \* MERGEFORMAT </w:instrText>
      </w:r>
      <w:r w:rsidR="00047BBD" w:rsidRPr="00C66C24">
        <w:rPr>
          <w:szCs w:val="22"/>
        </w:rPr>
      </w:r>
      <w:r w:rsidR="00047BBD" w:rsidRPr="00C66C24">
        <w:rPr>
          <w:szCs w:val="22"/>
        </w:rPr>
        <w:fldChar w:fldCharType="separate"/>
      </w:r>
      <w:r w:rsidR="00047BBD" w:rsidRPr="00C66C24">
        <w:rPr>
          <w:szCs w:val="22"/>
        </w:rPr>
        <w:t xml:space="preserve">Figure </w:t>
      </w:r>
      <w:r w:rsidR="00047BBD" w:rsidRPr="00C66C24">
        <w:rPr>
          <w:noProof/>
          <w:szCs w:val="22"/>
        </w:rPr>
        <w:t>3</w:t>
      </w:r>
      <w:r w:rsidR="00047BBD" w:rsidRPr="00C66C24">
        <w:rPr>
          <w:szCs w:val="22"/>
        </w:rPr>
        <w:t>.</w:t>
      </w:r>
      <w:r w:rsidR="00047BBD" w:rsidRPr="00C66C24">
        <w:rPr>
          <w:noProof/>
          <w:szCs w:val="22"/>
        </w:rPr>
        <w:t>8</w:t>
      </w:r>
      <w:r w:rsidR="00047BBD" w:rsidRPr="00C66C24">
        <w:rPr>
          <w:szCs w:val="22"/>
        </w:rPr>
        <w:fldChar w:fldCharType="end"/>
      </w:r>
      <w:r w:rsidRPr="00C66C24">
        <w:rPr>
          <w:szCs w:val="22"/>
        </w:rPr>
        <w:t>).</w:t>
      </w:r>
      <w:r w:rsidRPr="00C66C24">
        <w:t xml:space="preserve"> </w:t>
      </w:r>
    </w:p>
    <w:p w14:paraId="7DD36D51" w14:textId="0306FEFA" w:rsidR="00BB1C32" w:rsidRPr="00C66C24" w:rsidRDefault="00C04ECD" w:rsidP="008C6A9C">
      <w:pPr>
        <w:spacing w:before="0" w:after="0" w:line="257" w:lineRule="auto"/>
        <w:rPr>
          <w:rFonts w:cstheme="minorHAnsi"/>
          <w:iCs w:val="0"/>
        </w:rPr>
      </w:pPr>
      <w:r w:rsidRPr="00C66C24">
        <w:rPr>
          <w:noProof/>
        </w:rPr>
        <w:drawing>
          <wp:inline distT="0" distB="0" distL="0" distR="0" wp14:anchorId="43AD157E" wp14:editId="621E4F6C">
            <wp:extent cx="5440013" cy="297961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450560" cy="2985389"/>
                    </a:xfrm>
                    <a:prstGeom prst="rect">
                      <a:avLst/>
                    </a:prstGeom>
                    <a:noFill/>
                  </pic:spPr>
                </pic:pic>
              </a:graphicData>
            </a:graphic>
          </wp:inline>
        </w:drawing>
      </w:r>
    </w:p>
    <w:p w14:paraId="1E521C96" w14:textId="40C27BB7" w:rsidR="00BB1C32" w:rsidRPr="00C66C24" w:rsidRDefault="00BB1C32" w:rsidP="008C6A9C">
      <w:pPr>
        <w:pStyle w:val="Caption"/>
        <w:spacing w:after="0" w:line="257" w:lineRule="auto"/>
        <w:jc w:val="center"/>
        <w:rPr>
          <w:sz w:val="20"/>
          <w:szCs w:val="20"/>
        </w:rPr>
      </w:pPr>
      <w:bookmarkStart w:id="250" w:name="_Ref151471808"/>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3</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896125" w:rsidRPr="00C66C24">
        <w:rPr>
          <w:noProof/>
          <w:sz w:val="20"/>
          <w:szCs w:val="20"/>
        </w:rPr>
        <w:t>8</w:t>
      </w:r>
      <w:r w:rsidR="00A81F61" w:rsidRPr="00C66C24">
        <w:rPr>
          <w:sz w:val="20"/>
          <w:szCs w:val="20"/>
        </w:rPr>
        <w:fldChar w:fldCharType="end"/>
      </w:r>
      <w:bookmarkEnd w:id="250"/>
      <w:r w:rsidR="00C04ECD" w:rsidRPr="00C66C24">
        <w:rPr>
          <w:sz w:val="20"/>
          <w:szCs w:val="20"/>
        </w:rPr>
        <w:t xml:space="preserve"> Projected fuel cost of e-fuels and VLSFO Including carbon cost).</w:t>
      </w:r>
    </w:p>
    <w:p w14:paraId="4F1F6FD9" w14:textId="77777777" w:rsidR="00BB1C32" w:rsidRPr="00C66C24" w:rsidRDefault="00BB1C32" w:rsidP="00896125">
      <w:pPr>
        <w:spacing w:before="0" w:after="120" w:line="257" w:lineRule="auto"/>
        <w:jc w:val="center"/>
        <w:rPr>
          <w:sz w:val="20"/>
          <w:szCs w:val="20"/>
        </w:rPr>
      </w:pPr>
      <w:r w:rsidRPr="00C66C24">
        <w:rPr>
          <w:sz w:val="20"/>
          <w:szCs w:val="20"/>
        </w:rPr>
        <w:t>Source: EMSA, in publication.</w:t>
      </w:r>
    </w:p>
    <w:p w14:paraId="10392689" w14:textId="74584C17" w:rsidR="00344236" w:rsidRPr="00C66C24" w:rsidRDefault="000D4F57" w:rsidP="00C21744">
      <w:pPr>
        <w:spacing w:before="0" w:after="0" w:line="257" w:lineRule="auto"/>
      </w:pPr>
      <w:r w:rsidRPr="00C66C24">
        <w:t>Electrification will play an important role in short-range waterborne applications, and in hybrid power solutions</w:t>
      </w:r>
      <w:r w:rsidR="00165BB7" w:rsidRPr="00C66C24">
        <w:t>. This is a pattern for the wider transport sector; t</w:t>
      </w:r>
      <w:r w:rsidRPr="00C66C24">
        <w:t xml:space="preserve">he AFIR and </w:t>
      </w:r>
      <w:proofErr w:type="spellStart"/>
      <w:r w:rsidRPr="00C66C24">
        <w:t>FuelEU</w:t>
      </w:r>
      <w:proofErr w:type="spellEnd"/>
      <w:r w:rsidRPr="00C66C24">
        <w:t xml:space="preserve"> </w:t>
      </w:r>
      <w:r w:rsidR="00654873">
        <w:t xml:space="preserve">Maritime </w:t>
      </w:r>
      <w:r w:rsidRPr="00C66C24">
        <w:t>requirements on OPS</w:t>
      </w:r>
      <w:r w:rsidR="00165BB7" w:rsidRPr="00C66C24">
        <w:t xml:space="preserve"> by 2030 will encourage the adoption of electric solutions for maritime applications. The ZEWT partnership has the objective of demonstrating by 2030 the technologies that will enable vessels no navigate up to 150-200 nm, integrating high-capacity batteries solutions as single energy source</w:t>
      </w:r>
      <w:r w:rsidR="001A7C82" w:rsidRPr="00C66C24">
        <w:t xml:space="preserve"> </w:t>
      </w:r>
      <w:r w:rsidR="001A7C82" w:rsidRPr="00C66C24">
        <w:fldChar w:fldCharType="begin"/>
      </w:r>
      <w:r w:rsidR="001A7C82" w:rsidRPr="00C66C24">
        <w:instrText xml:space="preserve"> ADDIN ZOTERO_ITEM CSL_CITATION {"citationID":"a2jk5sn8j2n","properties":{"formattedCitation":"\\uldash{(ZEWT partnership, 2021)}","plainCitation":"(ZEWT partnership, 2021)","noteIndex":0},"citationItems":[{"id":59484,"uris":["http://zotero.org/groups/122386/items/UAGJA5QS"],"itemData":{"id":59484,"type":"webpage","title":"Waterborne - Zero-Emission Waterborne Transport","URL":"https://www.waterborne.eu/partnership/partnership","author":[{"literal":"ZEWT partnership"}],"issued":{"date-parts":[["2021"]]}}}],"schema":"https://github.com/citation-style-language/schema/raw/master/csl-citation.json"} </w:instrText>
      </w:r>
      <w:r w:rsidR="001A7C82" w:rsidRPr="00C66C24">
        <w:fldChar w:fldCharType="separate"/>
      </w:r>
      <w:r w:rsidR="001A7C82" w:rsidRPr="00C66C24">
        <w:rPr>
          <w:rFonts w:ascii="Calibri" w:hAnsi="Calibri" w:cs="Calibri"/>
        </w:rPr>
        <w:t>(ZEWT, 2021)</w:t>
      </w:r>
      <w:r w:rsidR="001A7C82" w:rsidRPr="00C66C24">
        <w:fldChar w:fldCharType="end"/>
      </w:r>
      <w:r w:rsidR="00165BB7" w:rsidRPr="00C66C24">
        <w:t xml:space="preserve">. </w:t>
      </w:r>
      <w:r w:rsidR="008D4B15" w:rsidRPr="00C66C24">
        <w:t>To achieve that goal, further developments can be expected on</w:t>
      </w:r>
      <w:r w:rsidR="00165BB7" w:rsidRPr="00C66C24">
        <w:t xml:space="preserve"> the integration of </w:t>
      </w:r>
      <w:r w:rsidR="00A62298" w:rsidRPr="00C66C24">
        <w:t xml:space="preserve">low weight </w:t>
      </w:r>
      <w:r w:rsidR="00165BB7" w:rsidRPr="00C66C24">
        <w:t xml:space="preserve">and </w:t>
      </w:r>
      <w:r w:rsidR="00896125" w:rsidRPr="00C66C24">
        <w:t>high-power</w:t>
      </w:r>
      <w:r w:rsidR="00165BB7" w:rsidRPr="00C66C24">
        <w:t xml:space="preserve"> capacity</w:t>
      </w:r>
      <w:r w:rsidR="00A62298" w:rsidRPr="00C66C24">
        <w:t xml:space="preserve"> battery systems in high voltage AC and DC distribution systems.</w:t>
      </w:r>
      <w:r w:rsidR="008D4B15" w:rsidRPr="00C66C24">
        <w:t xml:space="preserve"> For longer distance applications using fuel cells, the electrification of the distribution system will be required. The application of DC grids on-board is expected to increase due to a reduction of complexity, increased modularity</w:t>
      </w:r>
      <w:r w:rsidR="00C04ECD" w:rsidRPr="00C66C24">
        <w:t>,</w:t>
      </w:r>
      <w:r w:rsidR="008D4B15" w:rsidRPr="00C66C24">
        <w:t xml:space="preserve"> and improved integration.</w:t>
      </w:r>
      <w:r w:rsidR="00994A2A" w:rsidRPr="00C66C24">
        <w:t xml:space="preserve"> </w:t>
      </w:r>
    </w:p>
    <w:p w14:paraId="0C9E141F" w14:textId="77777777" w:rsidR="00C04ECD" w:rsidRPr="00C66C24" w:rsidRDefault="00C04ECD" w:rsidP="00C21744">
      <w:pPr>
        <w:spacing w:before="0" w:after="0" w:line="257" w:lineRule="auto"/>
      </w:pPr>
      <w:r w:rsidRPr="00C66C24">
        <w:t>In the roadmap towards 2030, retrofits will support the fleet to achieve the goals set by then. The main solutions revolve around improving the ship efficiency (e.g. air lubrication systems, smart energy management, holistic hydrodynamic, and operational optimisation or engine retrofits), exploiting renewables or zero emission energy sources (such as wind assisted propulsion, solar energy or hybridisation of the propulsion system), and emission reductions not linked to energy sources (e.g. better on-board treatment of solid or liquid waste from ship exploitation)</w:t>
      </w:r>
    </w:p>
    <w:p w14:paraId="6A8738A6" w14:textId="34F9777B" w:rsidR="00BB1C32" w:rsidRPr="00C66C24" w:rsidRDefault="00BB1C32" w:rsidP="00C21744">
      <w:pPr>
        <w:spacing w:before="0" w:after="0" w:line="257" w:lineRule="auto"/>
      </w:pPr>
      <w:r w:rsidRPr="00C66C24">
        <w:t>When looking at the investment required for new vessels that can operate using zero-emission fuels, it is critical to highlight that vessels have a lifetime of 20-35 years</w:t>
      </w:r>
      <w:r w:rsidR="00C04ECD" w:rsidRPr="00C66C24">
        <w:t>.</w:t>
      </w:r>
      <w:r w:rsidRPr="00C66C24">
        <w:t xml:space="preserve"> This means that investments in new vessels today will have a huge impact on the ability of the sector to achieve the decarbonisation targets in 20 to 30 years from now (i.e. around 2050). In 2022, the first ammonia-ready vessel was delivered and there has been substantial progress in the development of zero-emission fuel technologies globally. The International Energy Agency identified that, to avoid sunk costs on fossil-fuelled vessels, new ships should be designed to be able to convert to zero-emission fuels in the future </w:t>
      </w:r>
      <w:r w:rsidR="00703F21" w:rsidRPr="00C66C24">
        <w:fldChar w:fldCharType="begin"/>
      </w:r>
      <w:r w:rsidR="001855E3" w:rsidRPr="00C66C24">
        <w:instrText xml:space="preserve"> ADDIN ZOTERO_ITEM CSL_CITATION {"citationID":"a2e0a5j39sh","properties":{"formattedCitation":"(IEA, 2022)","plainCitation":"(IEA, 2022)","noteIndex":0},"citationItems":[{"id":32745,"uris":["http://zotero.org/groups/122386/items/LBRY243V"],"itemData":{"id":32745,"type":"report","language":"English","publisher":"International Energy Agency","title":"World Energy Outlook 2022","URL":"https://www.iea.org/reports/world-energy-outlook-2022","author":[{"literal":"IEA"}],"accessed":{"date-parts":[["2022",11,15]]},"issued":{"date-parts":[["2022",10]]}}}],"schema":"https://github.com/citation-style-language/schema/raw/master/csl-citation.json"} </w:instrText>
      </w:r>
      <w:r w:rsidR="00703F21" w:rsidRPr="00C66C24">
        <w:fldChar w:fldCharType="separate"/>
      </w:r>
      <w:r w:rsidR="001855E3" w:rsidRPr="00C66C24">
        <w:rPr>
          <w:rFonts w:ascii="Calibri" w:hAnsi="Calibri" w:cs="Calibri"/>
        </w:rPr>
        <w:t>(IEA, 2022)</w:t>
      </w:r>
      <w:r w:rsidR="00703F21" w:rsidRPr="00C66C24">
        <w:fldChar w:fldCharType="end"/>
      </w:r>
      <w:r w:rsidR="0012200D" w:rsidRPr="00C66C24">
        <w:t>.</w:t>
      </w:r>
    </w:p>
    <w:p w14:paraId="489F7341" w14:textId="77777777" w:rsidR="00C04ECD" w:rsidRPr="00C66C24" w:rsidRDefault="00C04ECD" w:rsidP="00C21744">
      <w:pPr>
        <w:spacing w:before="0" w:after="0" w:line="257" w:lineRule="auto"/>
      </w:pPr>
      <w:r w:rsidRPr="00C66C24">
        <w:t>Ammonia is expected to be produced on a larger scale in the future. It is widely considered as a hydrogen energy carrier: renewable hydrogen could be efficiently shipped after its conversion to ammonia. Although ammonia is not currently used as a fuel by ocean-going ships, recent analysis of the required land storage and distribution, onboard storage, and conversion to energy – in either an internal combustion engine or a fuel cell – have revealed no insurmountable barriers to the use of ammonia as a marine fuel. Several research and development projects are in progress, and standards for the use of ammonia as a fuel are being developed. Marine engine makers generally agree that initially the Diesel cycle is found to be best suited for combustion of ammonia, but research is ongoing for both combustion concepts with no engine yet available in the market. Availability of these options is expected during the second half of this decade.</w:t>
      </w:r>
    </w:p>
    <w:p w14:paraId="57A45080" w14:textId="4B849504" w:rsidR="00C04ECD" w:rsidRPr="00C66C24" w:rsidRDefault="00C04ECD" w:rsidP="008C6A9C">
      <w:pPr>
        <w:spacing w:before="0" w:after="0" w:line="257" w:lineRule="auto"/>
      </w:pPr>
      <w:r w:rsidRPr="00C66C24">
        <w:t>To produce the renewable hydrogen required for the production of ammonia or e- fuels, the process of water electrolysis is used. Although different electrolyser technologies exist, newer technologies are still under development. The renewable electricity available for the renewable hydrogen production, along with the global electrolyser capacity, are still low. By 2030 the renewable electricity production capacity could be high enough to meet the global maritime hydrogen-based fuel demand. However, in practice, a large share of the produced renewable electricity will feed into the power grids to supply worldwide demand for this energy source in other industries. It is estimated that between 1,300 to 1,900 GW of electrolyser capacity would be needed to produce enough hydrogen-based fuels to supply the entire maritime sector in 2030. However, the announced electrolyser projects worldwide would lead to an installed electrolyser capacity of 170 to 365 GW by 2030. The projects announced to date are an important step compared to the worldwide capacity in 2020 which was 0.3 GW, and to the sum of electrolyser projects planned for the 2021-2026 period which is 16.7 GW. Assuming that</w:t>
      </w:r>
      <w:r w:rsidRPr="00C66C24" w:rsidDel="005D5ED6">
        <w:t xml:space="preserve"> </w:t>
      </w:r>
      <w:r w:rsidRPr="00C66C24">
        <w:t>the projected electrolyser capacity volumes are realised, the global capacity in 2030 could produce hydrogen-based fuels for 13% to 19% of the global maritime fleet.</w:t>
      </w:r>
    </w:p>
    <w:p w14:paraId="07754278" w14:textId="38167BF6" w:rsidR="00C04ECD" w:rsidRPr="00C66C24" w:rsidRDefault="00C04ECD" w:rsidP="008C6A9C">
      <w:pPr>
        <w:spacing w:before="0" w:after="0" w:line="257" w:lineRule="auto"/>
      </w:pPr>
      <w:r w:rsidRPr="00C66C24">
        <w:t xml:space="preserve">Currently, wind assisted propulsion systems have been installed on 30 ships in total and installation is ongoing on another 26. Of these ships, 16 are newbuilds, 38 are being retrofitted, </w:t>
      </w:r>
      <w:r w:rsidR="00047106">
        <w:t>(two</w:t>
      </w:r>
      <w:r w:rsidRPr="00C66C24">
        <w:t xml:space="preserve"> kite installations are </w:t>
      </w:r>
      <w:r w:rsidR="004B5F0A">
        <w:t xml:space="preserve">also </w:t>
      </w:r>
      <w:r w:rsidRPr="00C66C24">
        <w:t xml:space="preserve">ongoing on </w:t>
      </w:r>
      <w:r w:rsidR="004B5F0A">
        <w:t>either</w:t>
      </w:r>
      <w:r w:rsidRPr="00C66C24">
        <w:t xml:space="preserve"> newbuilds or existing ships</w:t>
      </w:r>
      <w:r w:rsidR="004B5F0A">
        <w:t>)</w:t>
      </w:r>
      <w:r w:rsidRPr="00C66C24">
        <w:t xml:space="preserve"> (see </w:t>
      </w:r>
      <w:r w:rsidRPr="00C66C24">
        <w:rPr>
          <w:szCs w:val="22"/>
        </w:rPr>
        <w:fldChar w:fldCharType="begin"/>
      </w:r>
      <w:r w:rsidRPr="00C66C24">
        <w:rPr>
          <w:szCs w:val="22"/>
        </w:rPr>
        <w:instrText xml:space="preserve"> REF _Ref151558901 \h  \* MERGEFORMAT </w:instrText>
      </w:r>
      <w:r w:rsidRPr="00C66C24">
        <w:rPr>
          <w:szCs w:val="22"/>
        </w:rPr>
      </w:r>
      <w:r w:rsidRPr="00C66C24">
        <w:rPr>
          <w:szCs w:val="22"/>
        </w:rPr>
        <w:fldChar w:fldCharType="separate"/>
      </w:r>
      <w:r w:rsidR="007B2A51" w:rsidRPr="00C66C24">
        <w:rPr>
          <w:szCs w:val="22"/>
        </w:rPr>
        <w:t xml:space="preserve">Figure </w:t>
      </w:r>
      <w:r w:rsidR="007B2A51" w:rsidRPr="00C66C24">
        <w:rPr>
          <w:noProof/>
          <w:szCs w:val="22"/>
        </w:rPr>
        <w:t>3.9</w:t>
      </w:r>
      <w:r w:rsidRPr="00C66C24">
        <w:rPr>
          <w:szCs w:val="22"/>
        </w:rPr>
        <w:fldChar w:fldCharType="end"/>
      </w:r>
      <w:r w:rsidRPr="00C66C24">
        <w:t>). More than one third of the wind-assisted ships are equipped with rotor sails, which is the most popular form of wind-assisted propulsion at the moment. Estimating the associated fuel consumption reductions from the wind technologies depend</w:t>
      </w:r>
      <w:r w:rsidR="00B512B5">
        <w:t>s</w:t>
      </w:r>
      <w:r w:rsidRPr="00C66C24">
        <w:t xml:space="preserve"> on several factors, including characteristics of the technology (e.g. type, number and dimension of units) and the ship, together with the operation and environmental factors. Although a big variation in the savings has been observed, it can be concluded that savings can be significant.</w:t>
      </w:r>
      <w:r w:rsidRPr="00C66C24" w:rsidDel="006B1D69">
        <w:t xml:space="preserve"> </w:t>
      </w:r>
      <w:r w:rsidRPr="00C66C24">
        <w:t xml:space="preserve">For example, rotor sails have been found to account for up to 30% savings. It is certain that wind assisted technologies can contribute to achieving the GHG reduction targets, making this technology vital in the shipping sector's low-carbon transition up to 2050. </w:t>
      </w:r>
    </w:p>
    <w:p w14:paraId="3883A9F8" w14:textId="2C31C5EF" w:rsidR="00C04ECD" w:rsidRPr="00C66C24" w:rsidRDefault="00C04ECD" w:rsidP="00D93450">
      <w:pPr>
        <w:spacing w:line="257" w:lineRule="auto"/>
        <w:jc w:val="center"/>
      </w:pPr>
      <w:r w:rsidRPr="00C66C24">
        <w:rPr>
          <w:noProof/>
        </w:rPr>
        <w:drawing>
          <wp:inline distT="0" distB="0" distL="0" distR="0" wp14:anchorId="3FD9DB78" wp14:editId="23C56064">
            <wp:extent cx="4873924" cy="2449571"/>
            <wp:effectExtent l="0" t="0" r="0" b="0"/>
            <wp:docPr id="2" name="Picture 2"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bar chart&#10;&#10;Description automatically generated with medium confidence"/>
                    <pic:cNvPicPr/>
                  </pic:nvPicPr>
                  <pic:blipFill>
                    <a:blip r:embed="rId105">
                      <a:extLst>
                        <a:ext uri="{28A0092B-C50C-407E-A947-70E740481C1C}">
                          <a14:useLocalDpi xmlns:a14="http://schemas.microsoft.com/office/drawing/2010/main" val="0"/>
                        </a:ext>
                      </a:extLst>
                    </a:blip>
                    <a:stretch>
                      <a:fillRect/>
                    </a:stretch>
                  </pic:blipFill>
                  <pic:spPr>
                    <a:xfrm>
                      <a:off x="0" y="0"/>
                      <a:ext cx="4878465" cy="2451853"/>
                    </a:xfrm>
                    <a:prstGeom prst="rect">
                      <a:avLst/>
                    </a:prstGeom>
                  </pic:spPr>
                </pic:pic>
              </a:graphicData>
            </a:graphic>
          </wp:inline>
        </w:drawing>
      </w:r>
    </w:p>
    <w:p w14:paraId="183A7CD7" w14:textId="7A776352" w:rsidR="00BB1C32" w:rsidRPr="00C66C24" w:rsidRDefault="00BB1C32" w:rsidP="008C6A9C">
      <w:pPr>
        <w:pStyle w:val="Caption"/>
        <w:spacing w:after="0" w:line="257" w:lineRule="auto"/>
        <w:jc w:val="center"/>
        <w:rPr>
          <w:sz w:val="20"/>
          <w:szCs w:val="20"/>
        </w:rPr>
      </w:pPr>
      <w:bookmarkStart w:id="251" w:name="_Ref151558901"/>
      <w:r w:rsidRPr="00C66C24">
        <w:rPr>
          <w:sz w:val="20"/>
          <w:szCs w:val="20"/>
        </w:rPr>
        <w:t xml:space="preserve">Figure </w:t>
      </w:r>
      <w:r w:rsidR="00A81F61" w:rsidRPr="00C66C24">
        <w:rPr>
          <w:sz w:val="20"/>
          <w:szCs w:val="20"/>
        </w:rPr>
        <w:fldChar w:fldCharType="begin"/>
      </w:r>
      <w:r w:rsidR="00A81F61" w:rsidRPr="00C66C24">
        <w:rPr>
          <w:sz w:val="20"/>
          <w:szCs w:val="20"/>
        </w:rPr>
        <w:instrText xml:space="preserve"> STYLEREF 1 \s </w:instrText>
      </w:r>
      <w:r w:rsidR="00A81F61" w:rsidRPr="00C66C24">
        <w:rPr>
          <w:sz w:val="20"/>
          <w:szCs w:val="20"/>
        </w:rPr>
        <w:fldChar w:fldCharType="separate"/>
      </w:r>
      <w:r w:rsidR="00A81F61" w:rsidRPr="00C66C24">
        <w:rPr>
          <w:noProof/>
          <w:sz w:val="20"/>
          <w:szCs w:val="20"/>
        </w:rPr>
        <w:t>3</w:t>
      </w:r>
      <w:r w:rsidR="00A81F61" w:rsidRPr="00C66C24">
        <w:rPr>
          <w:sz w:val="20"/>
          <w:szCs w:val="20"/>
        </w:rPr>
        <w:fldChar w:fldCharType="end"/>
      </w:r>
      <w:r w:rsidR="00A81F61" w:rsidRPr="00C66C24">
        <w:rPr>
          <w:sz w:val="20"/>
          <w:szCs w:val="20"/>
        </w:rPr>
        <w:t>.</w:t>
      </w:r>
      <w:r w:rsidR="00A81F61" w:rsidRPr="00C66C24">
        <w:rPr>
          <w:sz w:val="20"/>
          <w:szCs w:val="20"/>
        </w:rPr>
        <w:fldChar w:fldCharType="begin"/>
      </w:r>
      <w:r w:rsidR="00A81F61" w:rsidRPr="00C66C24">
        <w:rPr>
          <w:sz w:val="20"/>
          <w:szCs w:val="20"/>
        </w:rPr>
        <w:instrText xml:space="preserve"> SEQ Figure \* ARABIC \s 1 </w:instrText>
      </w:r>
      <w:r w:rsidR="00A81F61" w:rsidRPr="00C66C24">
        <w:rPr>
          <w:sz w:val="20"/>
          <w:szCs w:val="20"/>
        </w:rPr>
        <w:fldChar w:fldCharType="separate"/>
      </w:r>
      <w:r w:rsidR="00C21744" w:rsidRPr="00C66C24">
        <w:rPr>
          <w:noProof/>
          <w:sz w:val="20"/>
          <w:szCs w:val="20"/>
        </w:rPr>
        <w:t>9</w:t>
      </w:r>
      <w:r w:rsidR="00A81F61" w:rsidRPr="00C66C24">
        <w:rPr>
          <w:sz w:val="20"/>
          <w:szCs w:val="20"/>
        </w:rPr>
        <w:fldChar w:fldCharType="end"/>
      </w:r>
      <w:bookmarkEnd w:id="251"/>
      <w:r w:rsidRPr="00C66C24">
        <w:rPr>
          <w:sz w:val="20"/>
          <w:szCs w:val="20"/>
        </w:rPr>
        <w:t xml:space="preserve"> Number of ships (*planned to be) equipped with a wind propulsion systems.</w:t>
      </w:r>
    </w:p>
    <w:p w14:paraId="5E0FD251" w14:textId="51A0B3D6" w:rsidR="00BB1C32" w:rsidRPr="00C66C24" w:rsidRDefault="00BB1C32" w:rsidP="00C21744">
      <w:pPr>
        <w:spacing w:before="0" w:after="120" w:line="257" w:lineRule="auto"/>
        <w:jc w:val="center"/>
        <w:rPr>
          <w:sz w:val="20"/>
          <w:szCs w:val="20"/>
        </w:rPr>
      </w:pPr>
      <w:r w:rsidRPr="00C66C24">
        <w:rPr>
          <w:sz w:val="20"/>
          <w:szCs w:val="20"/>
        </w:rPr>
        <w:t>Source: EMSA, in publication.</w:t>
      </w:r>
    </w:p>
    <w:p w14:paraId="406FD58C" w14:textId="59162E73" w:rsidR="00C04ECD" w:rsidRPr="00C66C24" w:rsidRDefault="00837AA0" w:rsidP="008C6A9C">
      <w:pPr>
        <w:spacing w:before="0" w:after="0" w:line="257" w:lineRule="auto"/>
      </w:pPr>
      <w:r w:rsidRPr="00C66C24">
        <w:t xml:space="preserve">Other energy efficiency solutions based on the propulsion and reconfiguration of the ship architecture and operation will contribute to the mix of applications towards zero-emission shipping, particularly for long distance shipping. The physical improvements of vessels will be paired with digital solutions that will enhance their application as well as provide operational and maintenance decision-making improvements. Energy efficiency retrofit solutions will support the current fleet efforts in lowering emissions </w:t>
      </w:r>
      <w:r w:rsidR="00C04ECD" w:rsidRPr="00C66C24">
        <w:t>by</w:t>
      </w:r>
      <w:r w:rsidRPr="00C66C24">
        <w:t xml:space="preserve"> 2030, while newbuilds should </w:t>
      </w:r>
      <w:r w:rsidR="007629AF" w:rsidRPr="00C66C24">
        <w:t xml:space="preserve">already </w:t>
      </w:r>
      <w:r w:rsidRPr="00C66C24">
        <w:t>incorporate energy efficient applications by design</w:t>
      </w:r>
      <w:r w:rsidR="007629AF" w:rsidRPr="00C66C24">
        <w:t xml:space="preserve"> in order to maximise their performance and sustainability by 2050. Some of the technologies being </w:t>
      </w:r>
      <w:r w:rsidR="00C04ECD" w:rsidRPr="00C66C24">
        <w:t>developed</w:t>
      </w:r>
      <w:r w:rsidR="007629AF" w:rsidRPr="00C66C24">
        <w:t xml:space="preserve"> range from monitoring and </w:t>
      </w:r>
      <w:r w:rsidR="00C04ECD" w:rsidRPr="00C66C24">
        <w:t>forecasting</w:t>
      </w:r>
      <w:r w:rsidR="007629AF" w:rsidRPr="00C66C24">
        <w:t xml:space="preserve"> the full spectrum of the ship energy needs and operating profiles (feeding into digital twins models of the vessel), </w:t>
      </w:r>
      <w:r w:rsidR="00C04ECD" w:rsidRPr="00C66C24">
        <w:t>optimisation</w:t>
      </w:r>
      <w:r w:rsidR="007629AF" w:rsidRPr="00C66C24">
        <w:t xml:space="preserve"> of port call and bunkering, both from the ship and port side, waste heat recovery solutions</w:t>
      </w:r>
      <w:r w:rsidR="0097150F" w:rsidRPr="00C66C24">
        <w:t>, hull improved performance solutions</w:t>
      </w:r>
      <w:r w:rsidR="00C04ECD" w:rsidRPr="00C66C24">
        <w:t>,</w:t>
      </w:r>
      <w:r w:rsidR="0097150F" w:rsidRPr="00C66C24">
        <w:t xml:space="preserve"> or novel propulsion systems </w:t>
      </w:r>
      <w:r w:rsidR="00C04ECD" w:rsidRPr="00C66C24">
        <w:t>promising</w:t>
      </w:r>
      <w:r w:rsidR="0097150F" w:rsidRPr="00C66C24">
        <w:t xml:space="preserve"> up to 20% efficiency. </w:t>
      </w:r>
    </w:p>
    <w:p w14:paraId="0DA5B4F7" w14:textId="3C87416B" w:rsidR="00C04ECD" w:rsidRPr="00C66C24" w:rsidRDefault="00C04ECD" w:rsidP="00C21744">
      <w:pPr>
        <w:spacing w:before="0" w:after="120" w:line="257" w:lineRule="auto"/>
      </w:pPr>
      <w:r w:rsidRPr="00C66C24">
        <w:t>Fuel cells can also provide a suitable alternative also in combination with zero carbon fuels. Although more expensive than combustion engines, they offer higher efficiencies and different emission footprints from the conversion of molecules. Among them, Solid Oxide fuel cells are highly efficient, moderately sized fuel cells. The high operating temperatures means that, with heat recovery, the total fuel efficiency can reach about 85% and possibly increase more with further development.</w:t>
      </w:r>
    </w:p>
    <w:p w14:paraId="46ED8DD3" w14:textId="2D62F5B5" w:rsidR="006C3AA9" w:rsidRPr="00C66C24" w:rsidRDefault="00C04ECD" w:rsidP="008C6A9C">
      <w:pPr>
        <w:pStyle w:val="Heading3"/>
        <w:spacing w:line="257" w:lineRule="auto"/>
      </w:pPr>
      <w:bookmarkStart w:id="252" w:name="_Toc157762103"/>
      <w:r w:rsidRPr="00C66C24">
        <w:t>Green corridors</w:t>
      </w:r>
      <w:bookmarkEnd w:id="252"/>
    </w:p>
    <w:p w14:paraId="557C3270" w14:textId="4782B05F" w:rsidR="00B21997" w:rsidRPr="00C66C24" w:rsidRDefault="008F25C1" w:rsidP="008C6A9C">
      <w:pPr>
        <w:spacing w:before="0" w:after="0" w:line="257" w:lineRule="auto"/>
        <w:rPr>
          <w:rFonts w:eastAsiaTheme="minorEastAsia"/>
          <w:color w:val="000000" w:themeColor="text1"/>
        </w:rPr>
      </w:pPr>
      <w:r w:rsidRPr="00C66C24">
        <w:rPr>
          <w:rFonts w:eastAsiaTheme="minorEastAsia"/>
          <w:color w:val="000000" w:themeColor="text1"/>
        </w:rPr>
        <w:t xml:space="preserve">As stated in the previous sections, reducing </w:t>
      </w:r>
      <w:r w:rsidR="00B21997" w:rsidRPr="00C66C24">
        <w:rPr>
          <w:rFonts w:eastAsiaTheme="minorEastAsia"/>
          <w:color w:val="000000" w:themeColor="text1"/>
        </w:rPr>
        <w:t>emissions from shipping requires major investments in infrastructure for production and supply of alternative fuels</w:t>
      </w:r>
      <w:r w:rsidRPr="00C66C24">
        <w:rPr>
          <w:rFonts w:eastAsiaTheme="minorEastAsia"/>
          <w:color w:val="000000" w:themeColor="text1"/>
        </w:rPr>
        <w:t xml:space="preserve">. Considering </w:t>
      </w:r>
      <w:r w:rsidR="00B21997" w:rsidRPr="00C66C24">
        <w:rPr>
          <w:rFonts w:eastAsiaTheme="minorEastAsia"/>
          <w:color w:val="000000" w:themeColor="text1"/>
        </w:rPr>
        <w:t>the international nature of the sector, these investments have to be developed at a global level. The Clydebank Declaration for Green Shipping Corridors</w:t>
      </w:r>
      <w:r w:rsidRPr="00C66C24">
        <w:rPr>
          <w:rFonts w:eastAsiaTheme="minorEastAsia"/>
          <w:color w:val="000000" w:themeColor="text1"/>
        </w:rPr>
        <w:t>,</w:t>
      </w:r>
      <w:r w:rsidR="00B21997" w:rsidRPr="00C66C24">
        <w:rPr>
          <w:rFonts w:eastAsiaTheme="minorEastAsia"/>
          <w:color w:val="000000" w:themeColor="text1"/>
        </w:rPr>
        <w:t xml:space="preserve"> announced at COP 26</w:t>
      </w:r>
      <w:r w:rsidRPr="00C66C24">
        <w:rPr>
          <w:rFonts w:eastAsiaTheme="minorEastAsia"/>
          <w:color w:val="000000" w:themeColor="text1"/>
        </w:rPr>
        <w:t xml:space="preserve">, </w:t>
      </w:r>
      <w:r w:rsidR="00B21997" w:rsidRPr="00C66C24">
        <w:rPr>
          <w:rFonts w:eastAsiaTheme="minorEastAsia"/>
          <w:color w:val="000000" w:themeColor="text1"/>
        </w:rPr>
        <w:t>support</w:t>
      </w:r>
      <w:r w:rsidRPr="00C66C24">
        <w:rPr>
          <w:rFonts w:eastAsiaTheme="minorEastAsia"/>
          <w:color w:val="000000" w:themeColor="text1"/>
        </w:rPr>
        <w:t>s</w:t>
      </w:r>
      <w:r w:rsidR="00B21997" w:rsidRPr="00C66C24">
        <w:rPr>
          <w:rFonts w:eastAsiaTheme="minorEastAsia"/>
          <w:color w:val="000000" w:themeColor="text1"/>
        </w:rPr>
        <w:t xml:space="preserve"> the establishment of at least six green corridors – zero-emission maritime routes with further development in the next decades</w:t>
      </w:r>
      <w:r w:rsidRPr="00C66C24">
        <w:rPr>
          <w:rFonts w:eastAsiaTheme="minorEastAsia"/>
          <w:color w:val="000000" w:themeColor="text1"/>
        </w:rPr>
        <w:t xml:space="preserve"> </w:t>
      </w:r>
      <w:r w:rsidR="000A7146" w:rsidRPr="00C66C24">
        <w:rPr>
          <w:rFonts w:eastAsiaTheme="minorEastAsia"/>
          <w:color w:val="000000" w:themeColor="text1"/>
        </w:rPr>
        <w:fldChar w:fldCharType="begin"/>
      </w:r>
      <w:r w:rsidR="001855E3" w:rsidRPr="00C66C24">
        <w:rPr>
          <w:rFonts w:eastAsiaTheme="minorEastAsia"/>
          <w:color w:val="000000" w:themeColor="text1"/>
        </w:rPr>
        <w:instrText xml:space="preserve"> ADDIN ZOTERO_ITEM CSL_CITATION {"citationID":"fTiMu0yy","properties":{"formattedCitation":"(COP 26, 2022)","plainCitation":"(COP 26, 2022)","dontUpdate":true,"noteIndex":0},"citationItems":[{"id":52038,"uris":["http://zotero.org/groups/122386/items/V5L2TQ5D"],"itemData":{"id":52038,"type":"webpage","abstract":"States will support the establishment of green shipping corridors globally under the Clydebank Declaration launched at COP26.","container-title":"GOV.UK","language":"en","title":"COP 26: Clydebank Declaration for green shipping corridors","title-short":"COP 26","URL":"https://www.gov.uk/government/publications/cop-26-clydebank-declaration-for-green-shipping-corridors","author":[{"literal":"UNFCCC"}],"accessed":{"date-parts":[["2023",10,16]]},"issued":{"date-parts":[["2022",4,13]]}}}],"schema":"https://github.com/citation-style-language/schema/raw/master/csl-citation.json"} </w:instrText>
      </w:r>
      <w:r w:rsidR="000A7146" w:rsidRPr="00C66C24">
        <w:rPr>
          <w:rFonts w:eastAsiaTheme="minorEastAsia"/>
          <w:color w:val="000000" w:themeColor="text1"/>
        </w:rPr>
        <w:fldChar w:fldCharType="separate"/>
      </w:r>
      <w:r w:rsidR="000A7146" w:rsidRPr="00C66C24">
        <w:rPr>
          <w:rFonts w:ascii="Calibri" w:hAnsi="Calibri" w:cs="Calibri"/>
        </w:rPr>
        <w:t>(</w:t>
      </w:r>
      <w:r w:rsidR="002B3C1C" w:rsidRPr="00C66C24">
        <w:rPr>
          <w:rFonts w:ascii="Calibri" w:hAnsi="Calibri" w:cs="Calibri"/>
        </w:rPr>
        <w:t>UNFCCC</w:t>
      </w:r>
      <w:r w:rsidR="000A7146" w:rsidRPr="00C66C24">
        <w:rPr>
          <w:rFonts w:ascii="Calibri" w:hAnsi="Calibri" w:cs="Calibri"/>
        </w:rPr>
        <w:t>, 2022)</w:t>
      </w:r>
      <w:r w:rsidR="000A7146" w:rsidRPr="00C66C24">
        <w:rPr>
          <w:rFonts w:eastAsiaTheme="minorEastAsia"/>
          <w:color w:val="000000" w:themeColor="text1"/>
        </w:rPr>
        <w:fldChar w:fldCharType="end"/>
      </w:r>
      <w:r w:rsidR="00B21997" w:rsidRPr="00C66C24">
        <w:rPr>
          <w:rFonts w:eastAsiaTheme="minorEastAsia"/>
          <w:color w:val="000000" w:themeColor="text1"/>
        </w:rPr>
        <w:t xml:space="preserve">. </w:t>
      </w:r>
      <w:r w:rsidR="00EF0A28" w:rsidRPr="00C66C24">
        <w:rPr>
          <w:rFonts w:ascii="Calibri" w:hAnsi="Calibri"/>
          <w:color w:val="000000" w:themeColor="text1"/>
        </w:rPr>
        <w:t xml:space="preserve">In the </w:t>
      </w:r>
      <w:r w:rsidR="0020678C" w:rsidRPr="00C66C24">
        <w:rPr>
          <w:rFonts w:ascii="Calibri" w:hAnsi="Calibri"/>
          <w:color w:val="000000" w:themeColor="text1"/>
        </w:rPr>
        <w:t>meantime,</w:t>
      </w:r>
      <w:r w:rsidR="00EF0A28" w:rsidRPr="00C66C24">
        <w:rPr>
          <w:rFonts w:ascii="Calibri" w:hAnsi="Calibri"/>
          <w:color w:val="000000" w:themeColor="text1"/>
        </w:rPr>
        <w:t xml:space="preserve"> 44 </w:t>
      </w:r>
      <w:r w:rsidR="00B21997" w:rsidRPr="00C66C24">
        <w:rPr>
          <w:rFonts w:ascii="Calibri" w:hAnsi="Calibri"/>
          <w:color w:val="000000" w:themeColor="text1"/>
        </w:rPr>
        <w:t xml:space="preserve">Green </w:t>
      </w:r>
      <w:r w:rsidR="00EF0A28" w:rsidRPr="00C66C24">
        <w:rPr>
          <w:rFonts w:ascii="Calibri" w:hAnsi="Calibri"/>
          <w:color w:val="000000" w:themeColor="text1"/>
        </w:rPr>
        <w:t>Corridors</w:t>
      </w:r>
      <w:r w:rsidR="00B21997" w:rsidRPr="00C66C24">
        <w:rPr>
          <w:rFonts w:ascii="Calibri" w:hAnsi="Calibri"/>
          <w:color w:val="000000" w:themeColor="text1"/>
        </w:rPr>
        <w:t xml:space="preserve"> are </w:t>
      </w:r>
      <w:r w:rsidR="00A85E4F" w:rsidRPr="00C66C24">
        <w:rPr>
          <w:rFonts w:ascii="Calibri" w:hAnsi="Calibri"/>
          <w:color w:val="000000" w:themeColor="text1"/>
        </w:rPr>
        <w:t xml:space="preserve">under development </w:t>
      </w:r>
      <w:r w:rsidR="00670C3A" w:rsidRPr="00C66C24">
        <w:rPr>
          <w:rFonts w:ascii="Calibri" w:hAnsi="Calibri"/>
          <w:color w:val="000000" w:themeColor="text1"/>
        </w:rPr>
        <w:t xml:space="preserve">as reported by the </w:t>
      </w:r>
      <w:r w:rsidR="00916CE3" w:rsidRPr="00C66C24">
        <w:rPr>
          <w:rFonts w:ascii="Calibri" w:hAnsi="Calibri"/>
          <w:color w:val="000000" w:themeColor="text1"/>
        </w:rPr>
        <w:t xml:space="preserve">Global Maritime Forum in the 2023 Annual progress report on green </w:t>
      </w:r>
      <w:r w:rsidR="00B21997" w:rsidRPr="00C66C24">
        <w:rPr>
          <w:rFonts w:ascii="Calibri" w:hAnsi="Calibri"/>
          <w:color w:val="000000" w:themeColor="text1"/>
        </w:rPr>
        <w:t xml:space="preserve">shipping </w:t>
      </w:r>
      <w:r w:rsidR="00916CE3" w:rsidRPr="00C66C24">
        <w:rPr>
          <w:rFonts w:ascii="Calibri" w:hAnsi="Calibri"/>
          <w:color w:val="000000" w:themeColor="text1"/>
        </w:rPr>
        <w:t>corridors</w:t>
      </w:r>
      <w:r w:rsidR="00A85E4F" w:rsidRPr="00C66C24">
        <w:rPr>
          <w:rFonts w:ascii="Calibri" w:hAnsi="Calibri"/>
          <w:color w:val="000000" w:themeColor="text1"/>
        </w:rPr>
        <w:t xml:space="preserve">. </w:t>
      </w:r>
      <w:r w:rsidR="00B21997" w:rsidRPr="00C66C24">
        <w:rPr>
          <w:rFonts w:eastAsiaTheme="minorEastAsia"/>
          <w:color w:val="000000" w:themeColor="text1"/>
        </w:rPr>
        <w:t xml:space="preserve">Green corridors are routes </w:t>
      </w:r>
      <w:r w:rsidR="00332469" w:rsidRPr="00C66C24">
        <w:rPr>
          <w:lang w:eastAsia="en-GB"/>
        </w:rPr>
        <w:t>from port to port</w:t>
      </w:r>
      <w:r w:rsidR="00B21997" w:rsidRPr="00C66C24">
        <w:t xml:space="preserve"> on which </w:t>
      </w:r>
      <w:r w:rsidR="00332469" w:rsidRPr="00C66C24">
        <w:rPr>
          <w:lang w:eastAsia="en-GB"/>
        </w:rPr>
        <w:t xml:space="preserve">the decarbonisation of the </w:t>
      </w:r>
      <w:r w:rsidR="00332469" w:rsidRPr="00C66C24">
        <w:rPr>
          <w:color w:val="000000" w:themeColor="text1"/>
        </w:rPr>
        <w:t xml:space="preserve">shipping </w:t>
      </w:r>
      <w:r w:rsidR="00332469" w:rsidRPr="00C66C24">
        <w:rPr>
          <w:lang w:eastAsia="en-GB"/>
        </w:rPr>
        <w:t>sector and its fuel supply is accelerated by private and public action with a participation from ports, ship operators</w:t>
      </w:r>
      <w:r w:rsidR="00C04ECD" w:rsidRPr="00C66C24">
        <w:rPr>
          <w:lang w:eastAsia="en-GB"/>
        </w:rPr>
        <w:t>,</w:t>
      </w:r>
      <w:r w:rsidR="00332469" w:rsidRPr="00C66C24">
        <w:rPr>
          <w:lang w:eastAsia="en-GB"/>
        </w:rPr>
        <w:t xml:space="preserve"> and others along the value chain</w:t>
      </w:r>
      <w:r w:rsidR="00C04ECD" w:rsidRPr="00C66C24">
        <w:rPr>
          <w:lang w:eastAsia="en-GB"/>
        </w:rPr>
        <w:t>.</w:t>
      </w:r>
      <w:r w:rsidR="00B21997" w:rsidRPr="00C66C24">
        <w:rPr>
          <w:rFonts w:eastAsiaTheme="minorEastAsia"/>
          <w:color w:val="000000" w:themeColor="text1"/>
        </w:rPr>
        <w:t xml:space="preserve"> </w:t>
      </w:r>
      <w:r w:rsidR="00A861C1" w:rsidRPr="00C66C24">
        <w:rPr>
          <w:rFonts w:eastAsiaTheme="minorEastAsia"/>
          <w:color w:val="000000" w:themeColor="text1"/>
        </w:rPr>
        <w:t>Green</w:t>
      </w:r>
      <w:r w:rsidR="00B21997" w:rsidRPr="00C66C24">
        <w:rPr>
          <w:rFonts w:eastAsiaTheme="minorEastAsia"/>
          <w:color w:val="000000" w:themeColor="text1"/>
        </w:rPr>
        <w:t xml:space="preserve"> corridors will contribute to the development of alternative fuel supply chains, speed up the scaling process by offering real life demonstration of solutions and technologies</w:t>
      </w:r>
      <w:r w:rsidR="00C04ECD" w:rsidRPr="00C66C24">
        <w:rPr>
          <w:rFonts w:eastAsiaTheme="minorEastAsia"/>
          <w:color w:val="000000" w:themeColor="text1"/>
        </w:rPr>
        <w:t>,</w:t>
      </w:r>
      <w:r w:rsidR="00B21997" w:rsidRPr="00C66C24">
        <w:rPr>
          <w:rFonts w:eastAsiaTheme="minorEastAsia"/>
          <w:color w:val="000000" w:themeColor="text1"/>
        </w:rPr>
        <w:t xml:space="preserve"> and unite individual first mover actions across the value chain.</w:t>
      </w:r>
      <w:r w:rsidR="00B21997" w:rsidRPr="00C66C24">
        <w:rPr>
          <w:rFonts w:ascii="Calibri" w:hAnsi="Calibri"/>
          <w:color w:val="000000" w:themeColor="text1"/>
        </w:rPr>
        <w:t xml:space="preserve"> </w:t>
      </w:r>
      <w:r w:rsidR="00765C13" w:rsidRPr="00C66C24">
        <w:rPr>
          <w:rFonts w:ascii="Calibri" w:hAnsi="Calibri"/>
          <w:color w:val="000000" w:themeColor="text1"/>
        </w:rPr>
        <w:t xml:space="preserve">Since shipping will be competing with other industrial sectors for the same fuels, it is paramount that </w:t>
      </w:r>
      <w:r w:rsidR="00C04ECD" w:rsidRPr="00C66C24">
        <w:rPr>
          <w:rFonts w:ascii="Calibri" w:hAnsi="Calibri"/>
          <w:color w:val="000000" w:themeColor="text1"/>
        </w:rPr>
        <w:t xml:space="preserve">this industry use </w:t>
      </w:r>
      <w:r w:rsidR="00765C13" w:rsidRPr="00C66C24">
        <w:rPr>
          <w:rFonts w:ascii="Calibri" w:hAnsi="Calibri"/>
          <w:color w:val="000000" w:themeColor="text1"/>
        </w:rPr>
        <w:t xml:space="preserve">such fuels efficiently and </w:t>
      </w:r>
      <w:r w:rsidR="00C04ECD" w:rsidRPr="00C66C24">
        <w:rPr>
          <w:rFonts w:ascii="Calibri" w:hAnsi="Calibri"/>
          <w:color w:val="000000" w:themeColor="text1"/>
        </w:rPr>
        <w:t xml:space="preserve">promotes </w:t>
      </w:r>
      <w:r w:rsidR="00FE42B7" w:rsidRPr="00C66C24">
        <w:rPr>
          <w:rFonts w:ascii="Calibri" w:hAnsi="Calibri"/>
          <w:color w:val="000000" w:themeColor="text1"/>
        </w:rPr>
        <w:t>energy-efficiency technologies in this context.</w:t>
      </w:r>
      <w:r w:rsidR="00FE42B7" w:rsidRPr="00C66C24">
        <w:rPr>
          <w:rFonts w:eastAsiaTheme="minorEastAsia"/>
          <w:color w:val="000000" w:themeColor="text1"/>
        </w:rPr>
        <w:t xml:space="preserve"> </w:t>
      </w:r>
      <w:r w:rsidR="00765C13" w:rsidRPr="00C66C24">
        <w:rPr>
          <w:rFonts w:eastAsiaTheme="minorEastAsia"/>
          <w:color w:val="000000" w:themeColor="text1"/>
        </w:rPr>
        <w:t xml:space="preserve"> </w:t>
      </w:r>
      <w:r w:rsidR="00B21997" w:rsidRPr="00C66C24">
        <w:rPr>
          <w:rFonts w:eastAsiaTheme="minorEastAsia"/>
          <w:color w:val="000000" w:themeColor="text1"/>
        </w:rPr>
        <w:t>In particular, corridors can act as a key enabler of investments, which will create hubs for new energy production and use that can scale up rapidly and attract further investment.</w:t>
      </w:r>
    </w:p>
    <w:p w14:paraId="18A7E58E" w14:textId="61EDC503" w:rsidR="00B21997" w:rsidRPr="00C66C24" w:rsidRDefault="00332469" w:rsidP="008C6A9C">
      <w:pPr>
        <w:pStyle w:val="paragraph"/>
        <w:spacing w:before="0" w:beforeAutospacing="0" w:after="0" w:afterAutospacing="0" w:line="257" w:lineRule="auto"/>
        <w:jc w:val="both"/>
        <w:rPr>
          <w:rFonts w:asciiTheme="minorHAnsi" w:eastAsiaTheme="minorEastAsia" w:hAnsiTheme="minorHAnsi"/>
          <w:iCs/>
          <w:color w:val="000000" w:themeColor="text1"/>
          <w:sz w:val="22"/>
          <w:lang w:val="en-GB" w:eastAsia="en-US"/>
        </w:rPr>
      </w:pPr>
      <w:r w:rsidRPr="00C66C24">
        <w:rPr>
          <w:rFonts w:asciiTheme="minorHAnsi" w:eastAsiaTheme="minorEastAsia" w:hAnsiTheme="minorHAnsi"/>
          <w:iCs/>
          <w:color w:val="000000" w:themeColor="text1"/>
          <w:sz w:val="22"/>
          <w:lang w:val="en-GB" w:eastAsia="en-US"/>
        </w:rPr>
        <w:t>GHG</w:t>
      </w:r>
      <w:r w:rsidR="00B21997" w:rsidRPr="00C66C24">
        <w:rPr>
          <w:rFonts w:asciiTheme="minorHAnsi" w:eastAsiaTheme="minorEastAsia" w:hAnsiTheme="minorHAnsi"/>
          <w:iCs/>
          <w:color w:val="000000" w:themeColor="text1"/>
          <w:sz w:val="22"/>
          <w:lang w:val="en-GB" w:eastAsia="en-US"/>
        </w:rPr>
        <w:t xml:space="preserve"> emission abatement is the obvious goal in any green corridor, </w:t>
      </w:r>
      <w:r w:rsidR="003D6080" w:rsidRPr="00C66C24">
        <w:rPr>
          <w:rFonts w:ascii="Calibri" w:eastAsiaTheme="minorEastAsia" w:hAnsi="Calibri"/>
          <w:color w:val="000000" w:themeColor="text1"/>
          <w:sz w:val="22"/>
          <w:lang w:val="en-GB"/>
        </w:rPr>
        <w:t xml:space="preserve">with availability of </w:t>
      </w:r>
      <w:r w:rsidR="007A6F30" w:rsidRPr="00C66C24">
        <w:rPr>
          <w:rFonts w:ascii="Calibri" w:eastAsiaTheme="minorEastAsia" w:hAnsi="Calibri"/>
          <w:color w:val="000000" w:themeColor="text1"/>
          <w:sz w:val="22"/>
          <w:lang w:val="en-GB"/>
        </w:rPr>
        <w:t xml:space="preserve">zero-emission </w:t>
      </w:r>
      <w:r w:rsidR="00823B0B" w:rsidRPr="00C66C24">
        <w:rPr>
          <w:rFonts w:ascii="Calibri" w:eastAsiaTheme="minorEastAsia" w:hAnsi="Calibri"/>
          <w:color w:val="000000" w:themeColor="text1"/>
          <w:sz w:val="22"/>
          <w:lang w:val="en-GB"/>
        </w:rPr>
        <w:t>fuels</w:t>
      </w:r>
      <w:r w:rsidR="007A6F30" w:rsidRPr="00C66C24">
        <w:rPr>
          <w:rFonts w:ascii="Calibri" w:eastAsiaTheme="minorEastAsia" w:hAnsi="Calibri"/>
          <w:color w:val="000000" w:themeColor="text1"/>
          <w:sz w:val="22"/>
          <w:lang w:val="en-GB"/>
        </w:rPr>
        <w:t xml:space="preserve"> </w:t>
      </w:r>
      <w:r w:rsidR="004C4646" w:rsidRPr="00C66C24">
        <w:rPr>
          <w:rFonts w:ascii="Calibri" w:eastAsiaTheme="minorEastAsia" w:hAnsi="Calibri"/>
          <w:color w:val="000000" w:themeColor="text1"/>
          <w:sz w:val="22"/>
          <w:lang w:val="en-GB"/>
        </w:rPr>
        <w:t xml:space="preserve">that can be stored and </w:t>
      </w:r>
      <w:r w:rsidR="00E70539" w:rsidRPr="00C66C24">
        <w:rPr>
          <w:rFonts w:ascii="Calibri" w:eastAsiaTheme="minorEastAsia" w:hAnsi="Calibri"/>
          <w:color w:val="000000" w:themeColor="text1"/>
          <w:sz w:val="22"/>
          <w:lang w:val="en-GB"/>
        </w:rPr>
        <w:t>re-fuel</w:t>
      </w:r>
      <w:r w:rsidR="00A912CC" w:rsidRPr="00C66C24">
        <w:rPr>
          <w:rFonts w:ascii="Calibri" w:eastAsiaTheme="minorEastAsia" w:hAnsi="Calibri"/>
          <w:color w:val="000000" w:themeColor="text1"/>
          <w:sz w:val="22"/>
          <w:lang w:val="en-GB"/>
        </w:rPr>
        <w:t xml:space="preserve"> </w:t>
      </w:r>
      <w:r w:rsidR="00E70539" w:rsidRPr="00C66C24">
        <w:rPr>
          <w:rFonts w:ascii="Calibri" w:eastAsiaTheme="minorEastAsia" w:hAnsi="Calibri"/>
          <w:color w:val="000000" w:themeColor="text1"/>
          <w:sz w:val="22"/>
          <w:lang w:val="en-GB"/>
        </w:rPr>
        <w:t xml:space="preserve">in accordance </w:t>
      </w:r>
      <w:r w:rsidR="00566982" w:rsidRPr="00C66C24">
        <w:rPr>
          <w:rFonts w:ascii="Calibri" w:eastAsiaTheme="minorEastAsia" w:hAnsi="Calibri"/>
          <w:color w:val="000000" w:themeColor="text1"/>
          <w:sz w:val="22"/>
          <w:lang w:val="en-GB"/>
        </w:rPr>
        <w:t>with</w:t>
      </w:r>
      <w:r w:rsidR="00E70539" w:rsidRPr="00C66C24">
        <w:rPr>
          <w:rFonts w:ascii="Calibri" w:eastAsiaTheme="minorEastAsia" w:hAnsi="Calibri"/>
          <w:color w:val="000000" w:themeColor="text1"/>
          <w:sz w:val="22"/>
          <w:lang w:val="en-GB"/>
        </w:rPr>
        <w:t xml:space="preserve"> the same standards and safety</w:t>
      </w:r>
      <w:r w:rsidR="00D5211F" w:rsidRPr="00C66C24">
        <w:rPr>
          <w:rFonts w:ascii="Calibri" w:eastAsiaTheme="minorEastAsia" w:hAnsi="Calibri"/>
          <w:color w:val="000000" w:themeColor="text1"/>
          <w:sz w:val="22"/>
          <w:lang w:val="en-GB"/>
        </w:rPr>
        <w:t xml:space="preserve"> requirements. </w:t>
      </w:r>
      <w:r w:rsidR="003E6715" w:rsidRPr="00C66C24">
        <w:rPr>
          <w:rFonts w:ascii="Calibri" w:eastAsiaTheme="minorEastAsia" w:hAnsi="Calibri"/>
          <w:color w:val="000000" w:themeColor="text1"/>
          <w:sz w:val="22"/>
          <w:lang w:val="en-GB"/>
        </w:rPr>
        <w:t>Since those</w:t>
      </w:r>
      <w:r w:rsidR="00B21997" w:rsidRPr="00C66C24">
        <w:rPr>
          <w:rFonts w:asciiTheme="minorHAnsi" w:eastAsiaTheme="minorEastAsia" w:hAnsiTheme="minorHAnsi"/>
          <w:iCs/>
          <w:color w:val="000000" w:themeColor="text1"/>
          <w:sz w:val="22"/>
          <w:lang w:val="en-GB" w:eastAsia="en-US"/>
        </w:rPr>
        <w:t xml:space="preserve"> can look very different based on the region</w:t>
      </w:r>
      <w:r w:rsidR="00B82179" w:rsidRPr="00C66C24">
        <w:rPr>
          <w:rFonts w:asciiTheme="minorHAnsi" w:eastAsiaTheme="minorEastAsia" w:hAnsiTheme="minorHAnsi"/>
          <w:iCs/>
          <w:color w:val="000000" w:themeColor="text1"/>
          <w:sz w:val="22"/>
          <w:lang w:val="en-GB" w:eastAsia="en-US"/>
        </w:rPr>
        <w:t>s</w:t>
      </w:r>
      <w:r w:rsidR="00C04ECD" w:rsidRPr="00C66C24">
        <w:rPr>
          <w:rFonts w:asciiTheme="minorHAnsi" w:eastAsiaTheme="minorEastAsia" w:hAnsiTheme="minorHAnsi"/>
          <w:iCs/>
          <w:color w:val="000000" w:themeColor="text1"/>
          <w:sz w:val="22"/>
          <w:lang w:val="en-GB" w:eastAsia="en-US"/>
        </w:rPr>
        <w:t xml:space="preserve">, the </w:t>
      </w:r>
      <w:r w:rsidR="00B21997" w:rsidRPr="00C66C24">
        <w:rPr>
          <w:rFonts w:asciiTheme="minorHAnsi" w:eastAsiaTheme="minorEastAsia" w:hAnsiTheme="minorHAnsi"/>
          <w:iCs/>
          <w:color w:val="000000" w:themeColor="text1"/>
          <w:sz w:val="22"/>
          <w:lang w:val="en-GB" w:eastAsia="en-US"/>
        </w:rPr>
        <w:t xml:space="preserve">initial phase </w:t>
      </w:r>
      <w:r w:rsidR="00B82179" w:rsidRPr="00C66C24">
        <w:rPr>
          <w:rFonts w:asciiTheme="minorHAnsi" w:eastAsiaTheme="minorEastAsia" w:hAnsiTheme="minorHAnsi"/>
          <w:iCs/>
          <w:color w:val="000000" w:themeColor="text1"/>
          <w:sz w:val="22"/>
          <w:lang w:val="en-GB" w:eastAsia="en-US"/>
        </w:rPr>
        <w:t xml:space="preserve">is </w:t>
      </w:r>
      <w:r w:rsidR="00B21997" w:rsidRPr="00C66C24">
        <w:rPr>
          <w:rFonts w:asciiTheme="minorHAnsi" w:eastAsiaTheme="minorEastAsia" w:hAnsiTheme="minorHAnsi"/>
          <w:iCs/>
          <w:color w:val="000000" w:themeColor="text1"/>
          <w:sz w:val="22"/>
          <w:lang w:val="en-GB" w:eastAsia="en-US"/>
        </w:rPr>
        <w:t xml:space="preserve">critical. In some regions the availability of </w:t>
      </w:r>
      <w:r w:rsidR="008F25C1" w:rsidRPr="00C66C24">
        <w:rPr>
          <w:rFonts w:asciiTheme="minorHAnsi" w:eastAsiaTheme="minorEastAsia" w:hAnsiTheme="minorHAnsi"/>
          <w:iCs/>
          <w:color w:val="000000" w:themeColor="text1"/>
          <w:sz w:val="22"/>
          <w:lang w:val="en-GB" w:eastAsia="en-US"/>
        </w:rPr>
        <w:t xml:space="preserve">a </w:t>
      </w:r>
      <w:r w:rsidR="00B21997" w:rsidRPr="00C66C24">
        <w:rPr>
          <w:rFonts w:asciiTheme="minorHAnsi" w:eastAsiaTheme="minorEastAsia" w:hAnsiTheme="minorHAnsi"/>
          <w:iCs/>
          <w:color w:val="000000" w:themeColor="text1"/>
          <w:sz w:val="22"/>
          <w:lang w:val="en-GB" w:eastAsia="en-US"/>
        </w:rPr>
        <w:t xml:space="preserve">specific </w:t>
      </w:r>
      <w:r w:rsidR="008F25C1" w:rsidRPr="00C66C24">
        <w:rPr>
          <w:rFonts w:asciiTheme="minorHAnsi" w:eastAsiaTheme="minorEastAsia" w:hAnsiTheme="minorHAnsi"/>
          <w:iCs/>
          <w:color w:val="000000" w:themeColor="text1"/>
          <w:sz w:val="22"/>
          <w:lang w:val="en-GB" w:eastAsia="en-US"/>
        </w:rPr>
        <w:t>zero-</w:t>
      </w:r>
      <w:r w:rsidRPr="00C66C24">
        <w:rPr>
          <w:rFonts w:asciiTheme="minorHAnsi" w:eastAsiaTheme="minorEastAsia" w:hAnsiTheme="minorHAnsi"/>
          <w:iCs/>
          <w:color w:val="000000" w:themeColor="text1"/>
          <w:sz w:val="22"/>
          <w:lang w:val="en-GB" w:eastAsia="en-US"/>
        </w:rPr>
        <w:t xml:space="preserve">GHG </w:t>
      </w:r>
      <w:r w:rsidR="008F25C1" w:rsidRPr="00C66C24">
        <w:rPr>
          <w:rFonts w:asciiTheme="minorHAnsi" w:eastAsiaTheme="minorEastAsia" w:hAnsiTheme="minorHAnsi"/>
          <w:iCs/>
          <w:color w:val="000000" w:themeColor="text1"/>
          <w:sz w:val="22"/>
          <w:lang w:val="en-GB" w:eastAsia="en-US"/>
        </w:rPr>
        <w:t xml:space="preserve">energy </w:t>
      </w:r>
      <w:r w:rsidR="00C04ECD" w:rsidRPr="00C66C24">
        <w:rPr>
          <w:rFonts w:asciiTheme="minorHAnsi" w:eastAsiaTheme="minorEastAsia" w:hAnsiTheme="minorHAnsi"/>
          <w:iCs/>
          <w:color w:val="000000" w:themeColor="text1"/>
          <w:sz w:val="22"/>
          <w:lang w:val="en-GB" w:eastAsia="en-US"/>
        </w:rPr>
        <w:t>carriers</w:t>
      </w:r>
      <w:r w:rsidR="008F25C1" w:rsidRPr="00C66C24">
        <w:rPr>
          <w:rFonts w:asciiTheme="minorHAnsi" w:eastAsiaTheme="minorEastAsia" w:hAnsiTheme="minorHAnsi"/>
          <w:iCs/>
          <w:color w:val="000000" w:themeColor="text1"/>
          <w:sz w:val="22"/>
          <w:lang w:val="en-GB" w:eastAsia="en-US"/>
        </w:rPr>
        <w:t xml:space="preserve"> </w:t>
      </w:r>
      <w:r w:rsidR="00B21997" w:rsidRPr="00C66C24">
        <w:rPr>
          <w:rFonts w:asciiTheme="minorHAnsi" w:eastAsiaTheme="minorEastAsia" w:hAnsiTheme="minorHAnsi"/>
          <w:iCs/>
          <w:color w:val="000000" w:themeColor="text1"/>
          <w:sz w:val="22"/>
          <w:lang w:val="en-GB" w:eastAsia="en-US"/>
        </w:rPr>
        <w:t>might make a certain vessel segment</w:t>
      </w:r>
      <w:r w:rsidR="00DE58D6" w:rsidRPr="00C66C24">
        <w:rPr>
          <w:rFonts w:asciiTheme="minorHAnsi" w:eastAsiaTheme="minorEastAsia" w:hAnsiTheme="minorHAnsi"/>
          <w:iCs/>
          <w:color w:val="000000" w:themeColor="text1"/>
          <w:sz w:val="22"/>
          <w:lang w:val="en-GB" w:eastAsia="en-US"/>
        </w:rPr>
        <w:t>s</w:t>
      </w:r>
      <w:r w:rsidR="00B21997" w:rsidRPr="00C66C24">
        <w:rPr>
          <w:rFonts w:asciiTheme="minorHAnsi" w:eastAsiaTheme="minorEastAsia" w:hAnsiTheme="minorHAnsi"/>
          <w:iCs/>
          <w:color w:val="000000" w:themeColor="text1"/>
          <w:sz w:val="22"/>
          <w:lang w:val="en-GB" w:eastAsia="en-US"/>
        </w:rPr>
        <w:t xml:space="preserve"> the most relevant to look at</w:t>
      </w:r>
      <w:r w:rsidR="008F25C1" w:rsidRPr="00C66C24">
        <w:rPr>
          <w:rFonts w:asciiTheme="minorHAnsi" w:eastAsiaTheme="minorEastAsia" w:hAnsiTheme="minorHAnsi"/>
          <w:iCs/>
          <w:color w:val="000000" w:themeColor="text1"/>
          <w:sz w:val="22"/>
          <w:lang w:val="en-GB" w:eastAsia="en-US"/>
        </w:rPr>
        <w:t>,</w:t>
      </w:r>
      <w:r w:rsidR="00B21997" w:rsidRPr="00C66C24">
        <w:rPr>
          <w:rFonts w:asciiTheme="minorHAnsi" w:eastAsiaTheme="minorEastAsia" w:hAnsiTheme="minorHAnsi"/>
          <w:iCs/>
          <w:color w:val="000000" w:themeColor="text1"/>
          <w:sz w:val="22"/>
          <w:lang w:val="en-GB" w:eastAsia="en-US"/>
        </w:rPr>
        <w:t xml:space="preserve"> while in others it can be secondary attributes, like availability of local workforce, infrastructural development opportunities</w:t>
      </w:r>
      <w:r w:rsidR="009A6DB8" w:rsidRPr="00C66C24">
        <w:rPr>
          <w:rFonts w:asciiTheme="minorHAnsi" w:eastAsiaTheme="minorEastAsia" w:hAnsiTheme="minorHAnsi"/>
          <w:iCs/>
          <w:color w:val="000000" w:themeColor="text1"/>
          <w:sz w:val="22"/>
          <w:lang w:val="en-GB" w:eastAsia="en-US"/>
        </w:rPr>
        <w:t>,</w:t>
      </w:r>
      <w:r w:rsidR="00B21997" w:rsidRPr="00C66C24">
        <w:rPr>
          <w:rFonts w:asciiTheme="minorHAnsi" w:eastAsiaTheme="minorEastAsia" w:hAnsiTheme="minorHAnsi"/>
          <w:iCs/>
          <w:color w:val="000000" w:themeColor="text1"/>
          <w:sz w:val="22"/>
          <w:lang w:val="en-GB" w:eastAsia="en-US"/>
        </w:rPr>
        <w:t xml:space="preserve"> or the opportunity to increase technical insights. Furthermore, at port level, the planning for investments in infrastructure is based on estimations of the future demand of alternative fuels which, considering the uncertainty and complexity of the future fuel mix, poses a great challenge for ports.</w:t>
      </w:r>
    </w:p>
    <w:p w14:paraId="2DFF94D6" w14:textId="16C90685" w:rsidR="006C3AA9" w:rsidRPr="00C66C24" w:rsidRDefault="00C04ECD" w:rsidP="008C6A9C">
      <w:pPr>
        <w:pStyle w:val="paragraph"/>
        <w:spacing w:before="0" w:beforeAutospacing="0" w:after="0" w:afterAutospacing="0" w:line="257" w:lineRule="auto"/>
        <w:jc w:val="both"/>
        <w:rPr>
          <w:rFonts w:asciiTheme="minorHAnsi" w:eastAsiaTheme="minorEastAsia" w:hAnsiTheme="minorHAnsi"/>
          <w:iCs/>
          <w:color w:val="000000" w:themeColor="text1"/>
          <w:sz w:val="22"/>
          <w:lang w:val="en-GB" w:eastAsia="en-US"/>
        </w:rPr>
      </w:pPr>
      <w:r w:rsidRPr="00C66C24">
        <w:rPr>
          <w:rFonts w:asciiTheme="minorHAnsi" w:eastAsiaTheme="minorEastAsia" w:hAnsiTheme="minorHAnsi"/>
          <w:iCs/>
          <w:color w:val="000000" w:themeColor="text1"/>
          <w:sz w:val="22"/>
          <w:lang w:val="en-GB" w:eastAsia="en-US"/>
        </w:rPr>
        <w:t xml:space="preserve">Along a green corridor, policy makers can put in place mechanisms that will enable the transition of the industry such as regulatory measures, financial incentives, or safety regulations, while engaging all the stakeholders (fuel producers and suppliers, port operators, ship owners, ship operators, cargo owners, specialist and experts, shipyards, financial institutions, etc.) </w:t>
      </w:r>
      <w:r w:rsidRPr="00C66C24">
        <w:rPr>
          <w:rFonts w:asciiTheme="minorHAnsi" w:eastAsiaTheme="minorEastAsia" w:hAnsiTheme="minorHAnsi"/>
          <w:iCs/>
          <w:color w:val="000000" w:themeColor="text1"/>
          <w:sz w:val="22"/>
          <w:lang w:val="en-GB" w:eastAsia="en-US"/>
        </w:rPr>
        <w:fldChar w:fldCharType="begin"/>
      </w:r>
      <w:r w:rsidR="001855E3" w:rsidRPr="00C66C24">
        <w:rPr>
          <w:rFonts w:asciiTheme="minorHAnsi" w:eastAsiaTheme="minorEastAsia" w:hAnsiTheme="minorHAnsi"/>
          <w:iCs/>
          <w:color w:val="000000" w:themeColor="text1"/>
          <w:sz w:val="22"/>
          <w:lang w:val="en-GB" w:eastAsia="en-US"/>
        </w:rPr>
        <w:instrText xml:space="preserve"> ADDIN ZOTERO_ITEM CSL_CITATION {"citationID":"a1qe2584ktu","properties":{"formattedCitation":"(EC, 2023c)","plainCitation":"(EC, 2023c)","noteIndex":0},"citationItems":[{"id":59274,"uris":["http://zotero.org/groups/122386/items/CU7UH7TB"],"itemData":{"id":59274,"type":"book","event-place":"LU","language":"eng","publisher":"DG MARE","publisher-place":"LU","source":"DOI.org (CSL JSON)","title":"Guide on financing the green energy transition of fisheries and aquaculture: supporting the energy transition in fisheries and aquaculture through EU funding opportunities under the 2021 2027 multiannual financial framework, NextGenerationEU and beyond.","title-short":"Guide on financing the green energy transition of fisheries and aquaculture","URL":"https://data.europa.eu/doi/10.2771/377801","author":[{"literal":"EC"}],"accessed":{"date-parts":[["2024",1,26]]},"issued":{"date-parts":[["2023"]]}}}],"schema":"https://github.com/citation-style-language/schema/raw/master/csl-citation.json"} </w:instrText>
      </w:r>
      <w:r w:rsidRPr="00C66C24">
        <w:rPr>
          <w:rFonts w:asciiTheme="minorHAnsi" w:eastAsiaTheme="minorEastAsia" w:hAnsiTheme="minorHAnsi"/>
          <w:iCs/>
          <w:color w:val="000000" w:themeColor="text1"/>
          <w:sz w:val="22"/>
          <w:lang w:val="en-GB" w:eastAsia="en-US"/>
        </w:rPr>
        <w:fldChar w:fldCharType="separate"/>
      </w:r>
      <w:r w:rsidR="001855E3" w:rsidRPr="00C66C24">
        <w:rPr>
          <w:rFonts w:ascii="Calibri" w:hAnsi="Calibri" w:cs="Calibri"/>
          <w:sz w:val="22"/>
          <w:lang w:val="en-GB"/>
        </w:rPr>
        <w:t>(EC, 2023</w:t>
      </w:r>
      <w:r w:rsidR="0010482C">
        <w:rPr>
          <w:rFonts w:ascii="Calibri" w:hAnsi="Calibri" w:cs="Calibri"/>
          <w:sz w:val="22"/>
          <w:lang w:val="en-GB"/>
        </w:rPr>
        <w:t>d</w:t>
      </w:r>
      <w:r w:rsidR="001855E3" w:rsidRPr="00C66C24">
        <w:rPr>
          <w:rFonts w:ascii="Calibri" w:hAnsi="Calibri" w:cs="Calibri"/>
          <w:sz w:val="22"/>
          <w:lang w:val="en-GB"/>
        </w:rPr>
        <w:t>)</w:t>
      </w:r>
      <w:r w:rsidRPr="00C66C24">
        <w:rPr>
          <w:rFonts w:asciiTheme="minorHAnsi" w:eastAsiaTheme="minorEastAsia" w:hAnsiTheme="minorHAnsi"/>
          <w:iCs/>
          <w:color w:val="000000" w:themeColor="text1"/>
          <w:sz w:val="22"/>
          <w:lang w:val="en-GB" w:eastAsia="en-US"/>
        </w:rPr>
        <w:fldChar w:fldCharType="end"/>
      </w:r>
      <w:r w:rsidRPr="00C66C24">
        <w:rPr>
          <w:rFonts w:asciiTheme="minorHAnsi" w:eastAsiaTheme="minorEastAsia" w:hAnsiTheme="minorHAnsi"/>
          <w:iCs/>
          <w:color w:val="000000" w:themeColor="text1"/>
          <w:sz w:val="22"/>
          <w:lang w:val="en-GB" w:eastAsia="en-US"/>
        </w:rPr>
        <w:t>.</w:t>
      </w:r>
    </w:p>
    <w:p w14:paraId="320B8ED5" w14:textId="5202B489" w:rsidR="006C3AA9" w:rsidRPr="00C66C24" w:rsidRDefault="006C3AA9" w:rsidP="00C21744">
      <w:pPr>
        <w:pStyle w:val="Heading3"/>
        <w:spacing w:line="257" w:lineRule="auto"/>
      </w:pPr>
      <w:bookmarkStart w:id="253" w:name="_Toc156316363"/>
      <w:bookmarkStart w:id="254" w:name="_Toc156316513"/>
      <w:bookmarkStart w:id="255" w:name="_Toc157762104"/>
      <w:r w:rsidRPr="00C66C24">
        <w:t>Human element and seafarer training outlook</w:t>
      </w:r>
      <w:bookmarkEnd w:id="253"/>
      <w:bookmarkEnd w:id="254"/>
      <w:bookmarkEnd w:id="255"/>
    </w:p>
    <w:p w14:paraId="00735A40" w14:textId="79ABF84D" w:rsidR="006C3AA9" w:rsidRPr="00C66C24" w:rsidRDefault="006C3AA9" w:rsidP="008C6A9C">
      <w:pPr>
        <w:spacing w:before="0" w:after="0" w:line="257" w:lineRule="auto"/>
      </w:pPr>
      <w:r w:rsidRPr="00C66C24">
        <w:t xml:space="preserve">The increased use of any alternative fuels and new ship technology necessary for the sustainable transition of the maritime sector comes with several human element-related challenges. For example, the experience so far </w:t>
      </w:r>
      <w:r w:rsidR="00C04ECD" w:rsidRPr="00C66C24">
        <w:t>highlights</w:t>
      </w:r>
      <w:r w:rsidRPr="00C66C24">
        <w:t xml:space="preserve"> the need for additional specialised seafarer training on board vessels in areas such as fuel storage, personal protection, emergencies, and transport of fuels in order to ensure a safe operation.</w:t>
      </w:r>
    </w:p>
    <w:p w14:paraId="6459F232" w14:textId="44EE7D3A" w:rsidR="006C3AA9" w:rsidRPr="00C66C24" w:rsidRDefault="006C3AA9" w:rsidP="008C6A9C">
      <w:pPr>
        <w:spacing w:before="0" w:after="0" w:line="257" w:lineRule="auto"/>
      </w:pPr>
      <w:r w:rsidRPr="00C66C24">
        <w:t xml:space="preserve">According to the scenario by Lloyds Register and University Maritime Advisory Services (UMAS) where alternative fuel-use ramps-up in the 2020s, and envisioning reaching net-zero GHG emissions from international shipping by 2050, it will be required that 450,000 seafarers receive additional training by 2030 and 800,000 by the mid-2030s </w:t>
      </w:r>
      <w:r w:rsidRPr="00C66C24">
        <w:fldChar w:fldCharType="begin"/>
      </w:r>
      <w:r w:rsidR="001855E3" w:rsidRPr="00C66C24">
        <w:instrText xml:space="preserve"> ADDIN ZOTERO_ITEM CSL_CITATION {"citationID":"a2ognurnda5","properties":{"formattedCitation":"\\uldash{(Raymond A.K. et al., 2022)}","plainCitation":"(Raymond A.K. et al., 2022)","dontUpdate":true,"noteIndex":0},"citationItems":[{"id":53050,"uris":["http://zotero.org/groups/122386/items/5TJAD9AU"],"itemData":{"id":53050,"type":"document","title":"DNV_study_Training_of_seafarers_double_highres_digital (1).pdf","author":[{"literal":"Raymond A.K."},{"literal":"Henning Ødeby Karlsen, Henrik Helgesen,"},{"literal":"Georg Giskegjerde, Christine Lagerstedt"},{"literal":"Krugerud &amp; Peter Nyegaard Hoffmann"}],"issued":{"date-parts":[["2022"]]}}}],"schema":"https://github.com/citation-style-language/schema/raw/master/csl-citation.json"} </w:instrText>
      </w:r>
      <w:r w:rsidRPr="00C66C24">
        <w:fldChar w:fldCharType="separate"/>
      </w:r>
      <w:r w:rsidRPr="00C66C24">
        <w:rPr>
          <w:rFonts w:ascii="Calibri" w:hAnsi="Calibri" w:cs="Calibri"/>
        </w:rPr>
        <w:t>(Raymond et al., 2022)</w:t>
      </w:r>
      <w:r w:rsidRPr="00C66C24">
        <w:fldChar w:fldCharType="end"/>
      </w:r>
      <w:r w:rsidRPr="00C66C24">
        <w:t>.</w:t>
      </w:r>
    </w:p>
    <w:p w14:paraId="69AD5F69" w14:textId="1D931BBC" w:rsidR="006C3AA9" w:rsidRPr="00C66C24" w:rsidRDefault="006C3AA9" w:rsidP="008C6A9C">
      <w:pPr>
        <w:spacing w:before="0" w:after="0" w:line="257" w:lineRule="auto"/>
      </w:pPr>
      <w:r w:rsidRPr="00C66C24">
        <w:t xml:space="preserve">At an international level, the shipping industry is developing and calling for the adoption of interim guidelines on the training of seafarers on ships that use alternative energy sources. This will guarantee harmonised training processes and a coherent approach prior to the establishment of specific guidance and requirements of minimum training in the STCW Convention and Code. Due to the several different strategies regarding decarbonisation, the disparity in knowledge and experience makes this a complex task. In addition, the current slow uptake of alternative energy sources, as compared to conventional fuels, may create a bottleneck on the training of seafarers that are required to gain experience. Technology can facilitate those aspects through tools such as simulators. Some already exist, including engine-room training, bridge training, and LNG cargo-handling simulators </w:t>
      </w:r>
      <w:r w:rsidRPr="00C66C24">
        <w:fldChar w:fldCharType="begin"/>
      </w:r>
      <w:r w:rsidR="001855E3" w:rsidRPr="00C66C24">
        <w:instrText xml:space="preserve"> ADDIN ZOTERO_ITEM CSL_CITATION {"citationID":"a15034b4le6","properties":{"formattedCitation":"\\uldash{(IMO, 2023)}","plainCitation":"(IMO, 2023)","dontUpdate":true,"noteIndex":0},"citationItems":[{"id":53063,"uris":["http://zotero.org/groups/122386/items/P3BKL5ZF"],"itemData":{"id":53063,"type":"webpage","title":"Importance of Simulation","URL":"https://www.imo.org/en/MediaCentre/Pages/WhatsNew-740.aspx","author":[{"family":"IMO","given":""}],"accessed":{"date-parts":[["2023",11,15]]},"issued":{"date-parts":[["2023"]]}}}],"schema":"https://github.com/citation-style-language/schema/raw/master/csl-citation.json"} </w:instrText>
      </w:r>
      <w:r w:rsidRPr="00C66C24">
        <w:fldChar w:fldCharType="separate"/>
      </w:r>
      <w:r w:rsidRPr="00C66C24">
        <w:rPr>
          <w:rFonts w:ascii="Calibri" w:hAnsi="Calibri" w:cs="Calibri"/>
        </w:rPr>
        <w:t>(IMO, 2023b)</w:t>
      </w:r>
      <w:r w:rsidRPr="00C66C24">
        <w:fldChar w:fldCharType="end"/>
      </w:r>
      <w:r w:rsidRPr="00C66C24">
        <w:t>.</w:t>
      </w:r>
    </w:p>
    <w:p w14:paraId="3B323AC7" w14:textId="77777777" w:rsidR="006C3AA9" w:rsidRPr="00C66C24" w:rsidRDefault="006C3AA9" w:rsidP="008C6A9C">
      <w:pPr>
        <w:spacing w:before="0" w:after="0" w:line="257" w:lineRule="auto"/>
      </w:pPr>
    </w:p>
    <w:p w14:paraId="602352C2" w14:textId="6E3EFDB2" w:rsidR="005E1637" w:rsidRPr="00C66C24" w:rsidRDefault="005E1637" w:rsidP="008C6A9C">
      <w:pPr>
        <w:pStyle w:val="paragraph"/>
        <w:spacing w:before="0" w:beforeAutospacing="0" w:after="0" w:afterAutospacing="0" w:line="257" w:lineRule="auto"/>
        <w:jc w:val="both"/>
        <w:rPr>
          <w:rFonts w:asciiTheme="minorHAnsi" w:eastAsiaTheme="minorEastAsia" w:hAnsiTheme="minorHAnsi"/>
          <w:iCs/>
          <w:color w:val="000000" w:themeColor="text1"/>
          <w:sz w:val="22"/>
          <w:lang w:val="en-GB" w:eastAsia="en-US"/>
        </w:rPr>
      </w:pPr>
      <w:r w:rsidRPr="00C66C24">
        <w:rPr>
          <w:iCs/>
          <w:lang w:val="en-GB"/>
        </w:rPr>
        <w:br w:type="page"/>
      </w:r>
    </w:p>
    <w:p w14:paraId="7CBB1E04" w14:textId="55A3B1AB" w:rsidR="0005322D" w:rsidRPr="00C66C24" w:rsidRDefault="00CB51BA" w:rsidP="008C6A9C">
      <w:pPr>
        <w:pStyle w:val="Heading1"/>
        <w:spacing w:line="257" w:lineRule="auto"/>
        <w:ind w:left="432"/>
        <w:rPr>
          <w:iCs/>
        </w:rPr>
      </w:pPr>
      <w:bookmarkStart w:id="256" w:name="_Toc156316364"/>
      <w:bookmarkStart w:id="257" w:name="_Toc157762105"/>
      <w:r w:rsidRPr="00C66C24">
        <w:rPr>
          <w:iCs/>
        </w:rPr>
        <w:t xml:space="preserve">Knowledge </w:t>
      </w:r>
      <w:r w:rsidR="00ED36FA" w:rsidRPr="00C66C24">
        <w:rPr>
          <w:iCs/>
        </w:rPr>
        <w:t>gaps</w:t>
      </w:r>
      <w:bookmarkEnd w:id="256"/>
      <w:bookmarkEnd w:id="257"/>
    </w:p>
    <w:p w14:paraId="6ED51214" w14:textId="7D60A141" w:rsidR="002F1F66" w:rsidRPr="00C66C24" w:rsidRDefault="00A62507" w:rsidP="002F1F66">
      <w:pPr>
        <w:spacing w:line="257" w:lineRule="auto"/>
      </w:pPr>
      <w:r w:rsidRPr="00C66C24">
        <w:t>Th</w:t>
      </w:r>
      <w:r w:rsidR="003C1F23" w:rsidRPr="00C66C24">
        <w:t xml:space="preserve">is EMTER report has </w:t>
      </w:r>
      <w:r w:rsidR="00BC67C3" w:rsidRPr="00C66C24">
        <w:t xml:space="preserve">further </w:t>
      </w:r>
      <w:r w:rsidR="00FC7450" w:rsidRPr="00C66C24">
        <w:t xml:space="preserve">highlighted the environmental challenges and the opportunities </w:t>
      </w:r>
      <w:r w:rsidR="001F3883" w:rsidRPr="00C66C24">
        <w:t>fac</w:t>
      </w:r>
      <w:r w:rsidR="0089042B">
        <w:t>ed by</w:t>
      </w:r>
      <w:r w:rsidR="001F3883" w:rsidRPr="00C66C24">
        <w:t xml:space="preserve"> the </w:t>
      </w:r>
      <w:r w:rsidRPr="00C66C24">
        <w:t>maritime transport sector</w:t>
      </w:r>
      <w:r w:rsidR="00EF1A3C" w:rsidRPr="00C66C24">
        <w:t xml:space="preserve">. </w:t>
      </w:r>
      <w:r w:rsidR="002B2B9D" w:rsidRPr="00C66C24">
        <w:t>N</w:t>
      </w:r>
      <w:r w:rsidR="00393423" w:rsidRPr="00C66C24">
        <w:t xml:space="preserve">ew </w:t>
      </w:r>
      <w:r w:rsidR="002446AD" w:rsidRPr="00C66C24">
        <w:t>and ambitious targets</w:t>
      </w:r>
      <w:r w:rsidR="002B2B9D" w:rsidRPr="00C66C24">
        <w:t xml:space="preserve"> have been set to reach the goals of the Eu</w:t>
      </w:r>
      <w:r w:rsidR="009748B0" w:rsidRPr="00C66C24">
        <w:t>ropean Green Deal</w:t>
      </w:r>
      <w:r w:rsidR="002B2B9D" w:rsidRPr="00C66C24">
        <w:t xml:space="preserve">, </w:t>
      </w:r>
      <w:r w:rsidR="003A6451" w:rsidRPr="00C66C24">
        <w:t>and shipping</w:t>
      </w:r>
      <w:r w:rsidRPr="00C66C24">
        <w:t xml:space="preserve"> </w:t>
      </w:r>
      <w:r w:rsidR="00BC1681" w:rsidRPr="00C66C24">
        <w:t xml:space="preserve">is </w:t>
      </w:r>
      <w:r w:rsidR="001762F3" w:rsidRPr="00C66C24">
        <w:t xml:space="preserve">now </w:t>
      </w:r>
      <w:r w:rsidR="00D53703" w:rsidRPr="00C66C24">
        <w:t xml:space="preserve">an integral part </w:t>
      </w:r>
      <w:r w:rsidR="00815FE5" w:rsidRPr="00C66C24">
        <w:t xml:space="preserve">of this </w:t>
      </w:r>
      <w:r w:rsidR="001762F3" w:rsidRPr="00C66C24">
        <w:t>endeavour</w:t>
      </w:r>
      <w:r w:rsidR="0047109B" w:rsidRPr="00C66C24">
        <w:t xml:space="preserve">. </w:t>
      </w:r>
      <w:r w:rsidR="0087237E" w:rsidRPr="00C66C24">
        <w:t xml:space="preserve">While </w:t>
      </w:r>
      <w:r w:rsidR="00321AA7" w:rsidRPr="00C66C24">
        <w:t xml:space="preserve">we </w:t>
      </w:r>
      <w:r w:rsidR="00594C70" w:rsidRPr="00C66C24">
        <w:t xml:space="preserve">strive to analyse </w:t>
      </w:r>
      <w:r w:rsidR="00F7414B" w:rsidRPr="00C66C24">
        <w:t xml:space="preserve">the trends and prospects </w:t>
      </w:r>
      <w:r w:rsidR="006A1FFC" w:rsidRPr="00C66C24">
        <w:t xml:space="preserve">of how </w:t>
      </w:r>
      <w:r w:rsidR="00507A31" w:rsidRPr="00C66C24">
        <w:t xml:space="preserve">the </w:t>
      </w:r>
      <w:r w:rsidR="009257E2" w:rsidRPr="00C66C24">
        <w:t xml:space="preserve">sector is </w:t>
      </w:r>
      <w:r w:rsidR="005E17FA" w:rsidRPr="00C66C24">
        <w:t xml:space="preserve">performing </w:t>
      </w:r>
      <w:r w:rsidR="007F086B" w:rsidRPr="00C66C24">
        <w:t xml:space="preserve">in terms of </w:t>
      </w:r>
      <w:r w:rsidR="00DF5ED2" w:rsidRPr="00C66C24">
        <w:t>environmental sustainability</w:t>
      </w:r>
      <w:r w:rsidR="009F7BE7" w:rsidRPr="00C66C24">
        <w:t xml:space="preserve">, </w:t>
      </w:r>
      <w:r w:rsidR="003F18B6" w:rsidRPr="00C66C24">
        <w:t xml:space="preserve">it is important to </w:t>
      </w:r>
      <w:r w:rsidR="0052514E" w:rsidRPr="00C66C24">
        <w:t xml:space="preserve">identify the </w:t>
      </w:r>
      <w:r w:rsidR="006B1AD8" w:rsidRPr="00C66C24">
        <w:t xml:space="preserve">information gaps </w:t>
      </w:r>
      <w:r w:rsidR="00E72DB2" w:rsidRPr="00C66C24">
        <w:t>that still exist</w:t>
      </w:r>
      <w:r w:rsidR="005A5A5B" w:rsidRPr="00C66C24">
        <w:t xml:space="preserve">, </w:t>
      </w:r>
      <w:r w:rsidR="00D80654" w:rsidRPr="00C66C24">
        <w:t xml:space="preserve">and </w:t>
      </w:r>
      <w:r w:rsidR="00BB6816" w:rsidRPr="00C66C24">
        <w:t xml:space="preserve">recognise the role </w:t>
      </w:r>
      <w:r w:rsidR="00E7136B" w:rsidRPr="00C66C24">
        <w:t xml:space="preserve">of </w:t>
      </w:r>
      <w:r w:rsidR="001555E5" w:rsidRPr="00C66C24">
        <w:t xml:space="preserve">research and innovation </w:t>
      </w:r>
      <w:r w:rsidR="00E71F13" w:rsidRPr="00C66C24">
        <w:t xml:space="preserve">both </w:t>
      </w:r>
      <w:r w:rsidR="00177E51">
        <w:t xml:space="preserve">for </w:t>
      </w:r>
      <w:r w:rsidR="009A71B3" w:rsidRPr="00C66C24">
        <w:t>closing these gaps</w:t>
      </w:r>
      <w:r w:rsidR="00E71F13" w:rsidRPr="00C66C24">
        <w:t xml:space="preserve">, and </w:t>
      </w:r>
      <w:r w:rsidR="00F7578C" w:rsidRPr="00C66C24">
        <w:t>accelerating this transition</w:t>
      </w:r>
      <w:r w:rsidR="009A71B3" w:rsidRPr="00C66C24">
        <w:t>.</w:t>
      </w:r>
      <w:r w:rsidR="0032088F" w:rsidRPr="00C66C24">
        <w:t xml:space="preserve"> </w:t>
      </w:r>
      <w:r w:rsidR="0091607B">
        <w:t xml:space="preserve">While currently most </w:t>
      </w:r>
      <w:r w:rsidR="00207504">
        <w:t>of the attention is focus</w:t>
      </w:r>
      <w:r w:rsidR="001A3F9B">
        <w:t>s</w:t>
      </w:r>
      <w:r w:rsidR="00207504">
        <w:t xml:space="preserve">ed </w:t>
      </w:r>
      <w:r w:rsidR="00F239C7">
        <w:t xml:space="preserve">on the </w:t>
      </w:r>
      <w:r w:rsidR="00C81C14">
        <w:t>efforts required</w:t>
      </w:r>
      <w:r w:rsidR="00F239C7">
        <w:t xml:space="preserve"> by the decarbonisation of the sector</w:t>
      </w:r>
      <w:r w:rsidR="001A3F9B">
        <w:t xml:space="preserve"> </w:t>
      </w:r>
      <w:r w:rsidR="002F1F66">
        <w:t>by</w:t>
      </w:r>
      <w:r w:rsidR="001A3F9B">
        <w:t xml:space="preserve"> 2050, </w:t>
      </w:r>
      <w:r w:rsidR="002F1F66" w:rsidRPr="00C66C24">
        <w:t xml:space="preserve">there are </w:t>
      </w:r>
      <w:r w:rsidR="002F1F66">
        <w:t xml:space="preserve">still </w:t>
      </w:r>
      <w:r w:rsidR="002F1F66" w:rsidRPr="00C66C24">
        <w:t>domains w</w:t>
      </w:r>
      <w:r w:rsidR="006E66CE">
        <w:t>h</w:t>
      </w:r>
      <w:r w:rsidR="002F1F66" w:rsidRPr="00C66C24">
        <w:t>ere additional data, information and knowledge</w:t>
      </w:r>
      <w:r w:rsidR="002F1F66">
        <w:t xml:space="preserve"> would be needed</w:t>
      </w:r>
      <w:r w:rsidR="00C81C14">
        <w:t xml:space="preserve"> to overcome the </w:t>
      </w:r>
      <w:r w:rsidR="007A42B4">
        <w:t xml:space="preserve">other environmental </w:t>
      </w:r>
      <w:r w:rsidR="00C81C14">
        <w:t xml:space="preserve">challenges that </w:t>
      </w:r>
      <w:r w:rsidR="007A42B4">
        <w:t>lie ahead.</w:t>
      </w:r>
    </w:p>
    <w:p w14:paraId="44A0EB79" w14:textId="71C8A5AB" w:rsidR="008B1E5B" w:rsidRPr="00C66C24" w:rsidRDefault="002B5306" w:rsidP="008B1E5B">
      <w:pPr>
        <w:pStyle w:val="Heading2"/>
      </w:pPr>
      <w:bookmarkStart w:id="258" w:name="_Toc157762106"/>
      <w:r w:rsidRPr="00C66C24">
        <w:t>Gaps</w:t>
      </w:r>
      <w:bookmarkEnd w:id="258"/>
      <w:r w:rsidR="008B1E5B" w:rsidRPr="00C66C24">
        <w:t xml:space="preserve"> </w:t>
      </w:r>
    </w:p>
    <w:p w14:paraId="190989DB" w14:textId="6B2FF4DC" w:rsidR="009F123F" w:rsidRPr="00C66C24" w:rsidRDefault="009F123F" w:rsidP="009F123F">
      <w:pPr>
        <w:spacing w:line="257" w:lineRule="auto"/>
      </w:pPr>
      <w:r w:rsidRPr="00C66C24">
        <w:t xml:space="preserve">The maritime transport sector faces </w:t>
      </w:r>
      <w:r w:rsidR="004D1644" w:rsidRPr="00C66C24">
        <w:t>a number of</w:t>
      </w:r>
      <w:r w:rsidRPr="00C66C24">
        <w:t xml:space="preserve"> gaps in knowledge, information, and data when it comes to environmental reporting</w:t>
      </w:r>
      <w:r w:rsidR="00B75717" w:rsidRPr="00C66C24">
        <w:t>, and u</w:t>
      </w:r>
      <w:r w:rsidR="004D1644" w:rsidRPr="00C66C24">
        <w:t>ltimately t</w:t>
      </w:r>
      <w:r w:rsidRPr="00C66C24">
        <w:t xml:space="preserve">hese gaps </w:t>
      </w:r>
      <w:r w:rsidR="004D1644" w:rsidRPr="00C66C24">
        <w:t xml:space="preserve">can </w:t>
      </w:r>
      <w:r w:rsidRPr="00C66C24">
        <w:t xml:space="preserve">hinder effective monitoring and regulation of the </w:t>
      </w:r>
      <w:r w:rsidR="004D1644" w:rsidRPr="00C66C24">
        <w:t>sector’s</w:t>
      </w:r>
      <w:r w:rsidRPr="00C66C24">
        <w:t xml:space="preserve"> environmental impact.</w:t>
      </w:r>
      <w:r w:rsidR="00B75717" w:rsidRPr="00C66C24">
        <w:t xml:space="preserve"> The report</w:t>
      </w:r>
      <w:r w:rsidR="00D17C27" w:rsidRPr="00C66C24">
        <w:t xml:space="preserve"> highlights</w:t>
      </w:r>
      <w:r w:rsidR="001D4982" w:rsidRPr="00C66C24">
        <w:t xml:space="preserve"> how</w:t>
      </w:r>
      <w:r w:rsidRPr="00C66C24">
        <w:t xml:space="preserve"> </w:t>
      </w:r>
      <w:r w:rsidR="001D4982" w:rsidRPr="00C66C24">
        <w:t>a</w:t>
      </w:r>
      <w:r w:rsidRPr="00C66C24">
        <w:t xml:space="preserve"> lack of standardized methodologies for data collection and reporting across the </w:t>
      </w:r>
      <w:r w:rsidR="00E73A7E" w:rsidRPr="00C66C24">
        <w:t>different domains</w:t>
      </w:r>
      <w:r w:rsidRPr="00C66C24">
        <w:t xml:space="preserve"> poses a challenge</w:t>
      </w:r>
      <w:r w:rsidR="005C2322" w:rsidRPr="00C66C24">
        <w:t>, and</w:t>
      </w:r>
      <w:r w:rsidRPr="00C66C24">
        <w:t xml:space="preserve"> </w:t>
      </w:r>
      <w:r w:rsidR="005C2322" w:rsidRPr="00C66C24">
        <w:t>note</w:t>
      </w:r>
      <w:r w:rsidR="00D17C27" w:rsidRPr="00C66C24">
        <w:t>s</w:t>
      </w:r>
      <w:r w:rsidR="005C2322" w:rsidRPr="00C66C24">
        <w:t xml:space="preserve"> that s</w:t>
      </w:r>
      <w:r w:rsidRPr="00C66C24">
        <w:t xml:space="preserve">tandardized guidelines for measuring emissions, </w:t>
      </w:r>
      <w:r w:rsidR="005C2322" w:rsidRPr="00C66C24">
        <w:t xml:space="preserve">being these to the atmosphere or to the </w:t>
      </w:r>
      <w:r w:rsidR="00DD2F5E" w:rsidRPr="00C66C24">
        <w:t xml:space="preserve">sea, </w:t>
      </w:r>
      <w:r w:rsidRPr="00C66C24">
        <w:t>are essential for accurate and comparable reporting.</w:t>
      </w:r>
    </w:p>
    <w:p w14:paraId="6451EC99" w14:textId="7AABD942" w:rsidR="00F11446" w:rsidRPr="00C66C24" w:rsidRDefault="00802FE1" w:rsidP="00F11446">
      <w:pPr>
        <w:spacing w:line="257" w:lineRule="auto"/>
      </w:pPr>
      <w:r w:rsidRPr="00C66C24">
        <w:t>The absence of mandatory reporting requirements for some domains contribute</w:t>
      </w:r>
      <w:r w:rsidR="00D17C27" w:rsidRPr="00C66C24">
        <w:t>s</w:t>
      </w:r>
      <w:r w:rsidRPr="00C66C24">
        <w:t xml:space="preserve"> to incomplete information about the environmental impact of maritime activities.</w:t>
      </w:r>
      <w:r w:rsidR="00CF0B16" w:rsidRPr="00C66C24">
        <w:t xml:space="preserve"> </w:t>
      </w:r>
      <w:r w:rsidR="00AF3ED2">
        <w:t xml:space="preserve">For example, the sector is a significant emitter of several pollutants that are currently not regulated </w:t>
      </w:r>
      <w:r w:rsidR="00595E0C">
        <w:t xml:space="preserve">despite </w:t>
      </w:r>
      <w:r w:rsidR="00376314">
        <w:t>the availability of suitable</w:t>
      </w:r>
      <w:r w:rsidR="00595E0C">
        <w:t xml:space="preserve"> </w:t>
      </w:r>
      <w:r w:rsidR="001B4C76">
        <w:t>technological solutions</w:t>
      </w:r>
      <w:r w:rsidR="00AE548F">
        <w:t xml:space="preserve"> to </w:t>
      </w:r>
      <w:r w:rsidR="005207CA">
        <w:t xml:space="preserve">both </w:t>
      </w:r>
      <w:r w:rsidR="00AE548F">
        <w:t>red</w:t>
      </w:r>
      <w:r w:rsidR="006143CE">
        <w:t xml:space="preserve">uce and monitor these </w:t>
      </w:r>
      <w:r w:rsidR="00BE27BA">
        <w:t>emissions</w:t>
      </w:r>
      <w:r w:rsidR="002052EC">
        <w:t>, as discussed both in Section</w:t>
      </w:r>
      <w:r w:rsidR="00573764">
        <w:t xml:space="preserve"> </w:t>
      </w:r>
      <w:r w:rsidR="00573764">
        <w:fldChar w:fldCharType="begin"/>
      </w:r>
      <w:r w:rsidR="00573764">
        <w:instrText xml:space="preserve"> REF _Ref157689777 \r \h </w:instrText>
      </w:r>
      <w:r w:rsidR="00573764">
        <w:fldChar w:fldCharType="separate"/>
      </w:r>
      <w:r w:rsidR="00573764">
        <w:t>2.1.1</w:t>
      </w:r>
      <w:r w:rsidR="00573764">
        <w:fldChar w:fldCharType="end"/>
      </w:r>
      <w:r w:rsidR="00E673AC">
        <w:t xml:space="preserve"> and Annex </w:t>
      </w:r>
      <w:r w:rsidR="00E673AC">
        <w:fldChar w:fldCharType="begin"/>
      </w:r>
      <w:r w:rsidR="00E673AC">
        <w:instrText xml:space="preserve"> REF _Ref157689795 \r \h </w:instrText>
      </w:r>
      <w:r w:rsidR="00E673AC">
        <w:fldChar w:fldCharType="separate"/>
      </w:r>
      <w:r w:rsidR="00E673AC">
        <w:t>A1.1</w:t>
      </w:r>
      <w:r w:rsidR="00E673AC">
        <w:fldChar w:fldCharType="end"/>
      </w:r>
      <w:r w:rsidR="007771CF">
        <w:t xml:space="preserve">. </w:t>
      </w:r>
      <w:r w:rsidR="00092552">
        <w:t xml:space="preserve">The lack of regulation </w:t>
      </w:r>
      <w:r w:rsidR="00DA1E92">
        <w:t xml:space="preserve">for some pollutant </w:t>
      </w:r>
      <w:r w:rsidR="00092552">
        <w:t xml:space="preserve">often coincides with a reduced </w:t>
      </w:r>
      <w:r w:rsidR="00DA1E92">
        <w:t xml:space="preserve">monitoring and limited </w:t>
      </w:r>
      <w:r w:rsidR="00BA347B">
        <w:t>direct measurements in representative conditions. Indeed, a</w:t>
      </w:r>
      <w:r w:rsidR="009F123F" w:rsidRPr="00C66C24">
        <w:t xml:space="preserve"> </w:t>
      </w:r>
      <w:r w:rsidR="0058693C" w:rsidRPr="00C66C24">
        <w:t xml:space="preserve">limited infrastructure for real-time monitoring and a lack of enforceable regulations make it difficult to track and control the environmental impact of vessels operating in </w:t>
      </w:r>
      <w:r w:rsidR="003E4BA3" w:rsidRPr="00C66C24">
        <w:t>high sea</w:t>
      </w:r>
      <w:r w:rsidR="0058693C" w:rsidRPr="00C66C24">
        <w:t xml:space="preserve"> areas</w:t>
      </w:r>
      <w:r w:rsidR="00C157AF">
        <w:t xml:space="preserve"> in real world conditions</w:t>
      </w:r>
      <w:r w:rsidR="0058693C" w:rsidRPr="00C66C24">
        <w:t>. Improved international cooperation is essential to address this gap.</w:t>
      </w:r>
      <w:r w:rsidR="00C157AF">
        <w:t xml:space="preserve"> As already discussed in Section </w:t>
      </w:r>
      <w:r w:rsidR="008F4242">
        <w:fldChar w:fldCharType="begin"/>
      </w:r>
      <w:r w:rsidR="008F4242">
        <w:instrText xml:space="preserve"> REF _Ref157689831 \r \h </w:instrText>
      </w:r>
      <w:r w:rsidR="008F4242">
        <w:fldChar w:fldCharType="separate"/>
      </w:r>
      <w:r w:rsidR="008F4242">
        <w:t>2.1.2</w:t>
      </w:r>
      <w:r w:rsidR="008F4242">
        <w:fldChar w:fldCharType="end"/>
      </w:r>
      <w:r w:rsidR="0064500A">
        <w:t>,</w:t>
      </w:r>
      <w:r w:rsidR="00C157AF">
        <w:t xml:space="preserve"> this may result in disproportionately higher emissions of some pollutants in real operating conditions</w:t>
      </w:r>
      <w:r w:rsidR="00BA347B">
        <w:t xml:space="preserve">, leading ultimately to </w:t>
      </w:r>
      <w:r w:rsidR="0014347A">
        <w:t>an underestimation of the sector’s impacts.</w:t>
      </w:r>
    </w:p>
    <w:p w14:paraId="40A215E5" w14:textId="3A1FA293" w:rsidR="005A14BB" w:rsidRPr="00C66C24" w:rsidRDefault="009F123F" w:rsidP="009F123F">
      <w:pPr>
        <w:spacing w:line="257" w:lineRule="auto"/>
      </w:pPr>
      <w:r w:rsidRPr="00C66C24">
        <w:t xml:space="preserve">The environmental impact of the maritime sector extends beyond vessel operations to include shipbuilding, maintenance, and end-of-life processes. </w:t>
      </w:r>
      <w:r w:rsidR="0082585C" w:rsidRPr="00C66C24">
        <w:t>While c</w:t>
      </w:r>
      <w:r w:rsidRPr="00C66C24">
        <w:t xml:space="preserve">omprehensive assessments of the entire maritime supply chain </w:t>
      </w:r>
      <w:r w:rsidR="00F11446" w:rsidRPr="00C66C24">
        <w:t xml:space="preserve">has not been a focus of </w:t>
      </w:r>
      <w:r w:rsidR="0082585C" w:rsidRPr="00C66C24">
        <w:t>the EMTER report, it is important</w:t>
      </w:r>
      <w:r w:rsidR="00AF45ED" w:rsidRPr="00C66C24">
        <w:t xml:space="preserve"> to </w:t>
      </w:r>
      <w:r w:rsidR="004904E7" w:rsidRPr="00C66C24">
        <w:t xml:space="preserve">highlight that </w:t>
      </w:r>
      <w:r w:rsidR="008C4387" w:rsidRPr="00C66C24">
        <w:t>u</w:t>
      </w:r>
      <w:r w:rsidRPr="00C66C24">
        <w:t>nderstanding the life cycle emissions of vessels requires data on manufacturing processes, shipbreaking practices, and maintenance activities, which are often not readily available</w:t>
      </w:r>
      <w:r w:rsidR="00FC6904">
        <w:t xml:space="preserve">, as also discussed in Section </w:t>
      </w:r>
      <w:r w:rsidR="0064500A">
        <w:fldChar w:fldCharType="begin"/>
      </w:r>
      <w:r w:rsidR="0064500A">
        <w:instrText xml:space="preserve"> REF _Ref157689854 \r \h </w:instrText>
      </w:r>
      <w:r w:rsidR="0064500A">
        <w:fldChar w:fldCharType="separate"/>
      </w:r>
      <w:r w:rsidR="0064500A">
        <w:t>2.3.3</w:t>
      </w:r>
      <w:r w:rsidR="0064500A">
        <w:fldChar w:fldCharType="end"/>
      </w:r>
      <w:r w:rsidR="00FC6904">
        <w:t xml:space="preserve"> and in Annex </w:t>
      </w:r>
      <w:r w:rsidR="0064500A">
        <w:fldChar w:fldCharType="begin"/>
      </w:r>
      <w:r w:rsidR="0064500A">
        <w:instrText xml:space="preserve"> REF _Ref157689871 \r \h </w:instrText>
      </w:r>
      <w:r w:rsidR="0064500A">
        <w:fldChar w:fldCharType="separate"/>
      </w:r>
      <w:r w:rsidR="0064500A">
        <w:t>A1.1.9</w:t>
      </w:r>
      <w:r w:rsidR="0064500A">
        <w:fldChar w:fldCharType="end"/>
      </w:r>
      <w:r w:rsidR="00D62070">
        <w:t>.</w:t>
      </w:r>
      <w:r w:rsidR="00FC6904">
        <w:t xml:space="preserve"> </w:t>
      </w:r>
      <w:r w:rsidR="001B6E89">
        <w:t>Indeed, m</w:t>
      </w:r>
      <w:r w:rsidR="005A14BB">
        <w:t>onitoring and enforcing sustainable practises in these sectors is not easy</w:t>
      </w:r>
      <w:r w:rsidR="00323015">
        <w:t xml:space="preserve"> for many reasons, including the international dimension of the issues</w:t>
      </w:r>
      <w:r w:rsidR="000644ED">
        <w:t>.</w:t>
      </w:r>
      <w:r w:rsidR="005A14BB" w:rsidRPr="00C66C24">
        <w:rPr>
          <w:rFonts w:eastAsia="Times New Roman" w:cstheme="minorBidi"/>
          <w:color w:val="141624"/>
          <w:lang w:eastAsia="en-IE"/>
        </w:rPr>
        <w:t xml:space="preserve"> Today the </w:t>
      </w:r>
      <w:r w:rsidR="000644ED">
        <w:rPr>
          <w:rFonts w:eastAsia="Times New Roman" w:cstheme="minorBidi"/>
          <w:color w:val="141624"/>
          <w:lang w:eastAsia="en-IE"/>
        </w:rPr>
        <w:t>existing</w:t>
      </w:r>
      <w:r w:rsidR="005A14BB" w:rsidRPr="00C66C24">
        <w:rPr>
          <w:rFonts w:eastAsia="Times New Roman" w:cstheme="minorBidi"/>
          <w:color w:val="141624"/>
          <w:lang w:eastAsia="en-IE"/>
        </w:rPr>
        <w:t xml:space="preserve"> regulation is largely circumvented by ship owners re-flagging their ships to non-EU flag, in particular flag of convenience, with the view to dismantle the ships in </w:t>
      </w:r>
      <w:r w:rsidR="006641FE">
        <w:rPr>
          <w:rFonts w:eastAsia="Times New Roman" w:cstheme="minorBidi"/>
          <w:color w:val="141624"/>
          <w:lang w:eastAsia="en-IE"/>
        </w:rPr>
        <w:t>facilities with lower environmental standards.</w:t>
      </w:r>
    </w:p>
    <w:p w14:paraId="7218807E" w14:textId="71BAA9E4" w:rsidR="009F123F" w:rsidRPr="00C66C24" w:rsidRDefault="009F123F" w:rsidP="009F123F">
      <w:pPr>
        <w:spacing w:line="257" w:lineRule="auto"/>
      </w:pPr>
      <w:r w:rsidRPr="00C66C24">
        <w:t xml:space="preserve">Rapid advancements in maritime technologies, including the adoption of alternative fuels and propulsion systems, create challenges in accurately tracking and assessing emissions. The </w:t>
      </w:r>
      <w:r w:rsidR="00F875E8" w:rsidRPr="00C66C24">
        <w:t>sector</w:t>
      </w:r>
      <w:r w:rsidRPr="00C66C24">
        <w:t xml:space="preserve"> is in a state of transition, with new technologies being introduced to reduce environmental impact. </w:t>
      </w:r>
      <w:r w:rsidR="00354F5D" w:rsidRPr="00C66C24">
        <w:t>During this transition, t</w:t>
      </w:r>
      <w:r w:rsidRPr="00C66C24">
        <w:t xml:space="preserve">he lack of data </w:t>
      </w:r>
      <w:r w:rsidR="00BA6CC2">
        <w:t xml:space="preserve">or the limited knowledge </w:t>
      </w:r>
      <w:r w:rsidRPr="00C66C24">
        <w:t xml:space="preserve">on the </w:t>
      </w:r>
      <w:r w:rsidR="00BA6CC2">
        <w:t>impact</w:t>
      </w:r>
      <w:r w:rsidRPr="00C66C24">
        <w:t xml:space="preserve"> </w:t>
      </w:r>
      <w:r w:rsidR="007143E9">
        <w:t xml:space="preserve">that the </w:t>
      </w:r>
      <w:r w:rsidRPr="00C66C24">
        <w:t xml:space="preserve">adoption of </w:t>
      </w:r>
      <w:r w:rsidR="007465B3">
        <w:t>some of these technologies may have</w:t>
      </w:r>
      <w:r w:rsidR="00AF733D">
        <w:t>,</w:t>
      </w:r>
      <w:r w:rsidR="003F415D">
        <w:t xml:space="preserve"> is an important element to consider</w:t>
      </w:r>
      <w:r w:rsidR="00DE2AB6">
        <w:t xml:space="preserve">. For example, </w:t>
      </w:r>
      <w:r w:rsidR="00C137C4">
        <w:t xml:space="preserve">the </w:t>
      </w:r>
      <w:r w:rsidR="00A649BA">
        <w:t>large-scale</w:t>
      </w:r>
      <w:r w:rsidR="00C137C4">
        <w:t xml:space="preserve"> adoption of alternative fuels</w:t>
      </w:r>
      <w:r w:rsidR="00C16056">
        <w:t>,</w:t>
      </w:r>
      <w:r w:rsidR="00C137C4">
        <w:t xml:space="preserve"> </w:t>
      </w:r>
      <w:r w:rsidR="005261E8">
        <w:t>such as NH</w:t>
      </w:r>
      <w:r w:rsidR="005261E8" w:rsidRPr="00181928">
        <w:rPr>
          <w:vertAlign w:val="subscript"/>
        </w:rPr>
        <w:t>3</w:t>
      </w:r>
      <w:r w:rsidR="001946BA">
        <w:t xml:space="preserve"> </w:t>
      </w:r>
      <w:r w:rsidR="00892A7D">
        <w:t>or methanol</w:t>
      </w:r>
      <w:r w:rsidR="00C16056">
        <w:t xml:space="preserve">, </w:t>
      </w:r>
      <w:r w:rsidR="0086106C">
        <w:t xml:space="preserve">would result in </w:t>
      </w:r>
      <w:r w:rsidR="00177FF0">
        <w:t>safety challenges and in emissions of currently unmonitored and/or unregulated substances</w:t>
      </w:r>
      <w:r w:rsidR="00951774">
        <w:t>,</w:t>
      </w:r>
      <w:r w:rsidR="00261CB9">
        <w:t xml:space="preserve"> for example, N</w:t>
      </w:r>
      <w:r w:rsidR="00261CB9" w:rsidRPr="001621E7">
        <w:rPr>
          <w:vertAlign w:val="subscript"/>
        </w:rPr>
        <w:t>2</w:t>
      </w:r>
      <w:r w:rsidR="00261CB9">
        <w:t xml:space="preserve">O or </w:t>
      </w:r>
      <w:r w:rsidR="001E250B">
        <w:rPr>
          <w:rStyle w:val="bold"/>
          <w:rFonts w:ascii="Calibri" w:eastAsia="Calibri" w:hAnsi="Calibri" w:cs="Calibri"/>
          <w:iCs w:val="0"/>
        </w:rPr>
        <w:t>F</w:t>
      </w:r>
      <w:r w:rsidR="001E250B">
        <w:rPr>
          <w:rStyle w:val="bold"/>
        </w:rPr>
        <w:t>ormaldehyde</w:t>
      </w:r>
      <w:r w:rsidR="001E250B">
        <w:t xml:space="preserve"> (</w:t>
      </w:r>
      <w:r w:rsidR="00261CB9">
        <w:t>HCHO</w:t>
      </w:r>
      <w:r w:rsidR="001E250B">
        <w:t>)</w:t>
      </w:r>
      <w:r w:rsidR="00261CB9">
        <w:t xml:space="preserve">, </w:t>
      </w:r>
      <w:r w:rsidR="006B4F49">
        <w:t xml:space="preserve">that would require </w:t>
      </w:r>
      <w:r w:rsidR="00646768">
        <w:t xml:space="preserve">to have </w:t>
      </w:r>
      <w:r w:rsidR="006B4F49">
        <w:t>adequate policy safeguards</w:t>
      </w:r>
      <w:r w:rsidR="00A5309C">
        <w:t xml:space="preserve">, </w:t>
      </w:r>
      <w:r w:rsidRPr="00C66C24">
        <w:t xml:space="preserve">environmental </w:t>
      </w:r>
      <w:r w:rsidR="00646768">
        <w:t>monitoring frameworks</w:t>
      </w:r>
      <w:r w:rsidR="00CF2B54">
        <w:t xml:space="preserve"> as well as pollution response</w:t>
      </w:r>
      <w:r w:rsidR="00A5309C">
        <w:t xml:space="preserve"> </w:t>
      </w:r>
      <w:proofErr w:type="spellStart"/>
      <w:r w:rsidR="00A5309C">
        <w:t>guidances</w:t>
      </w:r>
      <w:proofErr w:type="spellEnd"/>
      <w:r w:rsidR="00646768">
        <w:t xml:space="preserve"> </w:t>
      </w:r>
      <w:r w:rsidR="006B4F49">
        <w:t>in place.</w:t>
      </w:r>
    </w:p>
    <w:p w14:paraId="00A079A5" w14:textId="6EFD5EFE" w:rsidR="008B1E5B" w:rsidRPr="00C66C24" w:rsidRDefault="009F123F" w:rsidP="009F123F">
      <w:pPr>
        <w:spacing w:line="257" w:lineRule="auto"/>
      </w:pPr>
      <w:r w:rsidRPr="00C66C24">
        <w:t xml:space="preserve">Addressing these gaps requires international collaboration, the development of standardized reporting frameworks, and increased regulatory measures to ensure transparency and accountability in the maritime transport sector's environmental reporting. </w:t>
      </w:r>
      <w:r w:rsidR="001C5993" w:rsidRPr="00C66C24">
        <w:t xml:space="preserve">This is where the EU and its member states have </w:t>
      </w:r>
      <w:r w:rsidR="003C3EA3" w:rsidRPr="00C66C24">
        <w:t>made an important step forward</w:t>
      </w:r>
      <w:r w:rsidR="001C5993" w:rsidRPr="00C66C24">
        <w:t xml:space="preserve">, as the </w:t>
      </w:r>
      <w:r w:rsidR="00BA6030" w:rsidRPr="00C66C24">
        <w:t xml:space="preserve">European Green Deal and the related </w:t>
      </w:r>
      <w:r w:rsidR="008A0329" w:rsidRPr="00C66C24">
        <w:t>‘</w:t>
      </w:r>
      <w:r w:rsidR="00BA6030" w:rsidRPr="00C66C24">
        <w:t>EU basket of measures</w:t>
      </w:r>
      <w:r w:rsidR="008A0329" w:rsidRPr="00C66C24">
        <w:t>’</w:t>
      </w:r>
      <w:r w:rsidR="00BA6030" w:rsidRPr="00C66C24">
        <w:t xml:space="preserve"> linked to the Fit-for-55</w:t>
      </w:r>
      <w:r w:rsidR="008A0329" w:rsidRPr="00C66C24">
        <w:t xml:space="preserve"> </w:t>
      </w:r>
      <w:r w:rsidR="00AD4803" w:rsidRPr="00C66C24">
        <w:t>package</w:t>
      </w:r>
      <w:r w:rsidR="003C3EA3" w:rsidRPr="00C66C24">
        <w:t>,</w:t>
      </w:r>
      <w:r w:rsidR="00AD4803" w:rsidRPr="00C66C24">
        <w:t xml:space="preserve"> offer</w:t>
      </w:r>
      <w:r w:rsidR="003C3EA3" w:rsidRPr="00C66C24">
        <w:t xml:space="preserve"> a set</w:t>
      </w:r>
      <w:r w:rsidR="00AD4803" w:rsidRPr="00C66C24">
        <w:t xml:space="preserve"> </w:t>
      </w:r>
      <w:r w:rsidR="003C3EA3" w:rsidRPr="00C66C24">
        <w:t>of</w:t>
      </w:r>
      <w:r w:rsidR="00AD4803" w:rsidRPr="00C66C24">
        <w:t xml:space="preserve"> regulatory and monitoring frameworks to </w:t>
      </w:r>
      <w:r w:rsidR="00BA3761" w:rsidRPr="00C66C24">
        <w:t xml:space="preserve">close these gaps. </w:t>
      </w:r>
    </w:p>
    <w:p w14:paraId="7570568F" w14:textId="07E9217F" w:rsidR="00E643C5" w:rsidRPr="00C66C24" w:rsidRDefault="00103C22" w:rsidP="00A2286A">
      <w:pPr>
        <w:pStyle w:val="Heading2"/>
      </w:pPr>
      <w:bookmarkStart w:id="259" w:name="_Toc157762107"/>
      <w:r w:rsidRPr="00C66C24">
        <w:t xml:space="preserve">The role of </w:t>
      </w:r>
      <w:r w:rsidR="00D360F3" w:rsidRPr="00C66C24">
        <w:t>r</w:t>
      </w:r>
      <w:r w:rsidR="00500104" w:rsidRPr="00C66C24">
        <w:t xml:space="preserve">esearch and </w:t>
      </w:r>
      <w:r w:rsidR="00D360F3" w:rsidRPr="00C66C24">
        <w:t>i</w:t>
      </w:r>
      <w:r w:rsidR="005E24C3" w:rsidRPr="00C66C24">
        <w:t>nnovation</w:t>
      </w:r>
      <w:bookmarkEnd w:id="259"/>
      <w:r w:rsidR="005E24C3" w:rsidRPr="00C66C24">
        <w:t xml:space="preserve"> </w:t>
      </w:r>
    </w:p>
    <w:p w14:paraId="5B45C12E" w14:textId="3D7C0475" w:rsidR="0060307D" w:rsidRPr="00C66C24" w:rsidRDefault="00D822B8" w:rsidP="00D822B8">
      <w:pPr>
        <w:spacing w:line="257" w:lineRule="auto"/>
      </w:pPr>
      <w:r w:rsidRPr="00C66C24">
        <w:t xml:space="preserve">The Innovation Fund, financed by EU Emissions Trading System revenues, is one of the world’s largest funding programmes for the demonstration of innovative low-carbon technologies. The Fund focuses on highly innovative clean technologies and big flagship projects with European added value that can bring significant </w:t>
      </w:r>
      <w:r w:rsidR="00FE08EA">
        <w:t>pollutants</w:t>
      </w:r>
      <w:r w:rsidRPr="00C66C24">
        <w:t xml:space="preserve"> and greenhouse gas</w:t>
      </w:r>
      <w:r w:rsidR="00FE08EA">
        <w:t>es</w:t>
      </w:r>
      <w:r w:rsidRPr="00C66C24">
        <w:t xml:space="preserve"> </w:t>
      </w:r>
      <w:r w:rsidR="00FE08EA">
        <w:t>emissions</w:t>
      </w:r>
      <w:r w:rsidRPr="00C66C24">
        <w:t xml:space="preserve"> reductions. Innovation Fund projects cover a wide range of innovative technologies in areas such as energy- intensive industries, renewables, energy storage, net-zero mobility and buildings, hydrogen, and carbon capture, use and storage.</w:t>
      </w:r>
      <w:r w:rsidR="00DC636E" w:rsidRPr="00C66C24">
        <w:t xml:space="preserve"> </w:t>
      </w:r>
      <w:r w:rsidR="0060307D" w:rsidRPr="00C66C24">
        <w:t xml:space="preserve">The EU funding for research has already supported more than 300 shipping projects with some 400 million Euro and 20 million </w:t>
      </w:r>
      <w:r w:rsidR="00353767">
        <w:t xml:space="preserve">ETS emission </w:t>
      </w:r>
      <w:r w:rsidR="0060307D" w:rsidRPr="00C66C24">
        <w:t xml:space="preserve">allowances (i.e., about €1.6 billion with a price of €80 per allowance) </w:t>
      </w:r>
      <w:r w:rsidR="00C7145D" w:rsidRPr="00C66C24">
        <w:t xml:space="preserve">which </w:t>
      </w:r>
      <w:r w:rsidR="0060307D" w:rsidRPr="00C66C24">
        <w:t>should be deployed up to 2030 via the Innovation Fund to support the decarbonisation of the maritime sector</w:t>
      </w:r>
      <w:r w:rsidR="00CA1117" w:rsidRPr="00C66C24">
        <w:t>.</w:t>
      </w:r>
    </w:p>
    <w:p w14:paraId="0D46AC15" w14:textId="4F27CC6A" w:rsidR="00723863" w:rsidRPr="00C66C24" w:rsidRDefault="00403B57" w:rsidP="005B3404">
      <w:pPr>
        <w:spacing w:line="257" w:lineRule="auto"/>
      </w:pPr>
      <w:r w:rsidRPr="00C66C24">
        <w:t xml:space="preserve">The European Union strategic research agenda </w:t>
      </w:r>
      <w:r w:rsidR="00DB5B8C" w:rsidRPr="00C66C24">
        <w:t xml:space="preserve">is </w:t>
      </w:r>
      <w:r w:rsidR="00487A7C">
        <w:t>aimed</w:t>
      </w:r>
      <w:r w:rsidR="00DB5B8C" w:rsidRPr="00C66C24">
        <w:t xml:space="preserve"> to support the </w:t>
      </w:r>
      <w:r w:rsidR="00C53328" w:rsidRPr="00C66C24">
        <w:t>development and technology readiness in a number of areas, including</w:t>
      </w:r>
      <w:r w:rsidR="002E1F72" w:rsidRPr="00C66C24">
        <w:t>:</w:t>
      </w:r>
    </w:p>
    <w:p w14:paraId="3BE9587D" w14:textId="4E8DCF2A" w:rsidR="00723863" w:rsidRPr="00C66C24" w:rsidRDefault="005B3404" w:rsidP="00FA6686">
      <w:pPr>
        <w:pStyle w:val="ListParagraph"/>
        <w:numPr>
          <w:ilvl w:val="0"/>
          <w:numId w:val="22"/>
        </w:numPr>
      </w:pPr>
      <w:r w:rsidRPr="00C66C24">
        <w:t>Alternative Fuels and Green Technologies:</w:t>
      </w:r>
    </w:p>
    <w:p w14:paraId="6B89A313" w14:textId="0D0EA8C9" w:rsidR="009570E7" w:rsidRDefault="005B3404" w:rsidP="009570E7">
      <w:pPr>
        <w:pStyle w:val="ListParagraph"/>
        <w:numPr>
          <w:ilvl w:val="1"/>
          <w:numId w:val="22"/>
        </w:numPr>
      </w:pPr>
      <w:r w:rsidRPr="00C66C24">
        <w:t>Research into alternative fuels such as hydrogen, ammonia, and biofuels to reduce greenhouse gas emissions.</w:t>
      </w:r>
    </w:p>
    <w:p w14:paraId="54A7361E" w14:textId="77777777" w:rsidR="009570E7" w:rsidRDefault="005B3404" w:rsidP="009570E7">
      <w:pPr>
        <w:pStyle w:val="ListParagraph"/>
        <w:numPr>
          <w:ilvl w:val="1"/>
          <w:numId w:val="22"/>
        </w:numPr>
      </w:pPr>
      <w:r w:rsidRPr="00C66C24">
        <w:t xml:space="preserve">Innovation in energy-efficient propulsion systems, including </w:t>
      </w:r>
      <w:r w:rsidR="0029351C" w:rsidRPr="00C66C24">
        <w:t xml:space="preserve">wind assisted propulsion, </w:t>
      </w:r>
      <w:r w:rsidRPr="00C66C24">
        <w:t>electric and hybrid technologies for vessels.</w:t>
      </w:r>
    </w:p>
    <w:p w14:paraId="191038FA" w14:textId="51B2D521" w:rsidR="005B3404" w:rsidRPr="00C66C24" w:rsidRDefault="005B3404" w:rsidP="009570E7">
      <w:pPr>
        <w:pStyle w:val="ListParagraph"/>
        <w:numPr>
          <w:ilvl w:val="1"/>
          <w:numId w:val="22"/>
        </w:numPr>
      </w:pPr>
      <w:r w:rsidRPr="00C66C24">
        <w:t>Development of sustainable and eco-friendly ship designs to enhance overall energy efficiency.</w:t>
      </w:r>
    </w:p>
    <w:p w14:paraId="5D2E7474" w14:textId="177AA41B" w:rsidR="009570E7" w:rsidRDefault="005B3404" w:rsidP="009570E7">
      <w:pPr>
        <w:pStyle w:val="ListParagraph"/>
        <w:numPr>
          <w:ilvl w:val="0"/>
          <w:numId w:val="22"/>
        </w:numPr>
      </w:pPr>
      <w:r w:rsidRPr="00C66C24">
        <w:t>Decarbonization</w:t>
      </w:r>
      <w:r w:rsidR="004219A8" w:rsidRPr="00C66C24">
        <w:t xml:space="preserve">, </w:t>
      </w:r>
      <w:r w:rsidRPr="00C66C24">
        <w:t xml:space="preserve">Emission </w:t>
      </w:r>
      <w:r w:rsidR="004219A8" w:rsidRPr="00C66C24">
        <w:t xml:space="preserve">Monitoring and </w:t>
      </w:r>
      <w:r w:rsidRPr="00C66C24">
        <w:t>Reduction</w:t>
      </w:r>
      <w:r w:rsidR="00F56163" w:rsidRPr="00C66C24">
        <w:t>:</w:t>
      </w:r>
    </w:p>
    <w:p w14:paraId="5A366AEB" w14:textId="67F38082" w:rsidR="009570E7" w:rsidRDefault="005B3404" w:rsidP="009570E7">
      <w:pPr>
        <w:pStyle w:val="ListParagraph"/>
        <w:numPr>
          <w:ilvl w:val="1"/>
          <w:numId w:val="22"/>
        </w:numPr>
      </w:pPr>
      <w:r w:rsidRPr="00C66C24">
        <w:t>Advancing technologies to decarbonize maritime transport, including carbon capture and storage (CCS) solutions.</w:t>
      </w:r>
    </w:p>
    <w:p w14:paraId="74B09EF9" w14:textId="4B0C759D" w:rsidR="009570E7" w:rsidRDefault="005B3404" w:rsidP="009570E7">
      <w:pPr>
        <w:pStyle w:val="ListParagraph"/>
        <w:numPr>
          <w:ilvl w:val="1"/>
          <w:numId w:val="22"/>
        </w:numPr>
      </w:pPr>
      <w:r w:rsidRPr="00C66C24">
        <w:t xml:space="preserve">Research on emission abatement technologies to reduce </w:t>
      </w:r>
      <w:r w:rsidR="00D57AF4" w:rsidRPr="00C66C24">
        <w:t xml:space="preserve">air </w:t>
      </w:r>
      <w:r w:rsidRPr="00C66C24">
        <w:t xml:space="preserve">pollutants such as </w:t>
      </w:r>
      <w:proofErr w:type="spellStart"/>
      <w:r w:rsidR="005D3959">
        <w:t>s</w:t>
      </w:r>
      <w:r w:rsidR="005D3959" w:rsidRPr="00C66C24">
        <w:t>ulphur</w:t>
      </w:r>
      <w:proofErr w:type="spellEnd"/>
      <w:r w:rsidRPr="00C66C24">
        <w:t xml:space="preserve"> oxides (SOx), nitrogen oxides (NOx), and particulate matter.</w:t>
      </w:r>
    </w:p>
    <w:p w14:paraId="43491181" w14:textId="3FC39304" w:rsidR="001847C4" w:rsidRPr="00C66C24" w:rsidRDefault="001847C4" w:rsidP="009570E7">
      <w:pPr>
        <w:pStyle w:val="ListParagraph"/>
        <w:numPr>
          <w:ilvl w:val="1"/>
          <w:numId w:val="22"/>
        </w:numPr>
      </w:pPr>
      <w:r w:rsidRPr="00C66C24">
        <w:t xml:space="preserve">Real-time monitoring of </w:t>
      </w:r>
      <w:r w:rsidR="008B6FF3">
        <w:t xml:space="preserve">air and water </w:t>
      </w:r>
      <w:r w:rsidRPr="00C66C24">
        <w:t>emissions</w:t>
      </w:r>
      <w:r w:rsidR="00EE3467" w:rsidRPr="00C66C24">
        <w:t xml:space="preserve"> at sea and in ports</w:t>
      </w:r>
      <w:r w:rsidR="0006545B" w:rsidRPr="00C66C24">
        <w:t>.</w:t>
      </w:r>
    </w:p>
    <w:p w14:paraId="559FF12E" w14:textId="6C65E43D" w:rsidR="009570E7" w:rsidRDefault="005B3404" w:rsidP="009570E7">
      <w:pPr>
        <w:pStyle w:val="ListParagraph"/>
        <w:numPr>
          <w:ilvl w:val="0"/>
          <w:numId w:val="22"/>
        </w:numPr>
      </w:pPr>
      <w:r w:rsidRPr="00C66C24">
        <w:t>Digitalization and Smart Shipping:</w:t>
      </w:r>
    </w:p>
    <w:p w14:paraId="73F45B5B" w14:textId="2964626A" w:rsidR="009570E7" w:rsidRDefault="005B3404" w:rsidP="009570E7">
      <w:pPr>
        <w:pStyle w:val="ListParagraph"/>
        <w:numPr>
          <w:ilvl w:val="1"/>
          <w:numId w:val="22"/>
        </w:numPr>
      </w:pPr>
      <w:r w:rsidRPr="00C66C24">
        <w:t>Integration of digital technologies, IoT (Internet of Things), and big data analytics for real-time monitoring of vessel performance, route optimization, and predictive maintenance.</w:t>
      </w:r>
    </w:p>
    <w:p w14:paraId="0061B69C" w14:textId="038AA8ED" w:rsidR="005B3404" w:rsidRPr="00C66C24" w:rsidRDefault="005B3404" w:rsidP="009570E7">
      <w:pPr>
        <w:pStyle w:val="ListParagraph"/>
        <w:numPr>
          <w:ilvl w:val="1"/>
          <w:numId w:val="22"/>
        </w:numPr>
      </w:pPr>
      <w:r w:rsidRPr="00C66C24">
        <w:t>Development of autonomous and semi-autonomous vessels to improve safety, reduce human error, and optimize operational efficiency.</w:t>
      </w:r>
    </w:p>
    <w:p w14:paraId="0E18D803" w14:textId="2E803B9D" w:rsidR="00B92628" w:rsidRDefault="005B3404" w:rsidP="00B92628">
      <w:pPr>
        <w:pStyle w:val="ListParagraph"/>
        <w:numPr>
          <w:ilvl w:val="0"/>
          <w:numId w:val="22"/>
        </w:numPr>
      </w:pPr>
      <w:r w:rsidRPr="00C66C24">
        <w:t>Port Automation and Infrastructure:</w:t>
      </w:r>
    </w:p>
    <w:p w14:paraId="6A23B2F2" w14:textId="2CE646FB" w:rsidR="00B92628" w:rsidRDefault="00034E16" w:rsidP="00B92628">
      <w:pPr>
        <w:pStyle w:val="ListParagraph"/>
        <w:numPr>
          <w:ilvl w:val="1"/>
          <w:numId w:val="22"/>
        </w:numPr>
      </w:pPr>
      <w:r w:rsidRPr="00C66C24">
        <w:t>R</w:t>
      </w:r>
      <w:r w:rsidR="005B3404" w:rsidRPr="00C66C24">
        <w:t>esearch on automation and optimization of port operations to enhance efficiency, reduce congestion, and minimize environmental impact.</w:t>
      </w:r>
    </w:p>
    <w:p w14:paraId="30D0CE9F" w14:textId="2FC0F6FE" w:rsidR="005B3404" w:rsidRPr="00C66C24" w:rsidRDefault="005B3404" w:rsidP="00B92628">
      <w:pPr>
        <w:pStyle w:val="ListParagraph"/>
        <w:numPr>
          <w:ilvl w:val="1"/>
          <w:numId w:val="22"/>
        </w:numPr>
      </w:pPr>
      <w:r w:rsidRPr="00C66C24">
        <w:t>Innovative solutions for shore power and onshore infrastructure to support clean energy adoption in ports.</w:t>
      </w:r>
    </w:p>
    <w:p w14:paraId="559380C1" w14:textId="24A2F7D0" w:rsidR="00B92628" w:rsidRDefault="005B3404" w:rsidP="00B92628">
      <w:pPr>
        <w:pStyle w:val="ListParagraph"/>
        <w:numPr>
          <w:ilvl w:val="0"/>
          <w:numId w:val="22"/>
        </w:numPr>
      </w:pPr>
      <w:r w:rsidRPr="00C66C24">
        <w:t>Waste Management and Circular Economy:</w:t>
      </w:r>
    </w:p>
    <w:p w14:paraId="16BF4189" w14:textId="26907172" w:rsidR="00B92628" w:rsidRDefault="005B3404" w:rsidP="00B92628">
      <w:pPr>
        <w:pStyle w:val="ListParagraph"/>
        <w:numPr>
          <w:ilvl w:val="1"/>
          <w:numId w:val="22"/>
        </w:numPr>
      </w:pPr>
      <w:r w:rsidRPr="00C66C24">
        <w:t>Research on sustainable waste management practices, including waste reduction, recycling, and disposal of hazardous materials.</w:t>
      </w:r>
    </w:p>
    <w:p w14:paraId="4241DAF1" w14:textId="15BE1D7C" w:rsidR="005B3404" w:rsidRPr="00C66C24" w:rsidRDefault="005B3404" w:rsidP="00B92628">
      <w:pPr>
        <w:pStyle w:val="ListParagraph"/>
        <w:numPr>
          <w:ilvl w:val="1"/>
          <w:numId w:val="22"/>
        </w:numPr>
      </w:pPr>
      <w:r w:rsidRPr="00C66C24">
        <w:t>Implementation of circular economy principles to promote the reuse and recycling of materials in shipbuilding and maintenance.</w:t>
      </w:r>
    </w:p>
    <w:p w14:paraId="0C15BD68" w14:textId="4F31931B" w:rsidR="00B92628" w:rsidRDefault="005B3404" w:rsidP="00B92628">
      <w:pPr>
        <w:pStyle w:val="ListParagraph"/>
        <w:numPr>
          <w:ilvl w:val="0"/>
          <w:numId w:val="22"/>
        </w:numPr>
      </w:pPr>
      <w:r w:rsidRPr="00C66C24">
        <w:t>Human Element and Training:</w:t>
      </w:r>
    </w:p>
    <w:p w14:paraId="390FF435" w14:textId="2F5E0DD9" w:rsidR="00B92628" w:rsidRDefault="005B3404" w:rsidP="00B92628">
      <w:pPr>
        <w:pStyle w:val="ListParagraph"/>
        <w:numPr>
          <w:ilvl w:val="1"/>
          <w:numId w:val="22"/>
        </w:numPr>
      </w:pPr>
      <w:r w:rsidRPr="00C66C24">
        <w:t>Research on human factors in maritime transport, including crew well-being, fatigue management, and training programs.</w:t>
      </w:r>
    </w:p>
    <w:p w14:paraId="34185C49" w14:textId="3D2C5235" w:rsidR="005B3404" w:rsidRPr="00C66C24" w:rsidRDefault="005B3404" w:rsidP="00B92628">
      <w:pPr>
        <w:pStyle w:val="ListParagraph"/>
        <w:numPr>
          <w:ilvl w:val="1"/>
          <w:numId w:val="22"/>
        </w:numPr>
      </w:pPr>
      <w:r w:rsidRPr="00C66C24">
        <w:t>Development of innovative training methodologies, simulators, and virtual reality tools to enhance the skills of maritime professionals.</w:t>
      </w:r>
    </w:p>
    <w:p w14:paraId="4A0B731E" w14:textId="3FF751CA" w:rsidR="00B92628" w:rsidRDefault="005B3404" w:rsidP="00B92628">
      <w:pPr>
        <w:pStyle w:val="ListParagraph"/>
        <w:numPr>
          <w:ilvl w:val="0"/>
          <w:numId w:val="22"/>
        </w:numPr>
      </w:pPr>
      <w:r w:rsidRPr="00C66C24">
        <w:t>Climate Resilience and Adaptation:</w:t>
      </w:r>
    </w:p>
    <w:p w14:paraId="344C231C" w14:textId="6367C96D" w:rsidR="00B92628" w:rsidRDefault="00D1028A" w:rsidP="00B92628">
      <w:pPr>
        <w:pStyle w:val="ListParagraph"/>
        <w:numPr>
          <w:ilvl w:val="1"/>
          <w:numId w:val="22"/>
        </w:numPr>
      </w:pPr>
      <w:r w:rsidRPr="00C66C24">
        <w:t>R</w:t>
      </w:r>
      <w:r w:rsidR="005B3404" w:rsidRPr="00C66C24">
        <w:t>esearch on the impact of climate change on maritime infrastructure and operations.</w:t>
      </w:r>
    </w:p>
    <w:p w14:paraId="67EBC183" w14:textId="1FA74287" w:rsidR="005B3404" w:rsidRPr="00C66C24" w:rsidRDefault="005B3404" w:rsidP="00B92628">
      <w:pPr>
        <w:pStyle w:val="ListParagraph"/>
        <w:numPr>
          <w:ilvl w:val="1"/>
          <w:numId w:val="22"/>
        </w:numPr>
      </w:pPr>
      <w:r w:rsidRPr="00C66C24">
        <w:t>Development of strategies and technologies to adapt to changing weather patterns, rising sea levels, and extreme events.</w:t>
      </w:r>
    </w:p>
    <w:p w14:paraId="6DA69B6A" w14:textId="3A9BEA25" w:rsidR="00B92628" w:rsidRDefault="005B3404" w:rsidP="00B92628">
      <w:pPr>
        <w:pStyle w:val="ListParagraph"/>
        <w:numPr>
          <w:ilvl w:val="0"/>
          <w:numId w:val="22"/>
        </w:numPr>
      </w:pPr>
      <w:r w:rsidRPr="00C66C24">
        <w:t>Cross-Sector Collaboration:</w:t>
      </w:r>
    </w:p>
    <w:p w14:paraId="2BA51E9B" w14:textId="0A726A6E" w:rsidR="00B92628" w:rsidRDefault="005B3404" w:rsidP="00B92628">
      <w:pPr>
        <w:pStyle w:val="ListParagraph"/>
        <w:numPr>
          <w:ilvl w:val="1"/>
          <w:numId w:val="22"/>
        </w:numPr>
      </w:pPr>
      <w:r w:rsidRPr="00C66C24">
        <w:t>Encouraging collaboration between the maritime sector, academia, research institutions, and other industries to foster interdisciplinary solutions.</w:t>
      </w:r>
    </w:p>
    <w:p w14:paraId="7893E5C4" w14:textId="6269C165" w:rsidR="005B3404" w:rsidRPr="00C66C24" w:rsidRDefault="005B3404" w:rsidP="00B92628">
      <w:pPr>
        <w:pStyle w:val="ListParagraph"/>
        <w:numPr>
          <w:ilvl w:val="1"/>
          <w:numId w:val="22"/>
        </w:numPr>
      </w:pPr>
      <w:r w:rsidRPr="00C66C24">
        <w:t>Partnerships to share data, best practices, and technological advancements for sustainable maritime development.</w:t>
      </w:r>
    </w:p>
    <w:p w14:paraId="659D81D8" w14:textId="77777777" w:rsidR="005B3404" w:rsidRPr="00C66C24" w:rsidRDefault="005B3404" w:rsidP="006A3503">
      <w:pPr>
        <w:spacing w:line="257" w:lineRule="auto"/>
      </w:pPr>
    </w:p>
    <w:p w14:paraId="03D50CDD" w14:textId="576DB208" w:rsidR="00F32BD4" w:rsidRPr="00C66C24" w:rsidRDefault="00031CA3" w:rsidP="008C6A9C">
      <w:pPr>
        <w:spacing w:line="257" w:lineRule="auto"/>
      </w:pPr>
      <w:r w:rsidRPr="00C66C24">
        <w:t xml:space="preserve">Within this context there are two </w:t>
      </w:r>
      <w:r w:rsidR="00B841F1" w:rsidRPr="00C66C24">
        <w:t xml:space="preserve">additional </w:t>
      </w:r>
      <w:r w:rsidRPr="00C66C24">
        <w:t xml:space="preserve">key overarching components which will need to be </w:t>
      </w:r>
      <w:r w:rsidR="00B841F1" w:rsidRPr="00C66C24">
        <w:t>considered</w:t>
      </w:r>
      <w:r w:rsidR="00710757" w:rsidRPr="00C66C24">
        <w:t>. Firstly</w:t>
      </w:r>
      <w:r w:rsidR="0012239D" w:rsidRPr="00C66C24">
        <w:t>,</w:t>
      </w:r>
      <w:r w:rsidR="00710757" w:rsidRPr="00C66C24">
        <w:t xml:space="preserve"> </w:t>
      </w:r>
      <w:r w:rsidR="00DA5FEE" w:rsidRPr="00C66C24">
        <w:t xml:space="preserve">it is critical that </w:t>
      </w:r>
      <w:r w:rsidR="004F305F" w:rsidRPr="00C66C24">
        <w:t xml:space="preserve">both </w:t>
      </w:r>
      <w:r w:rsidR="00710757" w:rsidRPr="00C66C24">
        <w:t xml:space="preserve">safety </w:t>
      </w:r>
      <w:r w:rsidR="004F305F" w:rsidRPr="00C66C24">
        <w:t xml:space="preserve">and environmental </w:t>
      </w:r>
      <w:r w:rsidR="00E91200">
        <w:t>aspects</w:t>
      </w:r>
      <w:r w:rsidR="00DA5FEE" w:rsidRPr="00C66C24">
        <w:t xml:space="preserve"> </w:t>
      </w:r>
      <w:r w:rsidR="004F305F" w:rsidRPr="00C66C24">
        <w:t xml:space="preserve">are </w:t>
      </w:r>
      <w:r w:rsidR="0012239D" w:rsidRPr="00C66C24">
        <w:t xml:space="preserve">included in </w:t>
      </w:r>
      <w:r w:rsidR="001A711A" w:rsidRPr="00C66C24">
        <w:t>the development and evaluation of the technological and operational solutions</w:t>
      </w:r>
      <w:r w:rsidR="00011212" w:rsidRPr="00C66C24">
        <w:t>. Secondly, it is key to consider these solutions</w:t>
      </w:r>
      <w:r w:rsidR="001174BB" w:rsidRPr="00C66C24">
        <w:t xml:space="preserve"> holistically, that is to say </w:t>
      </w:r>
      <w:r w:rsidR="002D2ED7">
        <w:t xml:space="preserve">to explore possible </w:t>
      </w:r>
      <w:r w:rsidR="001174BB" w:rsidRPr="00C66C24">
        <w:t xml:space="preserve">synergies. </w:t>
      </w:r>
      <w:r w:rsidR="004339E2" w:rsidRPr="00C66C24">
        <w:t>For example, o</w:t>
      </w:r>
      <w:r w:rsidR="001174BB" w:rsidRPr="00C66C24">
        <w:t xml:space="preserve">n the safety aspect, </w:t>
      </w:r>
      <w:r w:rsidR="00D761A0" w:rsidRPr="00C66C24">
        <w:t xml:space="preserve">new hazardous scenarios and response operations must be </w:t>
      </w:r>
      <w:r w:rsidR="004339E2" w:rsidRPr="00C66C24">
        <w:t xml:space="preserve">duly </w:t>
      </w:r>
      <w:r w:rsidR="00D761A0" w:rsidRPr="00C66C24">
        <w:t>factored in</w:t>
      </w:r>
      <w:r w:rsidR="00E84829">
        <w:t xml:space="preserve">. </w:t>
      </w:r>
      <w:r w:rsidR="009E06F0">
        <w:t>At the same time</w:t>
      </w:r>
      <w:r w:rsidR="00A42C19">
        <w:t xml:space="preserve">, </w:t>
      </w:r>
      <w:r w:rsidR="009D1A7B">
        <w:t xml:space="preserve">solutions </w:t>
      </w:r>
      <w:r w:rsidR="001B0F02">
        <w:t>addressing</w:t>
      </w:r>
      <w:r w:rsidR="00FF21B4" w:rsidRPr="00C66C24">
        <w:t xml:space="preserve"> energy efficiency</w:t>
      </w:r>
      <w:r w:rsidR="00713046" w:rsidRPr="00C66C24">
        <w:t xml:space="preserve">/carbon intensity </w:t>
      </w:r>
      <w:r w:rsidR="001B0F02">
        <w:t xml:space="preserve">should </w:t>
      </w:r>
      <w:r w:rsidR="00353767">
        <w:t>be developed considering their impact of</w:t>
      </w:r>
      <w:r w:rsidR="00713046" w:rsidRPr="00C66C24">
        <w:t xml:space="preserve"> other type of emissions and pollutions (see for example the ongoing </w:t>
      </w:r>
      <w:r w:rsidR="007F254A" w:rsidRPr="00C66C24">
        <w:t xml:space="preserve">work to determine scenarios </w:t>
      </w:r>
      <w:r w:rsidR="001C695C" w:rsidRPr="00C66C24">
        <w:t xml:space="preserve">to combine </w:t>
      </w:r>
      <w:r w:rsidR="007F254A" w:rsidRPr="00C66C24">
        <w:t xml:space="preserve">energy efficiency </w:t>
      </w:r>
      <w:r w:rsidR="001C695C" w:rsidRPr="00C66C24">
        <w:t>measures with underwater radiated noise reduction).</w:t>
      </w:r>
    </w:p>
    <w:p w14:paraId="3C9DA4C2" w14:textId="5846929D" w:rsidR="005401AC" w:rsidRPr="00C66C24" w:rsidRDefault="00EA1387" w:rsidP="005725F7">
      <w:pPr>
        <w:pStyle w:val="Heading2"/>
      </w:pPr>
      <w:bookmarkStart w:id="260" w:name="_Toc157762108"/>
      <w:r w:rsidRPr="00C66C24">
        <w:t xml:space="preserve">A new </w:t>
      </w:r>
      <w:r w:rsidR="00272CA8" w:rsidRPr="00C66C24">
        <w:t xml:space="preserve">integrated </w:t>
      </w:r>
      <w:r w:rsidRPr="00C66C24">
        <w:t>m</w:t>
      </w:r>
      <w:r w:rsidR="005C2162" w:rsidRPr="00C66C24">
        <w:t xml:space="preserve">onitoring </w:t>
      </w:r>
      <w:r w:rsidR="00272CA8" w:rsidRPr="00C66C24">
        <w:t>infrastructure</w:t>
      </w:r>
      <w:bookmarkEnd w:id="260"/>
      <w:r w:rsidR="005C2162" w:rsidRPr="00C66C24">
        <w:t xml:space="preserve"> </w:t>
      </w:r>
    </w:p>
    <w:p w14:paraId="5A858FCD" w14:textId="3B53865F" w:rsidR="007929BB" w:rsidRPr="00C66C24" w:rsidRDefault="005904C5" w:rsidP="007929BB">
      <w:pPr>
        <w:spacing w:before="0" w:after="0" w:line="257" w:lineRule="auto"/>
      </w:pPr>
      <w:r w:rsidRPr="00C66C24">
        <w:t>The EU Copernicus</w:t>
      </w:r>
      <w:r w:rsidR="00D0431E">
        <w:rPr>
          <w:rStyle w:val="FootnoteReference"/>
        </w:rPr>
        <w:footnoteReference w:id="39"/>
      </w:r>
      <w:r w:rsidRPr="00C66C24">
        <w:t xml:space="preserve"> services have shown the </w:t>
      </w:r>
      <w:r w:rsidR="00A81B39" w:rsidRPr="00C66C24">
        <w:t xml:space="preserve">potential of using </w:t>
      </w:r>
      <w:r w:rsidR="00176C61" w:rsidRPr="00C66C24">
        <w:t xml:space="preserve">satellite, modelling and in-situ data for environmental </w:t>
      </w:r>
      <w:r w:rsidR="00161574" w:rsidRPr="00C66C24">
        <w:t xml:space="preserve">monitoring purposes. Nevertheless, the maritime transport sector has </w:t>
      </w:r>
      <w:r w:rsidR="00A035BD" w:rsidRPr="00C66C24">
        <w:t xml:space="preserve">not benefited enough </w:t>
      </w:r>
      <w:r w:rsidR="00EF4072" w:rsidRPr="00C66C24">
        <w:t xml:space="preserve">from the </w:t>
      </w:r>
      <w:r w:rsidR="00631B0F">
        <w:t>development</w:t>
      </w:r>
      <w:r w:rsidR="00EF4072" w:rsidRPr="00C66C24">
        <w:t xml:space="preserve"> of </w:t>
      </w:r>
      <w:r w:rsidR="00631B0F">
        <w:t>such</w:t>
      </w:r>
      <w:r w:rsidR="001338E4" w:rsidRPr="00C66C24">
        <w:t xml:space="preserve"> services. This is mainly due to the </w:t>
      </w:r>
      <w:r w:rsidR="0025106C">
        <w:t>technical</w:t>
      </w:r>
      <w:r w:rsidR="001338E4" w:rsidRPr="00C66C24">
        <w:t xml:space="preserve"> difficult</w:t>
      </w:r>
      <w:r w:rsidR="0025106C">
        <w:t>ies associated with</w:t>
      </w:r>
      <w:r w:rsidR="001338E4" w:rsidRPr="00C66C24">
        <w:t xml:space="preserve"> </w:t>
      </w:r>
      <w:r w:rsidR="0025106C">
        <w:t>the</w:t>
      </w:r>
      <w:r w:rsidR="001338E4" w:rsidRPr="00C66C24">
        <w:t xml:space="preserve"> monitoring </w:t>
      </w:r>
      <w:r w:rsidR="005B240D">
        <w:t>of</w:t>
      </w:r>
      <w:r w:rsidR="00D271BD" w:rsidRPr="00C66C24">
        <w:t xml:space="preserve"> </w:t>
      </w:r>
      <w:r w:rsidR="006A143B" w:rsidRPr="00C66C24">
        <w:t xml:space="preserve">moving point sources (vessels) over </w:t>
      </w:r>
      <w:r w:rsidR="00645BC1" w:rsidRPr="00C66C24">
        <w:t xml:space="preserve">high resolution temporal and spatial scales, as well as </w:t>
      </w:r>
      <w:r w:rsidR="0017756D">
        <w:t>the sensibility of sensors required</w:t>
      </w:r>
      <w:r w:rsidR="00645BC1" w:rsidRPr="00C66C24">
        <w:t xml:space="preserve"> to </w:t>
      </w:r>
      <w:r w:rsidR="0017756D">
        <w:t xml:space="preserve">capture and </w:t>
      </w:r>
      <w:r w:rsidR="008F7825" w:rsidRPr="00C66C24">
        <w:t>characterise</w:t>
      </w:r>
      <w:r w:rsidR="001059F2" w:rsidRPr="00C66C24">
        <w:t xml:space="preserve"> emissions</w:t>
      </w:r>
      <w:r w:rsidR="00483B7B" w:rsidRPr="00C66C24">
        <w:t xml:space="preserve"> </w:t>
      </w:r>
      <w:r w:rsidR="007E17E6">
        <w:t>of vessels</w:t>
      </w:r>
      <w:r w:rsidR="00483B7B" w:rsidRPr="00C66C24">
        <w:t xml:space="preserve"> to the water and atmosphere. However, </w:t>
      </w:r>
      <w:r w:rsidR="000040A3" w:rsidRPr="00C66C24">
        <w:t xml:space="preserve">new </w:t>
      </w:r>
      <w:r w:rsidR="00084EB8">
        <w:t xml:space="preserve">services and </w:t>
      </w:r>
      <w:r w:rsidR="00B901D5" w:rsidRPr="00C66C24">
        <w:t xml:space="preserve">tools are </w:t>
      </w:r>
      <w:r w:rsidR="00463CD3" w:rsidRPr="00C66C24">
        <w:t>in the process of being</w:t>
      </w:r>
      <w:r w:rsidR="00B901D5" w:rsidRPr="00C66C24">
        <w:t xml:space="preserve"> developed </w:t>
      </w:r>
      <w:r w:rsidR="006247F5" w:rsidRPr="00C66C24">
        <w:t>where the needs and requirements of the maritime transport should not be neglected.</w:t>
      </w:r>
      <w:r w:rsidR="00E127BB" w:rsidRPr="00C66C24">
        <w:t xml:space="preserve"> </w:t>
      </w:r>
      <w:r w:rsidR="00463CD3" w:rsidRPr="00C66C24">
        <w:t xml:space="preserve">For example, </w:t>
      </w:r>
      <w:r w:rsidR="00E127BB" w:rsidRPr="00C66C24">
        <w:t>t</w:t>
      </w:r>
      <w:r w:rsidR="00947A6C" w:rsidRPr="00C66C24">
        <w:t>he EU Destination Earth</w:t>
      </w:r>
      <w:r w:rsidR="00891400" w:rsidRPr="00C66C24">
        <w:rPr>
          <w:rStyle w:val="FootnoteReference"/>
        </w:rPr>
        <w:footnoteReference w:id="40"/>
      </w:r>
      <w:r w:rsidR="00947A6C" w:rsidRPr="00C66C24">
        <w:t xml:space="preserve"> </w:t>
      </w:r>
      <w:r w:rsidR="007D3F59" w:rsidRPr="00C66C24">
        <w:t>initiative</w:t>
      </w:r>
      <w:r w:rsidR="00947A6C" w:rsidRPr="00C66C24">
        <w:t xml:space="preserve"> and the Digital Twin of the Ocean</w:t>
      </w:r>
      <w:r w:rsidR="005A6DE7" w:rsidRPr="00C66C24">
        <w:rPr>
          <w:rStyle w:val="FootnoteReference"/>
        </w:rPr>
        <w:footnoteReference w:id="41"/>
      </w:r>
      <w:r w:rsidR="005A6DE7" w:rsidRPr="00C66C24">
        <w:rPr>
          <w:vertAlign w:val="superscript"/>
        </w:rPr>
        <w:t>,</w:t>
      </w:r>
      <w:r w:rsidR="007E130B" w:rsidRPr="00C66C24">
        <w:rPr>
          <w:rStyle w:val="FootnoteReference"/>
        </w:rPr>
        <w:footnoteReference w:id="42"/>
      </w:r>
      <w:r w:rsidR="00947A6C" w:rsidRPr="00C66C24">
        <w:t xml:space="preserve"> pro</w:t>
      </w:r>
      <w:r w:rsidR="007D3F59" w:rsidRPr="00C66C24">
        <w:t>gramme</w:t>
      </w:r>
      <w:r w:rsidR="00947A6C" w:rsidRPr="00C66C24">
        <w:t xml:space="preserve"> can play crucial roles in monitoring emissions from the maritime transport sector by leveraging advanced technologies and data analytics. </w:t>
      </w:r>
    </w:p>
    <w:p w14:paraId="28E0AE19" w14:textId="13A2AEBD" w:rsidR="00947A6C" w:rsidRPr="00C66C24" w:rsidRDefault="00947A6C" w:rsidP="00A060AC">
      <w:pPr>
        <w:spacing w:before="0" w:after="0" w:line="257" w:lineRule="auto"/>
      </w:pPr>
      <w:r w:rsidRPr="00C66C24">
        <w:t xml:space="preserve">The Destination Earth </w:t>
      </w:r>
      <w:r w:rsidR="007D3F59" w:rsidRPr="00C66C24">
        <w:t>initiative</w:t>
      </w:r>
      <w:r w:rsidRPr="00C66C24">
        <w:t xml:space="preserve"> aims to enhance the use of Earth observation data to create digital replicas of the Earth's environment. By utilizing satellite data and remote sensing technologies, it can provide real-time and historical information on various environmental parameters</w:t>
      </w:r>
      <w:r w:rsidR="00A060AC" w:rsidRPr="00C66C24">
        <w:t>. By</w:t>
      </w:r>
      <w:r w:rsidRPr="00C66C24">
        <w:t xml:space="preserve"> employ</w:t>
      </w:r>
      <w:r w:rsidR="00A060AC" w:rsidRPr="00C66C24">
        <w:t>ing</w:t>
      </w:r>
      <w:r w:rsidRPr="00C66C24">
        <w:t xml:space="preserve"> advanced </w:t>
      </w:r>
      <w:r w:rsidR="00A060AC" w:rsidRPr="00C66C24">
        <w:t>modelling</w:t>
      </w:r>
      <w:r w:rsidRPr="00C66C24">
        <w:t xml:space="preserve"> techniques</w:t>
      </w:r>
      <w:r w:rsidR="00E417D8" w:rsidRPr="00C66C24">
        <w:t>, it will be able</w:t>
      </w:r>
      <w:r w:rsidRPr="00C66C24">
        <w:t xml:space="preserve"> to simulate and predict the impact of maritime activities on the environment</w:t>
      </w:r>
      <w:r w:rsidR="00E417D8" w:rsidRPr="00C66C24">
        <w:t xml:space="preserve">, </w:t>
      </w:r>
      <w:r w:rsidRPr="00C66C24">
        <w:t>includ</w:t>
      </w:r>
      <w:r w:rsidR="00E417D8" w:rsidRPr="00C66C24">
        <w:t>ing</w:t>
      </w:r>
      <w:r w:rsidRPr="00C66C24">
        <w:t xml:space="preserve"> forecasting emissions </w:t>
      </w:r>
      <w:r w:rsidR="00E417D8" w:rsidRPr="00C66C24">
        <w:t xml:space="preserve">to the atmosphere and </w:t>
      </w:r>
      <w:r w:rsidR="007320A0" w:rsidRPr="00C66C24">
        <w:t xml:space="preserve">water pollution discharges </w:t>
      </w:r>
      <w:r w:rsidRPr="00C66C24">
        <w:t>based on shipping routes, traffic density, and vessel types.</w:t>
      </w:r>
    </w:p>
    <w:p w14:paraId="7F968A25" w14:textId="595CE363" w:rsidR="000530A3" w:rsidRPr="00C66C24" w:rsidRDefault="000530A3" w:rsidP="00A30E06">
      <w:pPr>
        <w:spacing w:before="0" w:after="0" w:line="257" w:lineRule="auto"/>
      </w:pPr>
      <w:r w:rsidRPr="00C66C24">
        <w:t xml:space="preserve">The Digital Twin of the Ocean </w:t>
      </w:r>
      <w:r w:rsidR="00891400" w:rsidRPr="00C66C24">
        <w:t>programme</w:t>
      </w:r>
      <w:r w:rsidRPr="00C66C24">
        <w:t xml:space="preserve"> involves creating a digital replica of the ocean, </w:t>
      </w:r>
      <w:r w:rsidR="007E17E6">
        <w:t>integrating information obtained from multiple sources such as</w:t>
      </w:r>
      <w:r w:rsidRPr="00C66C24">
        <w:t xml:space="preserve"> real-time data from sensors, </w:t>
      </w:r>
      <w:r w:rsidR="007E17E6">
        <w:t xml:space="preserve">including on-board ones, </w:t>
      </w:r>
      <w:r w:rsidRPr="00C66C24">
        <w:t>satellites, and othe</w:t>
      </w:r>
      <w:r w:rsidR="007E17E6">
        <w:t>rs</w:t>
      </w:r>
      <w:r w:rsidRPr="00C66C24">
        <w:t>. This enables continuous monitoring of maritime activities, including vessel movements and emissions.</w:t>
      </w:r>
      <w:r w:rsidR="00271FB0" w:rsidRPr="00C66C24">
        <w:t xml:space="preserve"> </w:t>
      </w:r>
      <w:r w:rsidRPr="00C66C24">
        <w:t>By employing machine learning algorithms, the digital twin can learn and adapt to patterns in maritime emissions. This can help identify anomalies, track changes over time, and enhance the accuracy of emission estimates. The project aims to provide a collaborative platform for sharing data and insights</w:t>
      </w:r>
      <w:r w:rsidR="00A30E06" w:rsidRPr="00C66C24">
        <w:t xml:space="preserve">, </w:t>
      </w:r>
      <w:r w:rsidRPr="00C66C24">
        <w:t>facilitat</w:t>
      </w:r>
      <w:r w:rsidR="00A30E06" w:rsidRPr="00C66C24">
        <w:t>ing</w:t>
      </w:r>
      <w:r w:rsidRPr="00C66C24">
        <w:t xml:space="preserve"> cooperation between stakeholders such as shipping companies, regulators, and environmental organi</w:t>
      </w:r>
      <w:r w:rsidR="00CC42CC" w:rsidRPr="00C66C24">
        <w:t>s</w:t>
      </w:r>
      <w:r w:rsidRPr="00C66C24">
        <w:t>ations, improving transparency and data accuracy.</w:t>
      </w:r>
    </w:p>
    <w:p w14:paraId="5115A5AB" w14:textId="556B3710" w:rsidR="003003BE" w:rsidRPr="00C66C24" w:rsidRDefault="000530A3" w:rsidP="000530A3">
      <w:pPr>
        <w:spacing w:before="0" w:after="0" w:line="257" w:lineRule="auto"/>
      </w:pPr>
      <w:r w:rsidRPr="00C66C24">
        <w:t xml:space="preserve">Together, these initiatives </w:t>
      </w:r>
      <w:r w:rsidR="00171C39">
        <w:t>would</w:t>
      </w:r>
      <w:r w:rsidR="002058DB" w:rsidRPr="00C66C24">
        <w:t xml:space="preserve"> </w:t>
      </w:r>
      <w:r w:rsidRPr="00C66C24">
        <w:t>contribute to a more technologically advanced approach to monitoring emissions</w:t>
      </w:r>
      <w:r w:rsidR="00B91BB0">
        <w:t xml:space="preserve">, able to integrate multiple sources of information to provide </w:t>
      </w:r>
      <w:r w:rsidR="0056001C">
        <w:t xml:space="preserve">a comprehensive </w:t>
      </w:r>
      <w:r w:rsidR="001D785A">
        <w:t>view on</w:t>
      </w:r>
      <w:r w:rsidRPr="00C66C24">
        <w:t xml:space="preserve"> the maritime transport sector. </w:t>
      </w:r>
      <w:r w:rsidR="001D785A">
        <w:t>Indeed, b</w:t>
      </w:r>
      <w:r w:rsidRPr="00C66C24">
        <w:t>y combining Earth observation data, predictive model</w:t>
      </w:r>
      <w:r w:rsidR="00CC42CC" w:rsidRPr="00C66C24">
        <w:t>l</w:t>
      </w:r>
      <w:r w:rsidRPr="00C66C24">
        <w:t xml:space="preserve">ing, real-time monitoring, and collaborative platforms, the EU Destination Earth </w:t>
      </w:r>
      <w:r w:rsidR="002058DB" w:rsidRPr="00C66C24">
        <w:t>initiative</w:t>
      </w:r>
      <w:r w:rsidRPr="00C66C24">
        <w:t xml:space="preserve"> and the Digital Twin of the Ocean </w:t>
      </w:r>
      <w:r w:rsidR="00B92FCB" w:rsidRPr="00C66C24">
        <w:t>programme</w:t>
      </w:r>
      <w:r w:rsidRPr="00C66C24">
        <w:t xml:space="preserve"> </w:t>
      </w:r>
      <w:r w:rsidR="00B92FCB" w:rsidRPr="00C66C24">
        <w:t>may</w:t>
      </w:r>
      <w:r w:rsidRPr="00C66C24">
        <w:t xml:space="preserve"> significantly enhance our understanding and management of the environmental impact of maritime activities.</w:t>
      </w:r>
      <w:r w:rsidR="00B92FCB" w:rsidRPr="00C66C24">
        <w:t xml:space="preserve"> However, for this to happen, the maritime transport sector must be </w:t>
      </w:r>
      <w:r w:rsidR="006A21E4" w:rsidRPr="00C66C24">
        <w:t xml:space="preserve">an integral part of the requirements and development process, </w:t>
      </w:r>
      <w:r w:rsidR="00823EA6" w:rsidRPr="00C66C24">
        <w:t xml:space="preserve">failing this, the </w:t>
      </w:r>
      <w:r w:rsidR="00EF095B" w:rsidRPr="00C66C24">
        <w:t xml:space="preserve">services built will not adequately fulfil the </w:t>
      </w:r>
      <w:r w:rsidR="00B14BA4" w:rsidRPr="00C66C24">
        <w:t xml:space="preserve">sectors’ </w:t>
      </w:r>
      <w:r w:rsidR="00EF095B" w:rsidRPr="00C66C24">
        <w:t xml:space="preserve">needs. </w:t>
      </w:r>
      <w:r w:rsidR="006A21E4" w:rsidRPr="00C66C24">
        <w:t xml:space="preserve"> </w:t>
      </w:r>
    </w:p>
    <w:p w14:paraId="3829F6B1" w14:textId="77777777" w:rsidR="00B92FCB" w:rsidRPr="00C66C24" w:rsidRDefault="00B92FCB">
      <w:pPr>
        <w:spacing w:before="0" w:after="200" w:line="276" w:lineRule="auto"/>
        <w:jc w:val="left"/>
        <w:rPr>
          <w:rFonts w:eastAsiaTheme="majorEastAsia" w:cstheme="majorBidi"/>
          <w:b/>
          <w:iCs w:val="0"/>
          <w:color w:val="17365D"/>
          <w:sz w:val="44"/>
          <w:szCs w:val="32"/>
        </w:rPr>
      </w:pPr>
      <w:bookmarkStart w:id="261" w:name="_Toc156316365"/>
      <w:r w:rsidRPr="00C66C24">
        <w:br w:type="page"/>
      </w:r>
    </w:p>
    <w:p w14:paraId="717208B0" w14:textId="6945DC86" w:rsidR="003003BE" w:rsidRPr="00C66C24" w:rsidRDefault="003003BE" w:rsidP="008C6A9C">
      <w:pPr>
        <w:pStyle w:val="Heading1"/>
        <w:numPr>
          <w:ilvl w:val="0"/>
          <w:numId w:val="0"/>
        </w:numPr>
        <w:spacing w:line="257" w:lineRule="auto"/>
      </w:pPr>
      <w:bookmarkStart w:id="262" w:name="_Toc157762109"/>
      <w:r w:rsidRPr="00C66C24">
        <w:t>List of abbreviations</w:t>
      </w:r>
      <w:bookmarkEnd w:id="261"/>
      <w:bookmarkEnd w:id="262"/>
    </w:p>
    <w:tbl>
      <w:tblPr>
        <w:tblStyle w:val="TableGrid"/>
        <w:tblW w:w="0" w:type="auto"/>
        <w:tblLook w:val="04A0" w:firstRow="1" w:lastRow="0" w:firstColumn="1" w:lastColumn="0" w:noHBand="0" w:noVBand="1"/>
      </w:tblPr>
      <w:tblGrid>
        <w:gridCol w:w="1822"/>
        <w:gridCol w:w="6672"/>
      </w:tblGrid>
      <w:tr w:rsidR="00F54776" w:rsidRPr="00C66C24" w14:paraId="0DFA7AA8" w14:textId="77777777" w:rsidTr="005C3405">
        <w:tc>
          <w:tcPr>
            <w:tcW w:w="1838" w:type="dxa"/>
          </w:tcPr>
          <w:p w14:paraId="7A1A8640" w14:textId="4631EC15" w:rsidR="00F54776" w:rsidRPr="00C66C24" w:rsidRDefault="00F54776" w:rsidP="008C6A9C">
            <w:pPr>
              <w:pStyle w:val="Tableheading"/>
              <w:spacing w:line="257" w:lineRule="auto"/>
            </w:pPr>
            <w:r w:rsidRPr="00C66C24">
              <w:t>Abbreviation</w:t>
            </w:r>
          </w:p>
        </w:tc>
        <w:tc>
          <w:tcPr>
            <w:tcW w:w="6882" w:type="dxa"/>
          </w:tcPr>
          <w:p w14:paraId="669D2B86" w14:textId="043AAC90" w:rsidR="00F54776" w:rsidRPr="00C66C24" w:rsidRDefault="00F54776" w:rsidP="008C6A9C">
            <w:pPr>
              <w:pStyle w:val="Tableheading"/>
              <w:spacing w:line="257" w:lineRule="auto"/>
            </w:pPr>
            <w:r w:rsidRPr="00C66C24">
              <w:t>Name</w:t>
            </w:r>
          </w:p>
        </w:tc>
      </w:tr>
      <w:tr w:rsidR="00F54776" w:rsidRPr="00C66C24" w14:paraId="45D6B83F" w14:textId="77777777" w:rsidTr="005C3405">
        <w:trPr>
          <w:trHeight w:val="300"/>
        </w:trPr>
        <w:tc>
          <w:tcPr>
            <w:tcW w:w="1838" w:type="dxa"/>
          </w:tcPr>
          <w:p w14:paraId="02811361" w14:textId="41F4A057" w:rsidR="00F54776" w:rsidRPr="00C66C24" w:rsidRDefault="00F54776" w:rsidP="008C6A9C">
            <w:pPr>
              <w:spacing w:line="257" w:lineRule="auto"/>
            </w:pPr>
            <w:r w:rsidRPr="00C66C24">
              <w:t>AFID</w:t>
            </w:r>
          </w:p>
        </w:tc>
        <w:tc>
          <w:tcPr>
            <w:tcW w:w="6882" w:type="dxa"/>
          </w:tcPr>
          <w:p w14:paraId="35835EB4" w14:textId="3A8E493C" w:rsidR="00F54776" w:rsidRPr="00C66C24" w:rsidRDefault="00F54776" w:rsidP="008C6A9C">
            <w:pPr>
              <w:spacing w:line="257" w:lineRule="auto"/>
            </w:pPr>
            <w:r w:rsidRPr="00C66C24">
              <w:t>Alternative Fuel Infrastructure Directive</w:t>
            </w:r>
          </w:p>
        </w:tc>
      </w:tr>
      <w:tr w:rsidR="00F54776" w:rsidRPr="00C66C24" w14:paraId="71E3F803" w14:textId="77777777" w:rsidTr="005C3405">
        <w:trPr>
          <w:trHeight w:val="300"/>
        </w:trPr>
        <w:tc>
          <w:tcPr>
            <w:tcW w:w="1838" w:type="dxa"/>
          </w:tcPr>
          <w:p w14:paraId="3789F706" w14:textId="31BB713A" w:rsidR="00F54776" w:rsidRPr="00C66C24" w:rsidRDefault="00F54776" w:rsidP="008C6A9C">
            <w:pPr>
              <w:spacing w:line="257" w:lineRule="auto"/>
            </w:pPr>
            <w:r w:rsidRPr="00C66C24">
              <w:t>AFIR</w:t>
            </w:r>
          </w:p>
        </w:tc>
        <w:tc>
          <w:tcPr>
            <w:tcW w:w="6882" w:type="dxa"/>
          </w:tcPr>
          <w:p w14:paraId="5632C5A6" w14:textId="1836AF28" w:rsidR="00F54776" w:rsidRPr="00C66C24" w:rsidRDefault="00F54776" w:rsidP="008C6A9C">
            <w:pPr>
              <w:spacing w:line="257" w:lineRule="auto"/>
            </w:pPr>
            <w:r w:rsidRPr="00C66C24">
              <w:t>Alternative Fuel Infrastructure Regulation</w:t>
            </w:r>
          </w:p>
        </w:tc>
      </w:tr>
      <w:tr w:rsidR="00F54776" w:rsidRPr="00C66C24" w14:paraId="6AA13E10" w14:textId="77777777" w:rsidTr="005C3405">
        <w:trPr>
          <w:trHeight w:val="300"/>
        </w:trPr>
        <w:tc>
          <w:tcPr>
            <w:tcW w:w="1838" w:type="dxa"/>
          </w:tcPr>
          <w:p w14:paraId="445814B3" w14:textId="270DF97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AIS</w:t>
            </w:r>
          </w:p>
        </w:tc>
        <w:tc>
          <w:tcPr>
            <w:tcW w:w="6882" w:type="dxa"/>
          </w:tcPr>
          <w:p w14:paraId="12E95874" w14:textId="4254F90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Automatic Identification System</w:t>
            </w:r>
          </w:p>
        </w:tc>
      </w:tr>
      <w:tr w:rsidR="00F54776" w:rsidRPr="00C66C24" w14:paraId="301776C5" w14:textId="77777777" w:rsidTr="005C3405">
        <w:trPr>
          <w:trHeight w:val="300"/>
        </w:trPr>
        <w:tc>
          <w:tcPr>
            <w:tcW w:w="1838" w:type="dxa"/>
          </w:tcPr>
          <w:p w14:paraId="426B8DBC" w14:textId="0FF804F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AQG</w:t>
            </w:r>
          </w:p>
        </w:tc>
        <w:tc>
          <w:tcPr>
            <w:tcW w:w="6882" w:type="dxa"/>
          </w:tcPr>
          <w:p w14:paraId="5AAAAF8B" w14:textId="4921FAC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Air quality guidelines</w:t>
            </w:r>
          </w:p>
        </w:tc>
      </w:tr>
      <w:tr w:rsidR="00F54776" w:rsidRPr="00C66C24" w14:paraId="52B31B75" w14:textId="77777777" w:rsidTr="005C3405">
        <w:trPr>
          <w:trHeight w:val="300"/>
        </w:trPr>
        <w:tc>
          <w:tcPr>
            <w:tcW w:w="1838" w:type="dxa"/>
          </w:tcPr>
          <w:p w14:paraId="541111FB" w14:textId="276D271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ATS</w:t>
            </w:r>
          </w:p>
        </w:tc>
        <w:tc>
          <w:tcPr>
            <w:tcW w:w="6882" w:type="dxa"/>
          </w:tcPr>
          <w:p w14:paraId="76659D97" w14:textId="17F4539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After treatment system</w:t>
            </w:r>
          </w:p>
        </w:tc>
      </w:tr>
      <w:tr w:rsidR="00F54776" w:rsidRPr="00C66C24" w14:paraId="00D47FAE" w14:textId="77777777" w:rsidTr="005C3405">
        <w:trPr>
          <w:trHeight w:val="300"/>
        </w:trPr>
        <w:tc>
          <w:tcPr>
            <w:tcW w:w="1838" w:type="dxa"/>
          </w:tcPr>
          <w:p w14:paraId="4FA6A413" w14:textId="1E063C9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BC</w:t>
            </w:r>
          </w:p>
        </w:tc>
        <w:tc>
          <w:tcPr>
            <w:tcW w:w="6882" w:type="dxa"/>
          </w:tcPr>
          <w:p w14:paraId="0F67F455" w14:textId="02B1A63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Black carbon</w:t>
            </w:r>
          </w:p>
        </w:tc>
      </w:tr>
      <w:tr w:rsidR="00F54776" w:rsidRPr="00C66C24" w14:paraId="68F89C2F" w14:textId="77777777" w:rsidTr="005C3405">
        <w:trPr>
          <w:trHeight w:val="300"/>
        </w:trPr>
        <w:tc>
          <w:tcPr>
            <w:tcW w:w="1838" w:type="dxa"/>
          </w:tcPr>
          <w:p w14:paraId="6F353161" w14:textId="31621AE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BWM</w:t>
            </w:r>
          </w:p>
        </w:tc>
        <w:tc>
          <w:tcPr>
            <w:tcW w:w="6882" w:type="dxa"/>
          </w:tcPr>
          <w:p w14:paraId="719C8882" w14:textId="391B0EE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Convention for the Control and Management of Ships’ Ballast Water and Sediments</w:t>
            </w:r>
          </w:p>
        </w:tc>
      </w:tr>
      <w:tr w:rsidR="00F54776" w:rsidRPr="00C66C24" w14:paraId="3E8EC3CB" w14:textId="77777777" w:rsidTr="005C3405">
        <w:trPr>
          <w:trHeight w:val="300"/>
        </w:trPr>
        <w:tc>
          <w:tcPr>
            <w:tcW w:w="1838" w:type="dxa"/>
          </w:tcPr>
          <w:p w14:paraId="2F2660FF" w14:textId="4E5978E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BWMP</w:t>
            </w:r>
          </w:p>
        </w:tc>
        <w:tc>
          <w:tcPr>
            <w:tcW w:w="6882" w:type="dxa"/>
          </w:tcPr>
          <w:p w14:paraId="36BD975B" w14:textId="5F9431F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Ballast Water Management Plan</w:t>
            </w:r>
          </w:p>
        </w:tc>
      </w:tr>
      <w:tr w:rsidR="00F54776" w:rsidRPr="00C66C24" w14:paraId="4195CD2D" w14:textId="77777777" w:rsidTr="005C3405">
        <w:trPr>
          <w:trHeight w:val="300"/>
        </w:trPr>
        <w:tc>
          <w:tcPr>
            <w:tcW w:w="1838" w:type="dxa"/>
          </w:tcPr>
          <w:p w14:paraId="16E5AAE9" w14:textId="3E2065C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BWRB</w:t>
            </w:r>
          </w:p>
        </w:tc>
        <w:tc>
          <w:tcPr>
            <w:tcW w:w="6882" w:type="dxa"/>
          </w:tcPr>
          <w:p w14:paraId="1423E885" w14:textId="55DA082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Ballast Water Record Book</w:t>
            </w:r>
          </w:p>
        </w:tc>
      </w:tr>
      <w:tr w:rsidR="001A01DA" w:rsidRPr="00C66C24" w14:paraId="035AF750" w14:textId="77777777" w:rsidTr="005C3405">
        <w:trPr>
          <w:trHeight w:val="300"/>
        </w:trPr>
        <w:tc>
          <w:tcPr>
            <w:tcW w:w="1838" w:type="dxa"/>
          </w:tcPr>
          <w:p w14:paraId="1607FC6E" w14:textId="71D5EEFE" w:rsidR="001A01DA" w:rsidRPr="00C66C24" w:rsidRDefault="001A01DA" w:rsidP="008C6A9C">
            <w:pPr>
              <w:spacing w:line="257" w:lineRule="auto"/>
              <w:rPr>
                <w:rFonts w:ascii="Calibri" w:eastAsia="Calibri" w:hAnsi="Calibri" w:cs="Calibri"/>
                <w:iCs w:val="0"/>
              </w:rPr>
            </w:pPr>
            <w:r w:rsidRPr="00C66C24">
              <w:rPr>
                <w:rFonts w:ascii="Calibri" w:eastAsia="Calibri" w:hAnsi="Calibri" w:cs="Calibri"/>
                <w:iCs w:val="0"/>
              </w:rPr>
              <w:t>CCS</w:t>
            </w:r>
          </w:p>
        </w:tc>
        <w:tc>
          <w:tcPr>
            <w:tcW w:w="6882" w:type="dxa"/>
          </w:tcPr>
          <w:p w14:paraId="4B6BD86F" w14:textId="2DB6A03F" w:rsidR="001A01DA" w:rsidRPr="00C66C24" w:rsidRDefault="001A01DA" w:rsidP="008C6A9C">
            <w:pPr>
              <w:spacing w:line="257" w:lineRule="auto"/>
              <w:rPr>
                <w:rFonts w:ascii="Calibri" w:eastAsia="Calibri" w:hAnsi="Calibri" w:cs="Calibri"/>
                <w:iCs w:val="0"/>
              </w:rPr>
            </w:pPr>
            <w:r w:rsidRPr="00C66C24">
              <w:rPr>
                <w:rFonts w:ascii="Calibri" w:eastAsia="Calibri" w:hAnsi="Calibri" w:cs="Calibri"/>
                <w:iCs w:val="0"/>
              </w:rPr>
              <w:t>Carbon Capture and Storage</w:t>
            </w:r>
          </w:p>
        </w:tc>
      </w:tr>
      <w:tr w:rsidR="00F54776" w:rsidRPr="00C66C24" w14:paraId="1A8467A8" w14:textId="77777777" w:rsidTr="005C3405">
        <w:trPr>
          <w:trHeight w:val="300"/>
        </w:trPr>
        <w:tc>
          <w:tcPr>
            <w:tcW w:w="1838" w:type="dxa"/>
          </w:tcPr>
          <w:p w14:paraId="218C667E" w14:textId="74F5E29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CEAP</w:t>
            </w:r>
          </w:p>
        </w:tc>
        <w:tc>
          <w:tcPr>
            <w:tcW w:w="6882" w:type="dxa"/>
          </w:tcPr>
          <w:p w14:paraId="58319541" w14:textId="5698C0C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Circular Economy Action Plan</w:t>
            </w:r>
          </w:p>
        </w:tc>
      </w:tr>
      <w:tr w:rsidR="00F54776" w:rsidRPr="00C66C24" w14:paraId="4DBA49EC" w14:textId="77777777" w:rsidTr="005C3405">
        <w:trPr>
          <w:trHeight w:val="300"/>
        </w:trPr>
        <w:tc>
          <w:tcPr>
            <w:tcW w:w="1838" w:type="dxa"/>
          </w:tcPr>
          <w:p w14:paraId="6A62CEF3" w14:textId="1FC7727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CH</w:t>
            </w:r>
            <w:r w:rsidRPr="00C66C24">
              <w:rPr>
                <w:rFonts w:ascii="Calibri" w:eastAsia="Calibri" w:hAnsi="Calibri" w:cs="Calibri"/>
                <w:iCs w:val="0"/>
                <w:vertAlign w:val="subscript"/>
              </w:rPr>
              <w:t>4</w:t>
            </w:r>
          </w:p>
        </w:tc>
        <w:tc>
          <w:tcPr>
            <w:tcW w:w="6882" w:type="dxa"/>
          </w:tcPr>
          <w:p w14:paraId="6879D0A1" w14:textId="198BE3B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Methane</w:t>
            </w:r>
          </w:p>
        </w:tc>
      </w:tr>
      <w:tr w:rsidR="00F54776" w:rsidRPr="00C66C24" w14:paraId="04813BE6" w14:textId="77777777" w:rsidTr="005C3405">
        <w:trPr>
          <w:trHeight w:val="300"/>
        </w:trPr>
        <w:tc>
          <w:tcPr>
            <w:tcW w:w="1838" w:type="dxa"/>
          </w:tcPr>
          <w:p w14:paraId="631FF37A" w14:textId="5E9AC94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CII</w:t>
            </w:r>
          </w:p>
        </w:tc>
        <w:tc>
          <w:tcPr>
            <w:tcW w:w="6882" w:type="dxa"/>
          </w:tcPr>
          <w:p w14:paraId="22AB6DDE" w14:textId="606E162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Carbon Intensity Indicator</w:t>
            </w:r>
          </w:p>
        </w:tc>
      </w:tr>
      <w:tr w:rsidR="00F54776" w:rsidRPr="00C66C24" w14:paraId="3F1CAE4A" w14:textId="77777777" w:rsidTr="005C3405">
        <w:trPr>
          <w:trHeight w:val="300"/>
        </w:trPr>
        <w:tc>
          <w:tcPr>
            <w:tcW w:w="1838" w:type="dxa"/>
          </w:tcPr>
          <w:p w14:paraId="6F6A89DC" w14:textId="6CE3133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CO</w:t>
            </w:r>
          </w:p>
        </w:tc>
        <w:tc>
          <w:tcPr>
            <w:tcW w:w="6882" w:type="dxa"/>
          </w:tcPr>
          <w:p w14:paraId="72203A29" w14:textId="7091355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 xml:space="preserve">Carbon </w:t>
            </w:r>
            <w:r w:rsidR="00237715" w:rsidRPr="00C66C24">
              <w:rPr>
                <w:rFonts w:ascii="Calibri" w:eastAsia="Calibri" w:hAnsi="Calibri" w:cs="Calibri"/>
                <w:iCs w:val="0"/>
              </w:rPr>
              <w:t>mo</w:t>
            </w:r>
            <w:r w:rsidR="0064522E" w:rsidRPr="00C66C24">
              <w:rPr>
                <w:rFonts w:ascii="Calibri" w:eastAsia="Calibri" w:hAnsi="Calibri" w:cs="Calibri"/>
                <w:iCs w:val="0"/>
              </w:rPr>
              <w:t>n</w:t>
            </w:r>
            <w:r w:rsidRPr="00C66C24">
              <w:rPr>
                <w:rFonts w:ascii="Calibri" w:eastAsia="Calibri" w:hAnsi="Calibri" w:cs="Calibri"/>
                <w:iCs w:val="0"/>
              </w:rPr>
              <w:t>oxide</w:t>
            </w:r>
          </w:p>
        </w:tc>
      </w:tr>
      <w:tr w:rsidR="00F54776" w:rsidRPr="00C66C24" w14:paraId="4969F6D4" w14:textId="77777777" w:rsidTr="005C3405">
        <w:trPr>
          <w:trHeight w:val="300"/>
        </w:trPr>
        <w:tc>
          <w:tcPr>
            <w:tcW w:w="1838" w:type="dxa"/>
          </w:tcPr>
          <w:p w14:paraId="7C16A54D" w14:textId="38B72BB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CO</w:t>
            </w:r>
            <w:r w:rsidRPr="00C66C24">
              <w:rPr>
                <w:rFonts w:ascii="Calibri" w:eastAsia="Calibri" w:hAnsi="Calibri" w:cs="Calibri"/>
                <w:iCs w:val="0"/>
                <w:vertAlign w:val="subscript"/>
              </w:rPr>
              <w:t>2</w:t>
            </w:r>
          </w:p>
        </w:tc>
        <w:tc>
          <w:tcPr>
            <w:tcW w:w="6882" w:type="dxa"/>
          </w:tcPr>
          <w:p w14:paraId="256D1F65" w14:textId="487692D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Carbon dioxide</w:t>
            </w:r>
          </w:p>
        </w:tc>
      </w:tr>
      <w:tr w:rsidR="00F54776" w:rsidRPr="00C66C24" w14:paraId="528DB33D" w14:textId="77777777" w:rsidTr="005C3405">
        <w:trPr>
          <w:trHeight w:val="300"/>
        </w:trPr>
        <w:tc>
          <w:tcPr>
            <w:tcW w:w="1838" w:type="dxa"/>
          </w:tcPr>
          <w:p w14:paraId="073901AA" w14:textId="69D0A32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COP</w:t>
            </w:r>
          </w:p>
        </w:tc>
        <w:tc>
          <w:tcPr>
            <w:tcW w:w="6882" w:type="dxa"/>
          </w:tcPr>
          <w:p w14:paraId="002DD56B" w14:textId="74CED69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Conference of the Parties</w:t>
            </w:r>
          </w:p>
        </w:tc>
      </w:tr>
      <w:tr w:rsidR="00F54776" w:rsidRPr="00C66C24" w14:paraId="721C35AB" w14:textId="77777777" w:rsidTr="005C3405">
        <w:trPr>
          <w:trHeight w:val="300"/>
        </w:trPr>
        <w:tc>
          <w:tcPr>
            <w:tcW w:w="1838" w:type="dxa"/>
          </w:tcPr>
          <w:p w14:paraId="6B3F9272" w14:textId="765B030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CSN</w:t>
            </w:r>
          </w:p>
        </w:tc>
        <w:tc>
          <w:tcPr>
            <w:tcW w:w="6882" w:type="dxa"/>
          </w:tcPr>
          <w:p w14:paraId="31E1C039" w14:textId="68F6DA1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CleanSeaNet</w:t>
            </w:r>
          </w:p>
        </w:tc>
      </w:tr>
      <w:tr w:rsidR="00561E0D" w:rsidRPr="00C66C24" w14:paraId="1A71E8FA" w14:textId="77777777" w:rsidTr="005C3405">
        <w:trPr>
          <w:trHeight w:val="300"/>
        </w:trPr>
        <w:tc>
          <w:tcPr>
            <w:tcW w:w="1838" w:type="dxa"/>
          </w:tcPr>
          <w:p w14:paraId="08DEA368" w14:textId="02674988" w:rsidR="00561E0D" w:rsidRPr="00C66C24" w:rsidRDefault="009802C7" w:rsidP="008C6A9C">
            <w:pPr>
              <w:spacing w:line="257" w:lineRule="auto"/>
              <w:rPr>
                <w:rFonts w:ascii="Calibri" w:eastAsia="Calibri" w:hAnsi="Calibri" w:cs="Calibri"/>
                <w:iCs w:val="0"/>
              </w:rPr>
            </w:pPr>
            <w:r w:rsidRPr="00C66C24">
              <w:rPr>
                <w:rFonts w:ascii="Calibri" w:eastAsia="Calibri" w:hAnsi="Calibri" w:cs="Calibri"/>
                <w:iCs w:val="0"/>
              </w:rPr>
              <w:t>DAC</w:t>
            </w:r>
          </w:p>
        </w:tc>
        <w:tc>
          <w:tcPr>
            <w:tcW w:w="6882" w:type="dxa"/>
          </w:tcPr>
          <w:p w14:paraId="602F8799" w14:textId="6B320B4D" w:rsidR="00561E0D" w:rsidRPr="00C66C24" w:rsidRDefault="00F352E6" w:rsidP="008C6A9C">
            <w:pPr>
              <w:spacing w:line="257" w:lineRule="auto"/>
              <w:rPr>
                <w:rFonts w:ascii="Calibri" w:eastAsia="Calibri" w:hAnsi="Calibri" w:cs="Calibri"/>
                <w:iCs w:val="0"/>
              </w:rPr>
            </w:pPr>
            <w:r w:rsidRPr="00C66C24">
              <w:rPr>
                <w:rFonts w:ascii="Calibri" w:eastAsia="Calibri" w:hAnsi="Calibri" w:cs="Calibri"/>
                <w:iCs w:val="0"/>
              </w:rPr>
              <w:t>Direct Air Capture</w:t>
            </w:r>
          </w:p>
        </w:tc>
      </w:tr>
      <w:tr w:rsidR="00F54776" w:rsidRPr="00C66C24" w14:paraId="3EC61BAB" w14:textId="77777777" w:rsidTr="005C3405">
        <w:trPr>
          <w:trHeight w:val="300"/>
        </w:trPr>
        <w:tc>
          <w:tcPr>
            <w:tcW w:w="1838" w:type="dxa"/>
          </w:tcPr>
          <w:p w14:paraId="2027F12A" w14:textId="2EBE77C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DCS</w:t>
            </w:r>
          </w:p>
        </w:tc>
        <w:tc>
          <w:tcPr>
            <w:tcW w:w="6882" w:type="dxa"/>
          </w:tcPr>
          <w:p w14:paraId="05B68595" w14:textId="6C15909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Data Collection System</w:t>
            </w:r>
          </w:p>
        </w:tc>
      </w:tr>
      <w:tr w:rsidR="00AC133A" w:rsidRPr="00C66C24" w14:paraId="36DDD954" w14:textId="77777777" w:rsidTr="005C3405">
        <w:trPr>
          <w:trHeight w:val="300"/>
        </w:trPr>
        <w:tc>
          <w:tcPr>
            <w:tcW w:w="1838" w:type="dxa"/>
          </w:tcPr>
          <w:p w14:paraId="790C80CC" w14:textId="0B25CA43" w:rsidR="00AC133A" w:rsidRPr="00C66C24" w:rsidRDefault="00AC133A" w:rsidP="008C6A9C">
            <w:pPr>
              <w:spacing w:line="257" w:lineRule="auto"/>
              <w:rPr>
                <w:rFonts w:ascii="Calibri" w:eastAsia="Calibri" w:hAnsi="Calibri" w:cs="Calibri"/>
                <w:iCs w:val="0"/>
              </w:rPr>
            </w:pPr>
            <w:r w:rsidRPr="00C66C24">
              <w:rPr>
                <w:rFonts w:ascii="Calibri" w:eastAsia="Calibri" w:hAnsi="Calibri" w:cs="Calibri"/>
                <w:iCs w:val="0"/>
              </w:rPr>
              <w:t>DME</w:t>
            </w:r>
          </w:p>
        </w:tc>
        <w:tc>
          <w:tcPr>
            <w:tcW w:w="6882" w:type="dxa"/>
          </w:tcPr>
          <w:p w14:paraId="6FB61202" w14:textId="4CFC98CB" w:rsidR="00AC133A" w:rsidRPr="00C66C24" w:rsidRDefault="00AC133A" w:rsidP="008C6A9C">
            <w:pPr>
              <w:spacing w:line="257" w:lineRule="auto"/>
              <w:rPr>
                <w:rFonts w:ascii="Calibri" w:eastAsia="Calibri" w:hAnsi="Calibri" w:cs="Calibri"/>
                <w:iCs w:val="0"/>
              </w:rPr>
            </w:pPr>
            <w:r w:rsidRPr="00C66C24">
              <w:rPr>
                <w:rFonts w:ascii="Calibri" w:eastAsia="Calibri" w:hAnsi="Calibri" w:cs="Calibri"/>
                <w:iCs w:val="0"/>
              </w:rPr>
              <w:t>Dimethyl ether</w:t>
            </w:r>
          </w:p>
        </w:tc>
      </w:tr>
      <w:tr w:rsidR="00F54776" w:rsidRPr="00C66C24" w14:paraId="19074203" w14:textId="77777777" w:rsidTr="005C3405">
        <w:trPr>
          <w:trHeight w:val="300"/>
        </w:trPr>
        <w:tc>
          <w:tcPr>
            <w:tcW w:w="1838" w:type="dxa"/>
          </w:tcPr>
          <w:p w14:paraId="22B8F346" w14:textId="59910F2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EAFO</w:t>
            </w:r>
          </w:p>
        </w:tc>
        <w:tc>
          <w:tcPr>
            <w:tcW w:w="6882" w:type="dxa"/>
          </w:tcPr>
          <w:p w14:paraId="74DEC7F7" w14:textId="527A068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European Alternative Fuels Observatory</w:t>
            </w:r>
          </w:p>
        </w:tc>
      </w:tr>
      <w:tr w:rsidR="00F54776" w:rsidRPr="00C66C24" w14:paraId="72A21256" w14:textId="77777777" w:rsidTr="005C3405">
        <w:trPr>
          <w:trHeight w:val="300"/>
        </w:trPr>
        <w:tc>
          <w:tcPr>
            <w:tcW w:w="1838" w:type="dxa"/>
          </w:tcPr>
          <w:p w14:paraId="2B2ADD25" w14:textId="4544C32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EC</w:t>
            </w:r>
          </w:p>
        </w:tc>
        <w:tc>
          <w:tcPr>
            <w:tcW w:w="6882" w:type="dxa"/>
          </w:tcPr>
          <w:p w14:paraId="49701D3D" w14:textId="7DC77FE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European Commission</w:t>
            </w:r>
          </w:p>
        </w:tc>
      </w:tr>
      <w:tr w:rsidR="00F54776" w:rsidRPr="00C66C24" w14:paraId="6A856F0D" w14:textId="77777777" w:rsidTr="005C3405">
        <w:trPr>
          <w:trHeight w:val="300"/>
        </w:trPr>
        <w:tc>
          <w:tcPr>
            <w:tcW w:w="1838" w:type="dxa"/>
          </w:tcPr>
          <w:p w14:paraId="457FE33A" w14:textId="3937647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ECA</w:t>
            </w:r>
          </w:p>
        </w:tc>
        <w:tc>
          <w:tcPr>
            <w:tcW w:w="6882" w:type="dxa"/>
          </w:tcPr>
          <w:p w14:paraId="1010B982" w14:textId="1A7DC67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Emission Control Areas</w:t>
            </w:r>
          </w:p>
        </w:tc>
      </w:tr>
      <w:tr w:rsidR="00F54776" w:rsidRPr="00C66C24" w14:paraId="337CB481" w14:textId="77777777" w:rsidTr="005C3405">
        <w:trPr>
          <w:trHeight w:val="300"/>
        </w:trPr>
        <w:tc>
          <w:tcPr>
            <w:tcW w:w="1838" w:type="dxa"/>
          </w:tcPr>
          <w:p w14:paraId="219E34D9" w14:textId="058DCDC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ECD</w:t>
            </w:r>
          </w:p>
        </w:tc>
        <w:tc>
          <w:tcPr>
            <w:tcW w:w="6882" w:type="dxa"/>
          </w:tcPr>
          <w:p w14:paraId="20607559" w14:textId="751B589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Environmental Crime Directive</w:t>
            </w:r>
          </w:p>
        </w:tc>
      </w:tr>
      <w:tr w:rsidR="00F54776" w:rsidRPr="00C66C24" w14:paraId="5F94EC8A" w14:textId="77777777" w:rsidTr="005C3405">
        <w:trPr>
          <w:trHeight w:val="300"/>
        </w:trPr>
        <w:tc>
          <w:tcPr>
            <w:tcW w:w="1838" w:type="dxa"/>
          </w:tcPr>
          <w:p w14:paraId="47D9281A" w14:textId="0AA46B9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ECHO</w:t>
            </w:r>
          </w:p>
        </w:tc>
        <w:tc>
          <w:tcPr>
            <w:tcW w:w="6882" w:type="dxa"/>
          </w:tcPr>
          <w:p w14:paraId="7ACEA38F" w14:textId="2134E824" w:rsidR="00F54776" w:rsidRPr="00C66C24" w:rsidRDefault="00F54776" w:rsidP="008C6A9C">
            <w:pPr>
              <w:spacing w:line="257" w:lineRule="auto"/>
              <w:rPr>
                <w:rFonts w:ascii="Calibri" w:eastAsia="Calibri" w:hAnsi="Calibri" w:cs="Calibri"/>
                <w:iCs w:val="0"/>
              </w:rPr>
            </w:pPr>
            <w:r w:rsidRPr="00C66C24">
              <w:rPr>
                <w:rStyle w:val="normaltextrun"/>
                <w:rFonts w:ascii="Calibri" w:eastAsia="Calibri" w:hAnsi="Calibri" w:cs="Calibri"/>
                <w:iCs w:val="0"/>
              </w:rPr>
              <w:t>Enhancing Cetacean Habitat and Observation</w:t>
            </w:r>
          </w:p>
        </w:tc>
      </w:tr>
      <w:tr w:rsidR="00F54776" w:rsidRPr="00C66C24" w14:paraId="36608B3C" w14:textId="77777777" w:rsidTr="005C3405">
        <w:trPr>
          <w:trHeight w:val="300"/>
        </w:trPr>
        <w:tc>
          <w:tcPr>
            <w:tcW w:w="1838" w:type="dxa"/>
          </w:tcPr>
          <w:p w14:paraId="15D78E7E" w14:textId="295E617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EEA</w:t>
            </w:r>
          </w:p>
        </w:tc>
        <w:tc>
          <w:tcPr>
            <w:tcW w:w="6882" w:type="dxa"/>
          </w:tcPr>
          <w:p w14:paraId="1E767F56" w14:textId="303496D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European Economic Area</w:t>
            </w:r>
          </w:p>
        </w:tc>
      </w:tr>
      <w:tr w:rsidR="00F54776" w:rsidRPr="00C66C24" w14:paraId="4A85DB32" w14:textId="77777777" w:rsidTr="005C3405">
        <w:trPr>
          <w:trHeight w:val="300"/>
        </w:trPr>
        <w:tc>
          <w:tcPr>
            <w:tcW w:w="1838" w:type="dxa"/>
          </w:tcPr>
          <w:p w14:paraId="59938369" w14:textId="2C99BB5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EEDI</w:t>
            </w:r>
          </w:p>
        </w:tc>
        <w:tc>
          <w:tcPr>
            <w:tcW w:w="6882" w:type="dxa"/>
          </w:tcPr>
          <w:p w14:paraId="7DAE5AFF" w14:textId="34C8AA9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Energy Efficiency Design Index</w:t>
            </w:r>
          </w:p>
        </w:tc>
      </w:tr>
      <w:tr w:rsidR="00F54776" w:rsidRPr="00C66C24" w14:paraId="62CCACDF" w14:textId="77777777" w:rsidTr="005C3405">
        <w:trPr>
          <w:trHeight w:val="300"/>
        </w:trPr>
        <w:tc>
          <w:tcPr>
            <w:tcW w:w="1838" w:type="dxa"/>
          </w:tcPr>
          <w:p w14:paraId="0C420878" w14:textId="35FAAF9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EEXI</w:t>
            </w:r>
          </w:p>
        </w:tc>
        <w:tc>
          <w:tcPr>
            <w:tcW w:w="6882" w:type="dxa"/>
          </w:tcPr>
          <w:p w14:paraId="481A7E38" w14:textId="280B424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Energy Efficiency Existing Ships Index</w:t>
            </w:r>
          </w:p>
        </w:tc>
      </w:tr>
      <w:tr w:rsidR="00F54776" w:rsidRPr="00C66C24" w14:paraId="3097C73B" w14:textId="77777777" w:rsidTr="005C3405">
        <w:trPr>
          <w:trHeight w:val="300"/>
        </w:trPr>
        <w:tc>
          <w:tcPr>
            <w:tcW w:w="1838" w:type="dxa"/>
          </w:tcPr>
          <w:p w14:paraId="6DEC6C1D" w14:textId="7F76CBE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EEZ</w:t>
            </w:r>
          </w:p>
        </w:tc>
        <w:tc>
          <w:tcPr>
            <w:tcW w:w="6882" w:type="dxa"/>
          </w:tcPr>
          <w:p w14:paraId="5EBD115E" w14:textId="2461626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Economic Exclusive Zone</w:t>
            </w:r>
          </w:p>
        </w:tc>
      </w:tr>
      <w:tr w:rsidR="00F54776" w:rsidRPr="00C66C24" w14:paraId="3D893108" w14:textId="77777777" w:rsidTr="005C3405">
        <w:trPr>
          <w:trHeight w:val="300"/>
        </w:trPr>
        <w:tc>
          <w:tcPr>
            <w:tcW w:w="1838" w:type="dxa"/>
          </w:tcPr>
          <w:p w14:paraId="00A45B1A" w14:textId="502AD4A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EFTA</w:t>
            </w:r>
          </w:p>
        </w:tc>
        <w:tc>
          <w:tcPr>
            <w:tcW w:w="6882" w:type="dxa"/>
          </w:tcPr>
          <w:p w14:paraId="7F7674BF" w14:textId="0C07959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European Free Trade Association</w:t>
            </w:r>
          </w:p>
        </w:tc>
      </w:tr>
      <w:tr w:rsidR="00F54776" w:rsidRPr="00C66C24" w14:paraId="107664D0" w14:textId="77777777" w:rsidTr="005C3405">
        <w:trPr>
          <w:trHeight w:val="300"/>
        </w:trPr>
        <w:tc>
          <w:tcPr>
            <w:tcW w:w="1838" w:type="dxa"/>
          </w:tcPr>
          <w:p w14:paraId="12269A34" w14:textId="7FC8F8F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EGCS</w:t>
            </w:r>
          </w:p>
        </w:tc>
        <w:tc>
          <w:tcPr>
            <w:tcW w:w="6882" w:type="dxa"/>
          </w:tcPr>
          <w:p w14:paraId="3DB40D6E" w14:textId="373DF9A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Exhaust Gas Cleaning System</w:t>
            </w:r>
          </w:p>
        </w:tc>
      </w:tr>
      <w:tr w:rsidR="00F54776" w:rsidRPr="00C66C24" w14:paraId="2E12A5EF" w14:textId="77777777" w:rsidTr="005C3405">
        <w:trPr>
          <w:trHeight w:val="300"/>
        </w:trPr>
        <w:tc>
          <w:tcPr>
            <w:tcW w:w="1838" w:type="dxa"/>
          </w:tcPr>
          <w:p w14:paraId="2DD5F5E8" w14:textId="5749BB1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EGD</w:t>
            </w:r>
          </w:p>
        </w:tc>
        <w:tc>
          <w:tcPr>
            <w:tcW w:w="6882" w:type="dxa"/>
          </w:tcPr>
          <w:p w14:paraId="35219DE7" w14:textId="4D018E3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European Green Deal</w:t>
            </w:r>
          </w:p>
        </w:tc>
      </w:tr>
      <w:tr w:rsidR="00F54776" w:rsidRPr="00C66C24" w14:paraId="5990D9E6" w14:textId="77777777" w:rsidTr="005C3405">
        <w:trPr>
          <w:trHeight w:val="300"/>
        </w:trPr>
        <w:tc>
          <w:tcPr>
            <w:tcW w:w="1838" w:type="dxa"/>
          </w:tcPr>
          <w:p w14:paraId="278DAD79" w14:textId="4EFB5D8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EIA</w:t>
            </w:r>
          </w:p>
        </w:tc>
        <w:tc>
          <w:tcPr>
            <w:tcW w:w="6882" w:type="dxa"/>
          </w:tcPr>
          <w:p w14:paraId="4AEB1D98" w14:textId="18A8531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Environmental Impact Assessment</w:t>
            </w:r>
          </w:p>
        </w:tc>
      </w:tr>
      <w:tr w:rsidR="00524C0F" w:rsidRPr="00C66C24" w14:paraId="09FE253C" w14:textId="77777777" w:rsidTr="005C3405">
        <w:trPr>
          <w:trHeight w:val="300"/>
        </w:trPr>
        <w:tc>
          <w:tcPr>
            <w:tcW w:w="1838" w:type="dxa"/>
          </w:tcPr>
          <w:p w14:paraId="32F65582" w14:textId="559E2111" w:rsidR="00524C0F" w:rsidRPr="00C66C24" w:rsidRDefault="00524C0F" w:rsidP="008C6A9C">
            <w:pPr>
              <w:spacing w:line="257" w:lineRule="auto"/>
              <w:rPr>
                <w:rFonts w:ascii="Calibri" w:eastAsia="Calibri" w:hAnsi="Calibri" w:cs="Calibri"/>
                <w:iCs w:val="0"/>
              </w:rPr>
            </w:pPr>
            <w:r w:rsidRPr="00C66C24">
              <w:rPr>
                <w:rFonts w:ascii="Calibri" w:eastAsia="Calibri" w:hAnsi="Calibri" w:cs="Calibri"/>
                <w:iCs w:val="0"/>
              </w:rPr>
              <w:t>EIT</w:t>
            </w:r>
          </w:p>
        </w:tc>
        <w:tc>
          <w:tcPr>
            <w:tcW w:w="6882" w:type="dxa"/>
          </w:tcPr>
          <w:p w14:paraId="2F3B1E17" w14:textId="7B3CF900" w:rsidR="00524C0F" w:rsidRPr="00C66C24" w:rsidRDefault="00524C0F" w:rsidP="008C6A9C">
            <w:pPr>
              <w:spacing w:line="257" w:lineRule="auto"/>
              <w:rPr>
                <w:rFonts w:ascii="Calibri" w:eastAsia="Calibri" w:hAnsi="Calibri" w:cs="Calibri"/>
                <w:iCs w:val="0"/>
              </w:rPr>
            </w:pPr>
            <w:r w:rsidRPr="00C66C24">
              <w:rPr>
                <w:rFonts w:ascii="Calibri" w:eastAsia="Calibri" w:hAnsi="Calibri" w:cs="Calibri"/>
                <w:iCs w:val="0"/>
              </w:rPr>
              <w:t>European Institute of Innovation &amp; Technology</w:t>
            </w:r>
          </w:p>
        </w:tc>
      </w:tr>
      <w:tr w:rsidR="00F54776" w:rsidRPr="00C66C24" w14:paraId="000995F5" w14:textId="77777777" w:rsidTr="005C3405">
        <w:trPr>
          <w:trHeight w:val="300"/>
        </w:trPr>
        <w:tc>
          <w:tcPr>
            <w:tcW w:w="1838" w:type="dxa"/>
          </w:tcPr>
          <w:p w14:paraId="7B084BBB" w14:textId="14A90AC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EIV</w:t>
            </w:r>
          </w:p>
        </w:tc>
        <w:tc>
          <w:tcPr>
            <w:tcW w:w="6882" w:type="dxa"/>
          </w:tcPr>
          <w:p w14:paraId="55E16485" w14:textId="6B0B09C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Estimated Index Value</w:t>
            </w:r>
          </w:p>
        </w:tc>
      </w:tr>
      <w:tr w:rsidR="00F54776" w:rsidRPr="00C66C24" w14:paraId="2B7A5B24" w14:textId="77777777" w:rsidTr="005C3405">
        <w:trPr>
          <w:trHeight w:val="300"/>
        </w:trPr>
        <w:tc>
          <w:tcPr>
            <w:tcW w:w="1838" w:type="dxa"/>
          </w:tcPr>
          <w:p w14:paraId="5C3D99E4" w14:textId="5DB3444F" w:rsidR="00F54776" w:rsidRPr="00C66C24" w:rsidRDefault="00F54776" w:rsidP="008C6A9C">
            <w:pPr>
              <w:pStyle w:val="paragraph"/>
              <w:spacing w:line="257" w:lineRule="auto"/>
              <w:jc w:val="both"/>
              <w:rPr>
                <w:rFonts w:ascii="Calibri" w:eastAsia="Calibri" w:hAnsi="Calibri" w:cs="Calibri"/>
                <w:iCs/>
                <w:lang w:val="en-GB"/>
              </w:rPr>
            </w:pPr>
            <w:r w:rsidRPr="00C66C24">
              <w:rPr>
                <w:rFonts w:ascii="Calibri" w:eastAsia="Calibri" w:hAnsi="Calibri" w:cs="Calibri"/>
                <w:sz w:val="22"/>
                <w:lang w:val="en-GB"/>
              </w:rPr>
              <w:t>EMCIP</w:t>
            </w:r>
          </w:p>
        </w:tc>
        <w:tc>
          <w:tcPr>
            <w:tcW w:w="6882" w:type="dxa"/>
          </w:tcPr>
          <w:p w14:paraId="6F81F0EF" w14:textId="095FEC52" w:rsidR="00F54776" w:rsidRPr="00C66C24" w:rsidRDefault="00F54776" w:rsidP="008C6A9C">
            <w:pPr>
              <w:pStyle w:val="paragraph"/>
              <w:spacing w:line="257" w:lineRule="auto"/>
              <w:jc w:val="both"/>
              <w:rPr>
                <w:rFonts w:ascii="Calibri" w:eastAsia="Calibri" w:hAnsi="Calibri" w:cs="Calibri"/>
                <w:iCs/>
                <w:lang w:val="en-GB"/>
              </w:rPr>
            </w:pPr>
            <w:r w:rsidRPr="00C66C24">
              <w:rPr>
                <w:rFonts w:ascii="Calibri" w:eastAsia="Calibri" w:hAnsi="Calibri" w:cs="Calibri"/>
                <w:sz w:val="22"/>
                <w:lang w:val="en-GB"/>
              </w:rPr>
              <w:t>European Marine Casualty Information Platform</w:t>
            </w:r>
          </w:p>
        </w:tc>
      </w:tr>
      <w:tr w:rsidR="00F54776" w:rsidRPr="00C66C24" w14:paraId="51405D8E" w14:textId="77777777" w:rsidTr="005C3405">
        <w:trPr>
          <w:trHeight w:val="300"/>
        </w:trPr>
        <w:tc>
          <w:tcPr>
            <w:tcW w:w="1838" w:type="dxa"/>
          </w:tcPr>
          <w:p w14:paraId="6491B087" w14:textId="70BF5D8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EMEP</w:t>
            </w:r>
          </w:p>
        </w:tc>
        <w:tc>
          <w:tcPr>
            <w:tcW w:w="6882" w:type="dxa"/>
          </w:tcPr>
          <w:p w14:paraId="1D86833C" w14:textId="4197470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European Monitoring and Evaluation Programme</w:t>
            </w:r>
          </w:p>
        </w:tc>
      </w:tr>
      <w:tr w:rsidR="00F54776" w:rsidRPr="00706101" w14:paraId="6BCAFE1E" w14:textId="77777777" w:rsidTr="005C3405">
        <w:trPr>
          <w:trHeight w:val="300"/>
        </w:trPr>
        <w:tc>
          <w:tcPr>
            <w:tcW w:w="1838" w:type="dxa"/>
          </w:tcPr>
          <w:p w14:paraId="3C9B79A4" w14:textId="7CE60D4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EMTER</w:t>
            </w:r>
          </w:p>
        </w:tc>
        <w:tc>
          <w:tcPr>
            <w:tcW w:w="6882" w:type="dxa"/>
          </w:tcPr>
          <w:p w14:paraId="6938F14A" w14:textId="621F0324" w:rsidR="00F54776" w:rsidRPr="00FF6CA4" w:rsidRDefault="00F54776" w:rsidP="008C6A9C">
            <w:pPr>
              <w:spacing w:line="257" w:lineRule="auto"/>
              <w:rPr>
                <w:rFonts w:ascii="Calibri" w:hAnsi="Calibri"/>
                <w:lang w:val="fr-FR"/>
              </w:rPr>
            </w:pPr>
            <w:r w:rsidRPr="00FF6CA4">
              <w:rPr>
                <w:rFonts w:ascii="Calibri" w:hAnsi="Calibri"/>
                <w:lang w:val="fr-FR"/>
              </w:rPr>
              <w:t xml:space="preserve">European Maritime Transport </w:t>
            </w:r>
            <w:proofErr w:type="spellStart"/>
            <w:r w:rsidRPr="00FF6CA4">
              <w:rPr>
                <w:rFonts w:ascii="Calibri" w:hAnsi="Calibri"/>
                <w:lang w:val="fr-FR"/>
              </w:rPr>
              <w:t>Environment</w:t>
            </w:r>
            <w:proofErr w:type="spellEnd"/>
            <w:r w:rsidRPr="00FF6CA4">
              <w:rPr>
                <w:rFonts w:ascii="Calibri" w:hAnsi="Calibri"/>
                <w:lang w:val="fr-FR"/>
              </w:rPr>
              <w:t xml:space="preserve"> Report</w:t>
            </w:r>
          </w:p>
        </w:tc>
      </w:tr>
      <w:tr w:rsidR="00F54776" w:rsidRPr="00706101" w14:paraId="7DB386EA" w14:textId="77777777" w:rsidTr="005C3405">
        <w:trPr>
          <w:trHeight w:val="300"/>
        </w:trPr>
        <w:tc>
          <w:tcPr>
            <w:tcW w:w="1838" w:type="dxa"/>
          </w:tcPr>
          <w:p w14:paraId="12D5C484" w14:textId="07BA436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EIAPP</w:t>
            </w:r>
          </w:p>
        </w:tc>
        <w:tc>
          <w:tcPr>
            <w:tcW w:w="6882" w:type="dxa"/>
          </w:tcPr>
          <w:p w14:paraId="22E9992F" w14:textId="625927A6" w:rsidR="00F54776" w:rsidRPr="00706101" w:rsidRDefault="00F54776" w:rsidP="008C6A9C">
            <w:pPr>
              <w:spacing w:line="257" w:lineRule="auto"/>
              <w:rPr>
                <w:rFonts w:ascii="Calibri" w:hAnsi="Calibri"/>
                <w:lang w:val="fr-FR"/>
              </w:rPr>
            </w:pPr>
            <w:r w:rsidRPr="00706101">
              <w:rPr>
                <w:rFonts w:ascii="Calibri" w:hAnsi="Calibri"/>
                <w:lang w:val="fr-FR"/>
              </w:rPr>
              <w:t>Engine International Air Pollution Prevention</w:t>
            </w:r>
          </w:p>
        </w:tc>
      </w:tr>
      <w:tr w:rsidR="00F54776" w:rsidRPr="00C66C24" w14:paraId="18959ADE" w14:textId="77777777" w:rsidTr="005C3405">
        <w:trPr>
          <w:trHeight w:val="300"/>
        </w:trPr>
        <w:tc>
          <w:tcPr>
            <w:tcW w:w="1838" w:type="dxa"/>
          </w:tcPr>
          <w:p w14:paraId="1140519A" w14:textId="3454753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ETD</w:t>
            </w:r>
          </w:p>
        </w:tc>
        <w:tc>
          <w:tcPr>
            <w:tcW w:w="6882" w:type="dxa"/>
          </w:tcPr>
          <w:p w14:paraId="68E4C2DE" w14:textId="66F81DC9"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Energy Taxation Directive</w:t>
            </w:r>
          </w:p>
        </w:tc>
      </w:tr>
      <w:tr w:rsidR="00F54776" w:rsidRPr="00C66C24" w14:paraId="104AAD37" w14:textId="77777777" w:rsidTr="005C3405">
        <w:trPr>
          <w:trHeight w:val="300"/>
        </w:trPr>
        <w:tc>
          <w:tcPr>
            <w:tcW w:w="1838" w:type="dxa"/>
          </w:tcPr>
          <w:p w14:paraId="58AE864B" w14:textId="03E6991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ETS</w:t>
            </w:r>
          </w:p>
        </w:tc>
        <w:tc>
          <w:tcPr>
            <w:tcW w:w="6882" w:type="dxa"/>
          </w:tcPr>
          <w:p w14:paraId="6ADD455F" w14:textId="3019561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 xml:space="preserve">Emission Trading </w:t>
            </w:r>
            <w:r w:rsidR="00065A17" w:rsidRPr="00C66C24">
              <w:rPr>
                <w:rFonts w:ascii="Calibri" w:eastAsia="Calibri" w:hAnsi="Calibri" w:cs="Calibri"/>
              </w:rPr>
              <w:t>System</w:t>
            </w:r>
          </w:p>
        </w:tc>
      </w:tr>
      <w:tr w:rsidR="00F54776" w:rsidRPr="00C66C24" w14:paraId="662AB71E" w14:textId="77777777" w:rsidTr="005C3405">
        <w:trPr>
          <w:trHeight w:val="300"/>
        </w:trPr>
        <w:tc>
          <w:tcPr>
            <w:tcW w:w="1838" w:type="dxa"/>
          </w:tcPr>
          <w:p w14:paraId="46C7FD6C" w14:textId="7405ED8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EU</w:t>
            </w:r>
          </w:p>
        </w:tc>
        <w:tc>
          <w:tcPr>
            <w:tcW w:w="6882" w:type="dxa"/>
          </w:tcPr>
          <w:p w14:paraId="014B4CE2" w14:textId="01EBE46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European Union</w:t>
            </w:r>
          </w:p>
        </w:tc>
      </w:tr>
      <w:tr w:rsidR="00F54776" w:rsidRPr="00C66C24" w14:paraId="6D5DA2F3" w14:textId="77777777" w:rsidTr="005C3405">
        <w:trPr>
          <w:trHeight w:val="300"/>
        </w:trPr>
        <w:tc>
          <w:tcPr>
            <w:tcW w:w="1838" w:type="dxa"/>
          </w:tcPr>
          <w:p w14:paraId="4E1F6463" w14:textId="1C30918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FSC</w:t>
            </w:r>
          </w:p>
        </w:tc>
        <w:tc>
          <w:tcPr>
            <w:tcW w:w="6882" w:type="dxa"/>
          </w:tcPr>
          <w:p w14:paraId="060DDBAA" w14:textId="6A0BE3C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Fuel Sulphur Content</w:t>
            </w:r>
          </w:p>
        </w:tc>
      </w:tr>
      <w:tr w:rsidR="00F54776" w:rsidRPr="00C66C24" w14:paraId="04157564" w14:textId="77777777" w:rsidTr="005C3405">
        <w:trPr>
          <w:trHeight w:val="300"/>
        </w:trPr>
        <w:tc>
          <w:tcPr>
            <w:tcW w:w="1838" w:type="dxa"/>
          </w:tcPr>
          <w:p w14:paraId="0F8D538A" w14:textId="3A38372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GES</w:t>
            </w:r>
          </w:p>
        </w:tc>
        <w:tc>
          <w:tcPr>
            <w:tcW w:w="6882" w:type="dxa"/>
          </w:tcPr>
          <w:p w14:paraId="627C6A53" w14:textId="0245344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Good Environmental Status</w:t>
            </w:r>
          </w:p>
        </w:tc>
      </w:tr>
      <w:tr w:rsidR="00F54776" w:rsidRPr="00C66C24" w14:paraId="108C31A6" w14:textId="77777777" w:rsidTr="005C3405">
        <w:trPr>
          <w:trHeight w:val="300"/>
        </w:trPr>
        <w:tc>
          <w:tcPr>
            <w:tcW w:w="1838" w:type="dxa"/>
          </w:tcPr>
          <w:p w14:paraId="071362B6" w14:textId="0FFCBFC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GHG</w:t>
            </w:r>
          </w:p>
        </w:tc>
        <w:tc>
          <w:tcPr>
            <w:tcW w:w="6882" w:type="dxa"/>
          </w:tcPr>
          <w:p w14:paraId="03A4FCE0" w14:textId="41A784D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Greenhouse gas</w:t>
            </w:r>
          </w:p>
        </w:tc>
      </w:tr>
      <w:tr w:rsidR="00F54776" w:rsidRPr="00C66C24" w14:paraId="2544D9F5" w14:textId="77777777" w:rsidTr="005C3405">
        <w:trPr>
          <w:trHeight w:val="300"/>
        </w:trPr>
        <w:tc>
          <w:tcPr>
            <w:tcW w:w="1838" w:type="dxa"/>
          </w:tcPr>
          <w:p w14:paraId="2793DFBB" w14:textId="4314A3C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GT</w:t>
            </w:r>
          </w:p>
        </w:tc>
        <w:tc>
          <w:tcPr>
            <w:tcW w:w="6882" w:type="dxa"/>
          </w:tcPr>
          <w:p w14:paraId="70E104B1" w14:textId="1E5FC15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Gross tonnage</w:t>
            </w:r>
          </w:p>
        </w:tc>
      </w:tr>
      <w:tr w:rsidR="00F54776" w:rsidRPr="00C66C24" w14:paraId="6761AE9E" w14:textId="77777777" w:rsidTr="005C3405">
        <w:trPr>
          <w:trHeight w:val="300"/>
        </w:trPr>
        <w:tc>
          <w:tcPr>
            <w:tcW w:w="1838" w:type="dxa"/>
          </w:tcPr>
          <w:p w14:paraId="385032F9" w14:textId="5A9A0AF9"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HBCDD</w:t>
            </w:r>
          </w:p>
        </w:tc>
        <w:tc>
          <w:tcPr>
            <w:tcW w:w="6882" w:type="dxa"/>
          </w:tcPr>
          <w:p w14:paraId="4AF3E0F8" w14:textId="204E7047" w:rsidR="00F54776" w:rsidRPr="00C66C24" w:rsidRDefault="00F54776" w:rsidP="008C6A9C">
            <w:pPr>
              <w:spacing w:line="257" w:lineRule="auto"/>
              <w:rPr>
                <w:rFonts w:ascii="Calibri" w:eastAsia="Calibri" w:hAnsi="Calibri" w:cs="Calibri"/>
                <w:iCs w:val="0"/>
              </w:rPr>
            </w:pPr>
            <w:r w:rsidRPr="00C66C24">
              <w:rPr>
                <w:rStyle w:val="bold"/>
                <w:rFonts w:ascii="Calibri" w:eastAsia="Calibri" w:hAnsi="Calibri" w:cs="Calibri"/>
                <w:iCs w:val="0"/>
              </w:rPr>
              <w:t>Hexabromocyclododecane</w:t>
            </w:r>
          </w:p>
        </w:tc>
      </w:tr>
      <w:tr w:rsidR="00F54776" w:rsidRPr="00C66C24" w14:paraId="099A0062" w14:textId="77777777" w:rsidTr="005C3405">
        <w:trPr>
          <w:trHeight w:val="300"/>
        </w:trPr>
        <w:tc>
          <w:tcPr>
            <w:tcW w:w="1838" w:type="dxa"/>
          </w:tcPr>
          <w:p w14:paraId="69D50C72" w14:textId="64F9ADF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HCB</w:t>
            </w:r>
          </w:p>
        </w:tc>
        <w:tc>
          <w:tcPr>
            <w:tcW w:w="6882" w:type="dxa"/>
          </w:tcPr>
          <w:p w14:paraId="2D4B6D32" w14:textId="1565F009" w:rsidR="00F54776" w:rsidRPr="00C66C24" w:rsidRDefault="00F54776" w:rsidP="008C6A9C">
            <w:pPr>
              <w:spacing w:line="257" w:lineRule="auto"/>
              <w:rPr>
                <w:rStyle w:val="bold"/>
                <w:rFonts w:ascii="Calibri" w:eastAsia="Calibri" w:hAnsi="Calibri" w:cs="Calibri"/>
                <w:iCs w:val="0"/>
              </w:rPr>
            </w:pPr>
            <w:r w:rsidRPr="00C66C24">
              <w:rPr>
                <w:rStyle w:val="bold"/>
                <w:rFonts w:ascii="Calibri" w:eastAsia="Calibri" w:hAnsi="Calibri" w:cs="Calibri"/>
                <w:iCs w:val="0"/>
              </w:rPr>
              <w:t>Hexachlorobenzene</w:t>
            </w:r>
          </w:p>
        </w:tc>
      </w:tr>
      <w:tr w:rsidR="004C1615" w:rsidRPr="00C66C24" w14:paraId="1DD16A7F" w14:textId="77777777" w:rsidTr="005C3405">
        <w:trPr>
          <w:trHeight w:val="300"/>
        </w:trPr>
        <w:tc>
          <w:tcPr>
            <w:tcW w:w="1838" w:type="dxa"/>
          </w:tcPr>
          <w:p w14:paraId="31B24012" w14:textId="05C973A1" w:rsidR="004C1615" w:rsidRPr="00C66C24" w:rsidRDefault="004C1615" w:rsidP="008C6A9C">
            <w:pPr>
              <w:spacing w:line="257" w:lineRule="auto"/>
              <w:rPr>
                <w:rFonts w:ascii="Calibri" w:eastAsia="Calibri" w:hAnsi="Calibri" w:cs="Calibri"/>
                <w:iCs w:val="0"/>
              </w:rPr>
            </w:pPr>
            <w:r>
              <w:rPr>
                <w:rFonts w:ascii="Calibri" w:eastAsia="Calibri" w:hAnsi="Calibri" w:cs="Calibri"/>
                <w:iCs w:val="0"/>
              </w:rPr>
              <w:t>HCHO</w:t>
            </w:r>
          </w:p>
        </w:tc>
        <w:tc>
          <w:tcPr>
            <w:tcW w:w="6882" w:type="dxa"/>
          </w:tcPr>
          <w:p w14:paraId="1E50D393" w14:textId="72602BE8" w:rsidR="004C1615" w:rsidRPr="00C66C24" w:rsidRDefault="004C1615" w:rsidP="008C6A9C">
            <w:pPr>
              <w:spacing w:line="257" w:lineRule="auto"/>
              <w:rPr>
                <w:rStyle w:val="bold"/>
                <w:rFonts w:ascii="Calibri" w:eastAsia="Calibri" w:hAnsi="Calibri" w:cs="Calibri"/>
                <w:iCs w:val="0"/>
              </w:rPr>
            </w:pPr>
            <w:bookmarkStart w:id="263" w:name="_Hlk157690685"/>
            <w:r>
              <w:rPr>
                <w:rStyle w:val="bold"/>
                <w:rFonts w:ascii="Calibri" w:eastAsia="Calibri" w:hAnsi="Calibri" w:cs="Calibri"/>
                <w:iCs w:val="0"/>
              </w:rPr>
              <w:t>F</w:t>
            </w:r>
            <w:r>
              <w:rPr>
                <w:rStyle w:val="bold"/>
              </w:rPr>
              <w:t>ormaldehyde</w:t>
            </w:r>
            <w:bookmarkEnd w:id="263"/>
          </w:p>
        </w:tc>
      </w:tr>
      <w:tr w:rsidR="00F54776" w:rsidRPr="00C66C24" w14:paraId="384852A2" w14:textId="77777777" w:rsidTr="005C3405">
        <w:trPr>
          <w:trHeight w:val="300"/>
        </w:trPr>
        <w:tc>
          <w:tcPr>
            <w:tcW w:w="1838" w:type="dxa"/>
          </w:tcPr>
          <w:p w14:paraId="1E2213E4" w14:textId="331347F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HCFCs</w:t>
            </w:r>
          </w:p>
        </w:tc>
        <w:tc>
          <w:tcPr>
            <w:tcW w:w="6882" w:type="dxa"/>
          </w:tcPr>
          <w:p w14:paraId="3FD0BAD3" w14:textId="38ED37A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Chlorofluorocarbon</w:t>
            </w:r>
          </w:p>
        </w:tc>
      </w:tr>
      <w:tr w:rsidR="00F54776" w:rsidRPr="00C66C24" w14:paraId="1005E2E6" w14:textId="77777777" w:rsidTr="005C3405">
        <w:trPr>
          <w:trHeight w:val="300"/>
        </w:trPr>
        <w:tc>
          <w:tcPr>
            <w:tcW w:w="1838" w:type="dxa"/>
          </w:tcPr>
          <w:p w14:paraId="01C10272" w14:textId="005084E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HFO</w:t>
            </w:r>
          </w:p>
        </w:tc>
        <w:tc>
          <w:tcPr>
            <w:tcW w:w="6882" w:type="dxa"/>
          </w:tcPr>
          <w:p w14:paraId="7D96A087" w14:textId="5E8B1D4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Heavy fuel oil</w:t>
            </w:r>
          </w:p>
        </w:tc>
      </w:tr>
      <w:tr w:rsidR="00F54776" w:rsidRPr="00C66C24" w14:paraId="1A780C0C" w14:textId="77777777" w:rsidTr="005C3405">
        <w:trPr>
          <w:trHeight w:val="300"/>
        </w:trPr>
        <w:tc>
          <w:tcPr>
            <w:tcW w:w="1838" w:type="dxa"/>
          </w:tcPr>
          <w:p w14:paraId="1ECD4452" w14:textId="3354D36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HKC</w:t>
            </w:r>
          </w:p>
        </w:tc>
        <w:tc>
          <w:tcPr>
            <w:tcW w:w="6882" w:type="dxa"/>
          </w:tcPr>
          <w:p w14:paraId="60D91B0D" w14:textId="1D7440F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Hong Kong Convention</w:t>
            </w:r>
          </w:p>
        </w:tc>
      </w:tr>
      <w:tr w:rsidR="00F54776" w:rsidRPr="00706101" w14:paraId="0E6524A6" w14:textId="77777777" w:rsidTr="005C3405">
        <w:trPr>
          <w:trHeight w:val="300"/>
        </w:trPr>
        <w:tc>
          <w:tcPr>
            <w:tcW w:w="1838" w:type="dxa"/>
          </w:tcPr>
          <w:p w14:paraId="0BB3C906" w14:textId="74093CF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IAPP</w:t>
            </w:r>
          </w:p>
        </w:tc>
        <w:tc>
          <w:tcPr>
            <w:tcW w:w="6882" w:type="dxa"/>
          </w:tcPr>
          <w:p w14:paraId="28246FEC" w14:textId="6C68A78B" w:rsidR="00F54776" w:rsidRPr="00FF6CA4" w:rsidRDefault="00F54776" w:rsidP="008C6A9C">
            <w:pPr>
              <w:spacing w:line="257" w:lineRule="auto"/>
              <w:rPr>
                <w:rFonts w:ascii="Calibri" w:hAnsi="Calibri"/>
                <w:lang w:val="fr-FR"/>
              </w:rPr>
            </w:pPr>
            <w:r w:rsidRPr="00FF6CA4">
              <w:rPr>
                <w:rFonts w:ascii="Calibri" w:hAnsi="Calibri"/>
                <w:lang w:val="fr-FR"/>
              </w:rPr>
              <w:t xml:space="preserve">International Air Pollution Prevention </w:t>
            </w:r>
            <w:proofErr w:type="spellStart"/>
            <w:r w:rsidRPr="00FF6CA4">
              <w:rPr>
                <w:rFonts w:ascii="Calibri" w:hAnsi="Calibri"/>
                <w:lang w:val="fr-FR"/>
              </w:rPr>
              <w:t>Certificate</w:t>
            </w:r>
            <w:proofErr w:type="spellEnd"/>
          </w:p>
        </w:tc>
      </w:tr>
      <w:tr w:rsidR="00F54776" w:rsidRPr="00C66C24" w14:paraId="11FC97E6" w14:textId="77777777" w:rsidTr="005C3405">
        <w:trPr>
          <w:trHeight w:val="300"/>
        </w:trPr>
        <w:tc>
          <w:tcPr>
            <w:tcW w:w="1838" w:type="dxa"/>
          </w:tcPr>
          <w:p w14:paraId="7317B027" w14:textId="6C74951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IAS</w:t>
            </w:r>
          </w:p>
        </w:tc>
        <w:tc>
          <w:tcPr>
            <w:tcW w:w="6882" w:type="dxa"/>
          </w:tcPr>
          <w:p w14:paraId="18B8EECE" w14:textId="30757A1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Invasive alien species</w:t>
            </w:r>
          </w:p>
        </w:tc>
      </w:tr>
      <w:tr w:rsidR="00F352E6" w:rsidRPr="00C66C24" w14:paraId="72330288" w14:textId="77777777" w:rsidTr="005C3405">
        <w:trPr>
          <w:trHeight w:val="300"/>
        </w:trPr>
        <w:tc>
          <w:tcPr>
            <w:tcW w:w="1838" w:type="dxa"/>
          </w:tcPr>
          <w:p w14:paraId="5D0DED40" w14:textId="051216A0" w:rsidR="00F352E6" w:rsidRPr="00C66C24" w:rsidRDefault="00F352E6" w:rsidP="008C6A9C">
            <w:pPr>
              <w:spacing w:line="257" w:lineRule="auto"/>
              <w:rPr>
                <w:rFonts w:ascii="Calibri" w:eastAsia="Calibri" w:hAnsi="Calibri" w:cs="Calibri"/>
                <w:iCs w:val="0"/>
              </w:rPr>
            </w:pPr>
            <w:r w:rsidRPr="00C66C24">
              <w:rPr>
                <w:rFonts w:ascii="Calibri" w:eastAsia="Calibri" w:hAnsi="Calibri" w:cs="Calibri"/>
                <w:iCs w:val="0"/>
              </w:rPr>
              <w:t>IEA</w:t>
            </w:r>
          </w:p>
        </w:tc>
        <w:tc>
          <w:tcPr>
            <w:tcW w:w="6882" w:type="dxa"/>
          </w:tcPr>
          <w:p w14:paraId="7A538C1C" w14:textId="1D2FC6C9" w:rsidR="00F352E6" w:rsidRPr="00C66C24" w:rsidRDefault="00F352E6" w:rsidP="008C6A9C">
            <w:pPr>
              <w:spacing w:line="257" w:lineRule="auto"/>
              <w:rPr>
                <w:rFonts w:ascii="Calibri" w:eastAsia="Calibri" w:hAnsi="Calibri" w:cs="Calibri"/>
                <w:iCs w:val="0"/>
              </w:rPr>
            </w:pPr>
            <w:r w:rsidRPr="00C66C24">
              <w:rPr>
                <w:rFonts w:ascii="Calibri" w:eastAsia="Calibri" w:hAnsi="Calibri" w:cs="Calibri"/>
                <w:iCs w:val="0"/>
              </w:rPr>
              <w:t>International Energy Agency</w:t>
            </w:r>
          </w:p>
        </w:tc>
      </w:tr>
      <w:tr w:rsidR="00F54776" w:rsidRPr="00C66C24" w14:paraId="4D5D1AFF" w14:textId="77777777" w:rsidTr="005C3405">
        <w:trPr>
          <w:trHeight w:val="300"/>
        </w:trPr>
        <w:tc>
          <w:tcPr>
            <w:tcW w:w="1838" w:type="dxa"/>
          </w:tcPr>
          <w:p w14:paraId="65FFCD60" w14:textId="168B474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IHM</w:t>
            </w:r>
          </w:p>
        </w:tc>
        <w:tc>
          <w:tcPr>
            <w:tcW w:w="6882" w:type="dxa"/>
          </w:tcPr>
          <w:p w14:paraId="61AA547B" w14:textId="1F0EEBC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Inventory of hazardous materials</w:t>
            </w:r>
          </w:p>
        </w:tc>
      </w:tr>
      <w:tr w:rsidR="00F54776" w:rsidRPr="00C66C24" w14:paraId="2E03CCBF" w14:textId="77777777" w:rsidTr="005C3405">
        <w:trPr>
          <w:trHeight w:val="300"/>
        </w:trPr>
        <w:tc>
          <w:tcPr>
            <w:tcW w:w="1838" w:type="dxa"/>
          </w:tcPr>
          <w:p w14:paraId="64E93D57" w14:textId="07380259"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IMO</w:t>
            </w:r>
          </w:p>
        </w:tc>
        <w:tc>
          <w:tcPr>
            <w:tcW w:w="6882" w:type="dxa"/>
          </w:tcPr>
          <w:p w14:paraId="04BF5F50" w14:textId="5422AD6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International Maritime Organization</w:t>
            </w:r>
          </w:p>
        </w:tc>
      </w:tr>
      <w:tr w:rsidR="00F54776" w:rsidRPr="00C66C24" w14:paraId="1CDED992" w14:textId="77777777" w:rsidTr="005C3405">
        <w:trPr>
          <w:trHeight w:val="300"/>
        </w:trPr>
        <w:tc>
          <w:tcPr>
            <w:tcW w:w="1838" w:type="dxa"/>
          </w:tcPr>
          <w:p w14:paraId="6AC29D0D" w14:textId="77F65C9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IOPP</w:t>
            </w:r>
          </w:p>
        </w:tc>
        <w:tc>
          <w:tcPr>
            <w:tcW w:w="6882" w:type="dxa"/>
          </w:tcPr>
          <w:p w14:paraId="4D5D013C" w14:textId="251D68A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International Oil Pollution Prevention (Certificate)</w:t>
            </w:r>
          </w:p>
        </w:tc>
      </w:tr>
      <w:tr w:rsidR="00F54776" w:rsidRPr="00C66C24" w14:paraId="6D7CD713" w14:textId="77777777" w:rsidTr="005C3405">
        <w:trPr>
          <w:trHeight w:val="300"/>
        </w:trPr>
        <w:tc>
          <w:tcPr>
            <w:tcW w:w="1838" w:type="dxa"/>
          </w:tcPr>
          <w:p w14:paraId="4BBFC099" w14:textId="51CFCC6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IT</w:t>
            </w:r>
          </w:p>
        </w:tc>
        <w:tc>
          <w:tcPr>
            <w:tcW w:w="6882" w:type="dxa"/>
          </w:tcPr>
          <w:p w14:paraId="0BEAB0D3" w14:textId="6ED5904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Information Technology</w:t>
            </w:r>
          </w:p>
        </w:tc>
      </w:tr>
      <w:tr w:rsidR="00F54776" w:rsidRPr="00C66C24" w14:paraId="393D63B0" w14:textId="77777777" w:rsidTr="005C3405">
        <w:trPr>
          <w:trHeight w:val="300"/>
        </w:trPr>
        <w:tc>
          <w:tcPr>
            <w:tcW w:w="1838" w:type="dxa"/>
          </w:tcPr>
          <w:p w14:paraId="779B79F7" w14:textId="6256FE9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kW</w:t>
            </w:r>
          </w:p>
        </w:tc>
        <w:tc>
          <w:tcPr>
            <w:tcW w:w="6882" w:type="dxa"/>
          </w:tcPr>
          <w:p w14:paraId="31710FA1" w14:textId="768F459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Kilowatt</w:t>
            </w:r>
          </w:p>
        </w:tc>
      </w:tr>
      <w:tr w:rsidR="00F54776" w:rsidRPr="00C66C24" w14:paraId="5DD97507" w14:textId="77777777" w:rsidTr="005C3405">
        <w:trPr>
          <w:trHeight w:val="300"/>
        </w:trPr>
        <w:tc>
          <w:tcPr>
            <w:tcW w:w="1838" w:type="dxa"/>
          </w:tcPr>
          <w:p w14:paraId="6EC38BC7" w14:textId="28574C1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LCA</w:t>
            </w:r>
          </w:p>
        </w:tc>
        <w:tc>
          <w:tcPr>
            <w:tcW w:w="6882" w:type="dxa"/>
          </w:tcPr>
          <w:p w14:paraId="5EFE4009" w14:textId="60749A2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Life cycle analysis</w:t>
            </w:r>
          </w:p>
        </w:tc>
      </w:tr>
      <w:tr w:rsidR="00F54776" w:rsidRPr="00C66C24" w14:paraId="3327EE3B" w14:textId="77777777" w:rsidTr="005C3405">
        <w:trPr>
          <w:trHeight w:val="300"/>
        </w:trPr>
        <w:tc>
          <w:tcPr>
            <w:tcW w:w="1838" w:type="dxa"/>
          </w:tcPr>
          <w:p w14:paraId="053DCAB6" w14:textId="022D922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LNG</w:t>
            </w:r>
          </w:p>
        </w:tc>
        <w:tc>
          <w:tcPr>
            <w:tcW w:w="6882" w:type="dxa"/>
          </w:tcPr>
          <w:p w14:paraId="26A75808" w14:textId="38B70D9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Liquified natural gas</w:t>
            </w:r>
          </w:p>
        </w:tc>
      </w:tr>
      <w:tr w:rsidR="00F54776" w:rsidRPr="00C66C24" w14:paraId="5A6F7AC1" w14:textId="77777777" w:rsidTr="005C3405">
        <w:trPr>
          <w:trHeight w:val="300"/>
        </w:trPr>
        <w:tc>
          <w:tcPr>
            <w:tcW w:w="1838" w:type="dxa"/>
          </w:tcPr>
          <w:p w14:paraId="77D4B2E2" w14:textId="355012E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LRTAP</w:t>
            </w:r>
          </w:p>
        </w:tc>
        <w:tc>
          <w:tcPr>
            <w:tcW w:w="6882" w:type="dxa"/>
          </w:tcPr>
          <w:p w14:paraId="35DF8263" w14:textId="72E778E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Long-Range Transboundary Air Pollution</w:t>
            </w:r>
          </w:p>
        </w:tc>
      </w:tr>
      <w:tr w:rsidR="00F54776" w:rsidRPr="00C66C24" w14:paraId="6D5A1163" w14:textId="77777777" w:rsidTr="005C3405">
        <w:trPr>
          <w:trHeight w:val="300"/>
        </w:trPr>
        <w:tc>
          <w:tcPr>
            <w:tcW w:w="1838" w:type="dxa"/>
          </w:tcPr>
          <w:p w14:paraId="41318EB8" w14:textId="000F532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MARPOL</w:t>
            </w:r>
          </w:p>
        </w:tc>
        <w:tc>
          <w:tcPr>
            <w:tcW w:w="6882" w:type="dxa"/>
          </w:tcPr>
          <w:p w14:paraId="6BE10241" w14:textId="0B212BB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International Convention for the Prevention of Pollution from Ships</w:t>
            </w:r>
          </w:p>
        </w:tc>
      </w:tr>
      <w:tr w:rsidR="00F54776" w:rsidRPr="00C66C24" w14:paraId="4325393D" w14:textId="77777777" w:rsidTr="005C3405">
        <w:trPr>
          <w:trHeight w:val="300"/>
        </w:trPr>
        <w:tc>
          <w:tcPr>
            <w:tcW w:w="1838" w:type="dxa"/>
          </w:tcPr>
          <w:p w14:paraId="3805D764" w14:textId="388BD06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MDO</w:t>
            </w:r>
          </w:p>
        </w:tc>
        <w:tc>
          <w:tcPr>
            <w:tcW w:w="6882" w:type="dxa"/>
          </w:tcPr>
          <w:p w14:paraId="4B01A2EA" w14:textId="02AB7AE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Marine diesel oil</w:t>
            </w:r>
          </w:p>
        </w:tc>
      </w:tr>
      <w:tr w:rsidR="00F54776" w:rsidRPr="00C66C24" w14:paraId="1FE9952C" w14:textId="77777777" w:rsidTr="005C3405">
        <w:trPr>
          <w:trHeight w:val="300"/>
        </w:trPr>
        <w:tc>
          <w:tcPr>
            <w:tcW w:w="1838" w:type="dxa"/>
          </w:tcPr>
          <w:p w14:paraId="4AF75B11" w14:textId="71440A0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MED</w:t>
            </w:r>
          </w:p>
        </w:tc>
        <w:tc>
          <w:tcPr>
            <w:tcW w:w="6882" w:type="dxa"/>
          </w:tcPr>
          <w:p w14:paraId="517DC46A" w14:textId="3568ECC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Mediterranean Sea</w:t>
            </w:r>
          </w:p>
        </w:tc>
      </w:tr>
      <w:tr w:rsidR="00F54776" w:rsidRPr="00C66C24" w14:paraId="4254BC16" w14:textId="77777777" w:rsidTr="005C3405">
        <w:trPr>
          <w:trHeight w:val="300"/>
        </w:trPr>
        <w:tc>
          <w:tcPr>
            <w:tcW w:w="1838" w:type="dxa"/>
          </w:tcPr>
          <w:p w14:paraId="144F5A78" w14:textId="7FB9825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MEPC</w:t>
            </w:r>
          </w:p>
        </w:tc>
        <w:tc>
          <w:tcPr>
            <w:tcW w:w="6882" w:type="dxa"/>
          </w:tcPr>
          <w:p w14:paraId="2B5600C5" w14:textId="0BAFC98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Marine Environment Protection Committee</w:t>
            </w:r>
          </w:p>
        </w:tc>
      </w:tr>
      <w:tr w:rsidR="00F54776" w:rsidRPr="00C66C24" w14:paraId="4BBD1ECD" w14:textId="77777777" w:rsidTr="005C3405">
        <w:trPr>
          <w:trHeight w:val="300"/>
        </w:trPr>
        <w:tc>
          <w:tcPr>
            <w:tcW w:w="1838" w:type="dxa"/>
          </w:tcPr>
          <w:p w14:paraId="78C09029" w14:textId="5C02795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MGO</w:t>
            </w:r>
          </w:p>
        </w:tc>
        <w:tc>
          <w:tcPr>
            <w:tcW w:w="6882" w:type="dxa"/>
          </w:tcPr>
          <w:p w14:paraId="11FF0ECD" w14:textId="16C06EE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Marine gas oil</w:t>
            </w:r>
          </w:p>
        </w:tc>
      </w:tr>
      <w:tr w:rsidR="00F54776" w:rsidRPr="00C66C24" w14:paraId="030B81D7" w14:textId="77777777" w:rsidTr="005C3405">
        <w:trPr>
          <w:trHeight w:val="300"/>
        </w:trPr>
        <w:tc>
          <w:tcPr>
            <w:tcW w:w="1838" w:type="dxa"/>
          </w:tcPr>
          <w:p w14:paraId="571F12BF" w14:textId="57DA62B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MJ</w:t>
            </w:r>
          </w:p>
        </w:tc>
        <w:tc>
          <w:tcPr>
            <w:tcW w:w="6882" w:type="dxa"/>
          </w:tcPr>
          <w:p w14:paraId="084D9F9E" w14:textId="21118EE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Megajoule</w:t>
            </w:r>
          </w:p>
        </w:tc>
      </w:tr>
      <w:tr w:rsidR="00F54776" w:rsidRPr="00C66C24" w14:paraId="2E240571" w14:textId="77777777" w:rsidTr="005C3405">
        <w:trPr>
          <w:trHeight w:val="300"/>
        </w:trPr>
        <w:tc>
          <w:tcPr>
            <w:tcW w:w="1838" w:type="dxa"/>
          </w:tcPr>
          <w:p w14:paraId="2E006541" w14:textId="4E162BE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MMMCZCS</w:t>
            </w:r>
          </w:p>
        </w:tc>
        <w:tc>
          <w:tcPr>
            <w:tcW w:w="6882" w:type="dxa"/>
          </w:tcPr>
          <w:p w14:paraId="7DA35D2F" w14:textId="6EB4153F" w:rsidR="00F54776" w:rsidRPr="00C66C24" w:rsidRDefault="00F54776" w:rsidP="008C6A9C">
            <w:pPr>
              <w:spacing w:line="257" w:lineRule="auto"/>
              <w:rPr>
                <w:rFonts w:ascii="Calibri" w:eastAsia="Calibri" w:hAnsi="Calibri" w:cs="Calibri"/>
                <w:iCs w:val="0"/>
              </w:rPr>
            </w:pPr>
            <w:proofErr w:type="spellStart"/>
            <w:r w:rsidRPr="00C66C24">
              <w:rPr>
                <w:rFonts w:ascii="Calibri" w:eastAsia="Calibri" w:hAnsi="Calibri" w:cs="Calibri"/>
                <w:iCs w:val="0"/>
              </w:rPr>
              <w:t>Mærsk</w:t>
            </w:r>
            <w:proofErr w:type="spellEnd"/>
            <w:r w:rsidRPr="00C66C24">
              <w:rPr>
                <w:rFonts w:ascii="Calibri" w:eastAsia="Calibri" w:hAnsi="Calibri" w:cs="Calibri"/>
                <w:iCs w:val="0"/>
              </w:rPr>
              <w:t xml:space="preserve"> </w:t>
            </w:r>
            <w:proofErr w:type="gramStart"/>
            <w:r w:rsidRPr="00C66C24">
              <w:rPr>
                <w:rFonts w:ascii="Calibri" w:eastAsia="Calibri" w:hAnsi="Calibri" w:cs="Calibri"/>
                <w:iCs w:val="0"/>
              </w:rPr>
              <w:t>Mc-Kinney</w:t>
            </w:r>
            <w:proofErr w:type="gramEnd"/>
            <w:r w:rsidRPr="00C66C24">
              <w:rPr>
                <w:rFonts w:ascii="Calibri" w:eastAsia="Calibri" w:hAnsi="Calibri" w:cs="Calibri"/>
                <w:iCs w:val="0"/>
              </w:rPr>
              <w:t xml:space="preserve"> </w:t>
            </w:r>
            <w:proofErr w:type="spellStart"/>
            <w:r w:rsidRPr="00C66C24">
              <w:rPr>
                <w:rFonts w:ascii="Calibri" w:eastAsia="Calibri" w:hAnsi="Calibri" w:cs="Calibri"/>
                <w:iCs w:val="0"/>
              </w:rPr>
              <w:t>Møller</w:t>
            </w:r>
            <w:proofErr w:type="spellEnd"/>
            <w:r w:rsidRPr="00C66C24">
              <w:rPr>
                <w:rFonts w:ascii="Calibri" w:eastAsia="Calibri" w:hAnsi="Calibri" w:cs="Calibri"/>
                <w:iCs w:val="0"/>
              </w:rPr>
              <w:t xml:space="preserve"> </w:t>
            </w:r>
            <w:proofErr w:type="spellStart"/>
            <w:r w:rsidRPr="00C66C24">
              <w:rPr>
                <w:rFonts w:ascii="Calibri" w:eastAsia="Calibri" w:hAnsi="Calibri" w:cs="Calibri"/>
                <w:iCs w:val="0"/>
              </w:rPr>
              <w:t>Center</w:t>
            </w:r>
            <w:proofErr w:type="spellEnd"/>
            <w:r w:rsidRPr="00C66C24">
              <w:rPr>
                <w:rFonts w:ascii="Calibri" w:eastAsia="Calibri" w:hAnsi="Calibri" w:cs="Calibri"/>
                <w:iCs w:val="0"/>
              </w:rPr>
              <w:t xml:space="preserve"> for Zero Carbon Shipping</w:t>
            </w:r>
          </w:p>
        </w:tc>
      </w:tr>
      <w:tr w:rsidR="00F54776" w:rsidRPr="00C66C24" w14:paraId="1BC849F3" w14:textId="77777777" w:rsidTr="005C3405">
        <w:trPr>
          <w:trHeight w:val="300"/>
        </w:trPr>
        <w:tc>
          <w:tcPr>
            <w:tcW w:w="1838" w:type="dxa"/>
          </w:tcPr>
          <w:p w14:paraId="539EA84C" w14:textId="33FDE79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MRV</w:t>
            </w:r>
          </w:p>
        </w:tc>
        <w:tc>
          <w:tcPr>
            <w:tcW w:w="6882" w:type="dxa"/>
          </w:tcPr>
          <w:p w14:paraId="127F1F44" w14:textId="4140931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Monitoring, Reporting and Verification (Regulation)</w:t>
            </w:r>
          </w:p>
        </w:tc>
      </w:tr>
      <w:tr w:rsidR="00F54776" w:rsidRPr="00C66C24" w14:paraId="462E288B" w14:textId="77777777" w:rsidTr="005C3405">
        <w:trPr>
          <w:trHeight w:val="300"/>
        </w:trPr>
        <w:tc>
          <w:tcPr>
            <w:tcW w:w="1838" w:type="dxa"/>
          </w:tcPr>
          <w:p w14:paraId="275E0A76" w14:textId="7C0413F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MS</w:t>
            </w:r>
          </w:p>
        </w:tc>
        <w:tc>
          <w:tcPr>
            <w:tcW w:w="6882" w:type="dxa"/>
          </w:tcPr>
          <w:p w14:paraId="29EF7D0C" w14:textId="1F35DCE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Member States</w:t>
            </w:r>
          </w:p>
        </w:tc>
      </w:tr>
      <w:tr w:rsidR="005055CE" w:rsidRPr="00C66C24" w14:paraId="08BFAE29" w14:textId="77777777" w:rsidTr="005C3405">
        <w:trPr>
          <w:trHeight w:val="300"/>
        </w:trPr>
        <w:tc>
          <w:tcPr>
            <w:tcW w:w="1838" w:type="dxa"/>
          </w:tcPr>
          <w:p w14:paraId="1612632A" w14:textId="3C6A18F3" w:rsidR="005055CE" w:rsidRPr="00C66C24" w:rsidRDefault="005055CE" w:rsidP="008C6A9C">
            <w:pPr>
              <w:spacing w:line="257" w:lineRule="auto"/>
              <w:rPr>
                <w:rFonts w:ascii="Calibri" w:eastAsia="Calibri" w:hAnsi="Calibri" w:cs="Calibri"/>
                <w:iCs w:val="0"/>
              </w:rPr>
            </w:pPr>
            <w:r w:rsidRPr="00C66C24">
              <w:rPr>
                <w:rFonts w:ascii="Calibri" w:eastAsia="Calibri" w:hAnsi="Calibri" w:cs="Calibri"/>
                <w:iCs w:val="0"/>
              </w:rPr>
              <w:t>MSR</w:t>
            </w:r>
          </w:p>
        </w:tc>
        <w:tc>
          <w:tcPr>
            <w:tcW w:w="6882" w:type="dxa"/>
          </w:tcPr>
          <w:p w14:paraId="5A72FF79" w14:textId="49C7317A" w:rsidR="005055CE" w:rsidRPr="00C66C24" w:rsidRDefault="005055CE" w:rsidP="008C6A9C">
            <w:pPr>
              <w:spacing w:line="257" w:lineRule="auto"/>
              <w:rPr>
                <w:rFonts w:ascii="Calibri" w:eastAsia="Calibri" w:hAnsi="Calibri" w:cs="Calibri"/>
                <w:iCs w:val="0"/>
              </w:rPr>
            </w:pPr>
            <w:r w:rsidRPr="00C66C24">
              <w:rPr>
                <w:rFonts w:ascii="Calibri" w:eastAsia="Calibri" w:hAnsi="Calibri" w:cs="Calibri"/>
                <w:iCs w:val="0"/>
              </w:rPr>
              <w:t>Molten Salt Reactor</w:t>
            </w:r>
          </w:p>
        </w:tc>
      </w:tr>
      <w:tr w:rsidR="00F54776" w:rsidRPr="00C66C24" w14:paraId="24C4DD70" w14:textId="77777777" w:rsidTr="005C3405">
        <w:trPr>
          <w:trHeight w:val="300"/>
        </w:trPr>
        <w:tc>
          <w:tcPr>
            <w:tcW w:w="1838" w:type="dxa"/>
          </w:tcPr>
          <w:p w14:paraId="0633AA5E" w14:textId="29F7407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MSFD</w:t>
            </w:r>
          </w:p>
        </w:tc>
        <w:tc>
          <w:tcPr>
            <w:tcW w:w="6882" w:type="dxa"/>
          </w:tcPr>
          <w:p w14:paraId="043B8D8B" w14:textId="29EFF95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Marine Strategy Framework Directive</w:t>
            </w:r>
          </w:p>
        </w:tc>
      </w:tr>
      <w:tr w:rsidR="00F54776" w:rsidRPr="00C66C24" w14:paraId="2744DB9C" w14:textId="77777777" w:rsidTr="005C3405">
        <w:trPr>
          <w:trHeight w:val="300"/>
        </w:trPr>
        <w:tc>
          <w:tcPr>
            <w:tcW w:w="1838" w:type="dxa"/>
          </w:tcPr>
          <w:p w14:paraId="5F6E3A17" w14:textId="39786FF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MSPD</w:t>
            </w:r>
          </w:p>
        </w:tc>
        <w:tc>
          <w:tcPr>
            <w:tcW w:w="6882" w:type="dxa"/>
          </w:tcPr>
          <w:p w14:paraId="21883440" w14:textId="5FC7742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Marine Spatial Planning Directive</w:t>
            </w:r>
          </w:p>
        </w:tc>
      </w:tr>
      <w:tr w:rsidR="00F54776" w:rsidRPr="00C66C24" w14:paraId="342988A8" w14:textId="77777777" w:rsidTr="005C3405">
        <w:trPr>
          <w:trHeight w:val="300"/>
        </w:trPr>
        <w:tc>
          <w:tcPr>
            <w:tcW w:w="1838" w:type="dxa"/>
          </w:tcPr>
          <w:p w14:paraId="02D7373F" w14:textId="64EC2DE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w:t>
            </w:r>
            <w:r w:rsidRPr="00C66C24">
              <w:rPr>
                <w:rFonts w:ascii="Calibri" w:eastAsia="Calibri" w:hAnsi="Calibri" w:cs="Calibri"/>
                <w:iCs w:val="0"/>
                <w:vertAlign w:val="subscript"/>
              </w:rPr>
              <w:t>2</w:t>
            </w:r>
            <w:r w:rsidRPr="00C66C24">
              <w:rPr>
                <w:rFonts w:ascii="Calibri" w:eastAsia="Calibri" w:hAnsi="Calibri" w:cs="Calibri"/>
                <w:iCs w:val="0"/>
              </w:rPr>
              <w:t>O</w:t>
            </w:r>
          </w:p>
        </w:tc>
        <w:tc>
          <w:tcPr>
            <w:tcW w:w="6882" w:type="dxa"/>
          </w:tcPr>
          <w:p w14:paraId="24189D55" w14:textId="56D4EA8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Nitrous oxide</w:t>
            </w:r>
          </w:p>
        </w:tc>
      </w:tr>
      <w:tr w:rsidR="00F54776" w:rsidRPr="00C66C24" w14:paraId="5D6E3AFC" w14:textId="77777777" w:rsidTr="005C3405">
        <w:trPr>
          <w:trHeight w:val="300"/>
        </w:trPr>
        <w:tc>
          <w:tcPr>
            <w:tcW w:w="1838" w:type="dxa"/>
          </w:tcPr>
          <w:p w14:paraId="79DAF93F" w14:textId="266D7B1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NEC</w:t>
            </w:r>
          </w:p>
        </w:tc>
        <w:tc>
          <w:tcPr>
            <w:tcW w:w="6882" w:type="dxa"/>
          </w:tcPr>
          <w:p w14:paraId="08A0F220" w14:textId="155DDDC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National Emission Reduction Commitments (Directive)</w:t>
            </w:r>
          </w:p>
        </w:tc>
      </w:tr>
      <w:tr w:rsidR="00F54776" w:rsidRPr="00C66C24" w14:paraId="3AF98177" w14:textId="77777777" w:rsidTr="005C3405">
        <w:trPr>
          <w:trHeight w:val="300"/>
        </w:trPr>
        <w:tc>
          <w:tcPr>
            <w:tcW w:w="1838" w:type="dxa"/>
          </w:tcPr>
          <w:p w14:paraId="5D88D06B" w14:textId="4FF4E05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NECA</w:t>
            </w:r>
          </w:p>
        </w:tc>
        <w:tc>
          <w:tcPr>
            <w:tcW w:w="6882" w:type="dxa"/>
          </w:tcPr>
          <w:p w14:paraId="34E4F4A1" w14:textId="5CD4FF8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Nitrogen oxides Emission Control Area</w:t>
            </w:r>
          </w:p>
        </w:tc>
      </w:tr>
      <w:tr w:rsidR="00F54776" w:rsidRPr="00C66C24" w14:paraId="1A6FFBD6" w14:textId="77777777" w:rsidTr="005C3405">
        <w:trPr>
          <w:trHeight w:val="300"/>
        </w:trPr>
        <w:tc>
          <w:tcPr>
            <w:tcW w:w="1838" w:type="dxa"/>
          </w:tcPr>
          <w:p w14:paraId="4E83F2AA" w14:textId="2196B73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NH</w:t>
            </w:r>
            <w:r w:rsidRPr="00C66C24">
              <w:rPr>
                <w:rFonts w:ascii="Calibri" w:eastAsia="Calibri" w:hAnsi="Calibri" w:cs="Calibri"/>
                <w:iCs w:val="0"/>
                <w:vertAlign w:val="subscript"/>
              </w:rPr>
              <w:t>3</w:t>
            </w:r>
          </w:p>
        </w:tc>
        <w:tc>
          <w:tcPr>
            <w:tcW w:w="6882" w:type="dxa"/>
          </w:tcPr>
          <w:p w14:paraId="4635D2E1" w14:textId="4965FA3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Ammonia</w:t>
            </w:r>
          </w:p>
        </w:tc>
      </w:tr>
      <w:tr w:rsidR="00F54776" w:rsidRPr="00C66C24" w14:paraId="1B0D19B8" w14:textId="77777777" w:rsidTr="005C3405">
        <w:trPr>
          <w:trHeight w:val="300"/>
        </w:trPr>
        <w:tc>
          <w:tcPr>
            <w:tcW w:w="1838" w:type="dxa"/>
          </w:tcPr>
          <w:p w14:paraId="42EEA730" w14:textId="62C2B31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NIS</w:t>
            </w:r>
          </w:p>
        </w:tc>
        <w:tc>
          <w:tcPr>
            <w:tcW w:w="6882" w:type="dxa"/>
          </w:tcPr>
          <w:p w14:paraId="02EAB8E3" w14:textId="248D0E1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Non-indigenous species</w:t>
            </w:r>
          </w:p>
        </w:tc>
      </w:tr>
      <w:tr w:rsidR="00A307D9" w:rsidRPr="00C66C24" w14:paraId="334F924D" w14:textId="77777777" w:rsidTr="005C3405">
        <w:trPr>
          <w:trHeight w:val="300"/>
        </w:trPr>
        <w:tc>
          <w:tcPr>
            <w:tcW w:w="1838" w:type="dxa"/>
          </w:tcPr>
          <w:p w14:paraId="7E54A145" w14:textId="488E466E" w:rsidR="00A307D9" w:rsidRPr="00C66C24" w:rsidRDefault="009A566C" w:rsidP="008C6A9C">
            <w:pPr>
              <w:spacing w:line="257" w:lineRule="auto"/>
              <w:rPr>
                <w:rFonts w:ascii="Calibri" w:eastAsia="Calibri" w:hAnsi="Calibri" w:cs="Calibri"/>
                <w:iCs w:val="0"/>
              </w:rPr>
            </w:pPr>
            <w:r w:rsidRPr="00C66C24">
              <w:rPr>
                <w:rFonts w:ascii="Calibri" w:eastAsia="Calibri" w:hAnsi="Calibri" w:cs="Calibri"/>
                <w:iCs w:val="0"/>
              </w:rPr>
              <w:t>NM</w:t>
            </w:r>
          </w:p>
        </w:tc>
        <w:tc>
          <w:tcPr>
            <w:tcW w:w="6882" w:type="dxa"/>
          </w:tcPr>
          <w:p w14:paraId="0FBBD10D" w14:textId="292F7EFB" w:rsidR="00A307D9" w:rsidRPr="00C66C24" w:rsidRDefault="009A566C" w:rsidP="008C6A9C">
            <w:pPr>
              <w:spacing w:line="257" w:lineRule="auto"/>
              <w:rPr>
                <w:rFonts w:ascii="Calibri" w:eastAsia="Calibri" w:hAnsi="Calibri" w:cs="Calibri"/>
              </w:rPr>
            </w:pPr>
            <w:r w:rsidRPr="00C66C24">
              <w:rPr>
                <w:rFonts w:ascii="Calibri" w:eastAsia="Calibri" w:hAnsi="Calibri" w:cs="Calibri"/>
              </w:rPr>
              <w:t>Nautical mile</w:t>
            </w:r>
          </w:p>
        </w:tc>
      </w:tr>
      <w:tr w:rsidR="00F54776" w:rsidRPr="0089042B" w14:paraId="6BB7806C" w14:textId="77777777" w:rsidTr="005C3405">
        <w:trPr>
          <w:trHeight w:val="300"/>
        </w:trPr>
        <w:tc>
          <w:tcPr>
            <w:tcW w:w="1838" w:type="dxa"/>
          </w:tcPr>
          <w:p w14:paraId="5B4D1726" w14:textId="66F0318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NMVOCs</w:t>
            </w:r>
          </w:p>
        </w:tc>
        <w:tc>
          <w:tcPr>
            <w:tcW w:w="6882" w:type="dxa"/>
          </w:tcPr>
          <w:p w14:paraId="05CF50BD" w14:textId="7AC8E395" w:rsidR="00F54776" w:rsidRPr="00A239F6" w:rsidRDefault="00F54776" w:rsidP="008C6A9C">
            <w:pPr>
              <w:spacing w:line="257" w:lineRule="auto"/>
              <w:rPr>
                <w:rFonts w:ascii="Calibri" w:hAnsi="Calibri"/>
              </w:rPr>
            </w:pPr>
            <w:r w:rsidRPr="00A239F6">
              <w:rPr>
                <w:rFonts w:ascii="Calibri" w:hAnsi="Calibri"/>
              </w:rPr>
              <w:t>Non-methane volatile organic compound</w:t>
            </w:r>
          </w:p>
        </w:tc>
      </w:tr>
      <w:tr w:rsidR="00F54776" w:rsidRPr="00C66C24" w14:paraId="2B67EA5A" w14:textId="77777777" w:rsidTr="005C3405">
        <w:trPr>
          <w:trHeight w:val="300"/>
        </w:trPr>
        <w:tc>
          <w:tcPr>
            <w:tcW w:w="1838" w:type="dxa"/>
          </w:tcPr>
          <w:p w14:paraId="323F6A39" w14:textId="42D6331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NOx</w:t>
            </w:r>
          </w:p>
        </w:tc>
        <w:tc>
          <w:tcPr>
            <w:tcW w:w="6882" w:type="dxa"/>
          </w:tcPr>
          <w:p w14:paraId="0BFE053F" w14:textId="554568D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Nitrogen oxides</w:t>
            </w:r>
          </w:p>
        </w:tc>
      </w:tr>
      <w:tr w:rsidR="00F54776" w:rsidRPr="00C66C24" w14:paraId="769B2E7D" w14:textId="77777777" w:rsidTr="005C3405">
        <w:trPr>
          <w:trHeight w:val="300"/>
        </w:trPr>
        <w:tc>
          <w:tcPr>
            <w:tcW w:w="1838" w:type="dxa"/>
          </w:tcPr>
          <w:p w14:paraId="1F5593A9" w14:textId="7A76F4A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NSN</w:t>
            </w:r>
          </w:p>
        </w:tc>
        <w:tc>
          <w:tcPr>
            <w:tcW w:w="6882" w:type="dxa"/>
          </w:tcPr>
          <w:p w14:paraId="33CAC3AC" w14:textId="4142106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North Sea Network of Investigators and Prosecutors</w:t>
            </w:r>
          </w:p>
        </w:tc>
      </w:tr>
      <w:tr w:rsidR="00F54776" w:rsidRPr="00C66C24" w14:paraId="70E85F5F" w14:textId="77777777" w:rsidTr="005C3405">
        <w:trPr>
          <w:trHeight w:val="300"/>
        </w:trPr>
        <w:tc>
          <w:tcPr>
            <w:tcW w:w="1838" w:type="dxa"/>
          </w:tcPr>
          <w:p w14:paraId="0D04EB54" w14:textId="6112E72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ODS</w:t>
            </w:r>
          </w:p>
        </w:tc>
        <w:tc>
          <w:tcPr>
            <w:tcW w:w="6882" w:type="dxa"/>
          </w:tcPr>
          <w:p w14:paraId="47CAE6C0" w14:textId="4F3F1DF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Ozone depleting substances</w:t>
            </w:r>
          </w:p>
        </w:tc>
      </w:tr>
      <w:tr w:rsidR="00F54776" w:rsidRPr="00C66C24" w14:paraId="3893AE7A" w14:textId="77777777" w:rsidTr="005C3405">
        <w:trPr>
          <w:trHeight w:val="300"/>
        </w:trPr>
        <w:tc>
          <w:tcPr>
            <w:tcW w:w="1838" w:type="dxa"/>
          </w:tcPr>
          <w:p w14:paraId="27287F19" w14:textId="22D712F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OECD</w:t>
            </w:r>
          </w:p>
        </w:tc>
        <w:tc>
          <w:tcPr>
            <w:tcW w:w="6882" w:type="dxa"/>
          </w:tcPr>
          <w:p w14:paraId="32086113" w14:textId="7585645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 xml:space="preserve">Organization for Economic Cooperation and Development </w:t>
            </w:r>
          </w:p>
        </w:tc>
      </w:tr>
      <w:tr w:rsidR="00F54776" w:rsidRPr="00C66C24" w14:paraId="67A259C2" w14:textId="77777777" w:rsidTr="005C3405">
        <w:trPr>
          <w:trHeight w:val="300"/>
        </w:trPr>
        <w:tc>
          <w:tcPr>
            <w:tcW w:w="1838" w:type="dxa"/>
          </w:tcPr>
          <w:p w14:paraId="06C4EF38" w14:textId="60D1FF5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OPS</w:t>
            </w:r>
          </w:p>
        </w:tc>
        <w:tc>
          <w:tcPr>
            <w:tcW w:w="6882" w:type="dxa"/>
          </w:tcPr>
          <w:p w14:paraId="16F865C3" w14:textId="736DDF3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Onshore power supply</w:t>
            </w:r>
          </w:p>
        </w:tc>
      </w:tr>
      <w:tr w:rsidR="00F54776" w:rsidRPr="00C66C24" w14:paraId="6203A393" w14:textId="77777777" w:rsidTr="005C3405">
        <w:trPr>
          <w:trHeight w:val="300"/>
        </w:trPr>
        <w:tc>
          <w:tcPr>
            <w:tcW w:w="1838" w:type="dxa"/>
          </w:tcPr>
          <w:p w14:paraId="447AA952" w14:textId="7A0EB05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PAH</w:t>
            </w:r>
          </w:p>
        </w:tc>
        <w:tc>
          <w:tcPr>
            <w:tcW w:w="6882" w:type="dxa"/>
          </w:tcPr>
          <w:p w14:paraId="4B425950" w14:textId="0251A22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Polycyclic aromatic hydrocarbon</w:t>
            </w:r>
          </w:p>
        </w:tc>
      </w:tr>
      <w:tr w:rsidR="00F54776" w:rsidRPr="00C66C24" w14:paraId="649536F0" w14:textId="77777777" w:rsidTr="005C3405">
        <w:trPr>
          <w:trHeight w:val="300"/>
        </w:trPr>
        <w:tc>
          <w:tcPr>
            <w:tcW w:w="1838" w:type="dxa"/>
          </w:tcPr>
          <w:p w14:paraId="5A29D028" w14:textId="058B12B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PCBs</w:t>
            </w:r>
          </w:p>
        </w:tc>
        <w:tc>
          <w:tcPr>
            <w:tcW w:w="6882" w:type="dxa"/>
          </w:tcPr>
          <w:p w14:paraId="1E34F4C3" w14:textId="65C3BB2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Polychlorinated biphenyls</w:t>
            </w:r>
          </w:p>
        </w:tc>
      </w:tr>
      <w:tr w:rsidR="00F54776" w:rsidRPr="00C66C24" w14:paraId="4F5F948D" w14:textId="77777777" w:rsidTr="005C3405">
        <w:trPr>
          <w:trHeight w:val="300"/>
        </w:trPr>
        <w:tc>
          <w:tcPr>
            <w:tcW w:w="1838" w:type="dxa"/>
          </w:tcPr>
          <w:p w14:paraId="3E505E28" w14:textId="04EE2E8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PFOS</w:t>
            </w:r>
          </w:p>
        </w:tc>
        <w:tc>
          <w:tcPr>
            <w:tcW w:w="6882" w:type="dxa"/>
          </w:tcPr>
          <w:p w14:paraId="1F5AA765" w14:textId="5101AF36" w:rsidR="00F54776" w:rsidRPr="00C66C24" w:rsidRDefault="00F54776" w:rsidP="008C6A9C">
            <w:pPr>
              <w:spacing w:line="257" w:lineRule="auto"/>
              <w:rPr>
                <w:rFonts w:ascii="Calibri" w:eastAsia="Calibri" w:hAnsi="Calibri" w:cs="Calibri"/>
                <w:iCs w:val="0"/>
              </w:rPr>
            </w:pPr>
            <w:proofErr w:type="spellStart"/>
            <w:r w:rsidRPr="00C66C24">
              <w:rPr>
                <w:rFonts w:ascii="Calibri" w:eastAsia="Calibri" w:hAnsi="Calibri" w:cs="Calibri"/>
                <w:iCs w:val="0"/>
              </w:rPr>
              <w:t>Perfluorooctane</w:t>
            </w:r>
            <w:proofErr w:type="spellEnd"/>
            <w:r w:rsidRPr="00C66C24">
              <w:rPr>
                <w:rFonts w:ascii="Calibri" w:eastAsia="Calibri" w:hAnsi="Calibri" w:cs="Calibri"/>
                <w:iCs w:val="0"/>
              </w:rPr>
              <w:t xml:space="preserve"> sulfonic acid</w:t>
            </w:r>
          </w:p>
        </w:tc>
      </w:tr>
      <w:tr w:rsidR="00F54776" w:rsidRPr="00C66C24" w14:paraId="5C338FBF" w14:textId="77777777" w:rsidTr="005C3405">
        <w:trPr>
          <w:trHeight w:val="300"/>
        </w:trPr>
        <w:tc>
          <w:tcPr>
            <w:tcW w:w="1838" w:type="dxa"/>
          </w:tcPr>
          <w:p w14:paraId="7129F4B2" w14:textId="481D96B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PFW</w:t>
            </w:r>
          </w:p>
        </w:tc>
        <w:tc>
          <w:tcPr>
            <w:tcW w:w="6882" w:type="dxa"/>
          </w:tcPr>
          <w:p w14:paraId="2AF330DE" w14:textId="0A43152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Passively fished waste</w:t>
            </w:r>
          </w:p>
        </w:tc>
      </w:tr>
      <w:tr w:rsidR="00F54776" w:rsidRPr="00C66C24" w14:paraId="550CAEC1" w14:textId="77777777" w:rsidTr="005C3405">
        <w:trPr>
          <w:trHeight w:val="300"/>
        </w:trPr>
        <w:tc>
          <w:tcPr>
            <w:tcW w:w="1838" w:type="dxa"/>
          </w:tcPr>
          <w:p w14:paraId="019BDE26" w14:textId="618A7E8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PM</w:t>
            </w:r>
          </w:p>
        </w:tc>
        <w:tc>
          <w:tcPr>
            <w:tcW w:w="6882" w:type="dxa"/>
          </w:tcPr>
          <w:p w14:paraId="204D0935" w14:textId="1CEF73D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Particulate matter</w:t>
            </w:r>
          </w:p>
        </w:tc>
      </w:tr>
      <w:tr w:rsidR="00F54776" w:rsidRPr="00C66C24" w14:paraId="6D83B6B3" w14:textId="77777777" w:rsidTr="005C3405">
        <w:trPr>
          <w:trHeight w:val="300"/>
        </w:trPr>
        <w:tc>
          <w:tcPr>
            <w:tcW w:w="1838" w:type="dxa"/>
          </w:tcPr>
          <w:p w14:paraId="32C3821A" w14:textId="186FA82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POP</w:t>
            </w:r>
          </w:p>
        </w:tc>
        <w:tc>
          <w:tcPr>
            <w:tcW w:w="6882" w:type="dxa"/>
          </w:tcPr>
          <w:p w14:paraId="1162EDF9" w14:textId="649D35C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Persistent organic pollutants</w:t>
            </w:r>
          </w:p>
        </w:tc>
      </w:tr>
      <w:tr w:rsidR="00F54776" w:rsidRPr="00C66C24" w14:paraId="568DE2A7" w14:textId="77777777" w:rsidTr="005C3405">
        <w:trPr>
          <w:trHeight w:val="300"/>
        </w:trPr>
        <w:tc>
          <w:tcPr>
            <w:tcW w:w="1838" w:type="dxa"/>
          </w:tcPr>
          <w:p w14:paraId="28817143" w14:textId="611F8E0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PRF</w:t>
            </w:r>
          </w:p>
        </w:tc>
        <w:tc>
          <w:tcPr>
            <w:tcW w:w="6882" w:type="dxa"/>
          </w:tcPr>
          <w:p w14:paraId="5DC1600F" w14:textId="34419E6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Port Reception Facilities (Directive)</w:t>
            </w:r>
          </w:p>
        </w:tc>
      </w:tr>
      <w:tr w:rsidR="00F54776" w:rsidRPr="00C66C24" w14:paraId="63FDC98B" w14:textId="77777777" w:rsidTr="005C3405">
        <w:trPr>
          <w:trHeight w:val="300"/>
        </w:trPr>
        <w:tc>
          <w:tcPr>
            <w:tcW w:w="1838" w:type="dxa"/>
          </w:tcPr>
          <w:p w14:paraId="5780A384" w14:textId="6B1BD65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PSC</w:t>
            </w:r>
          </w:p>
        </w:tc>
        <w:tc>
          <w:tcPr>
            <w:tcW w:w="6882" w:type="dxa"/>
          </w:tcPr>
          <w:p w14:paraId="7B31E496" w14:textId="3710E47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Port State Control</w:t>
            </w:r>
          </w:p>
        </w:tc>
      </w:tr>
      <w:tr w:rsidR="00F54776" w:rsidRPr="00C66C24" w14:paraId="66EC6DA1" w14:textId="77777777" w:rsidTr="005C3405">
        <w:trPr>
          <w:trHeight w:val="300"/>
        </w:trPr>
        <w:tc>
          <w:tcPr>
            <w:tcW w:w="1838" w:type="dxa"/>
          </w:tcPr>
          <w:p w14:paraId="26C5F2FE" w14:textId="6F14BE7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PVCs</w:t>
            </w:r>
          </w:p>
        </w:tc>
        <w:tc>
          <w:tcPr>
            <w:tcW w:w="6882" w:type="dxa"/>
          </w:tcPr>
          <w:p w14:paraId="373EB4AB" w14:textId="67190BD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Polyvinyl chlorides</w:t>
            </w:r>
          </w:p>
        </w:tc>
      </w:tr>
      <w:tr w:rsidR="00DF4239" w:rsidRPr="00C66C24" w14:paraId="0D047281" w14:textId="77777777" w:rsidTr="005C3405">
        <w:trPr>
          <w:trHeight w:val="300"/>
        </w:trPr>
        <w:tc>
          <w:tcPr>
            <w:tcW w:w="1838" w:type="dxa"/>
          </w:tcPr>
          <w:p w14:paraId="417598E3" w14:textId="356322A8" w:rsidR="00DF4239" w:rsidRPr="00C66C24" w:rsidRDefault="00DF4239" w:rsidP="008C6A9C">
            <w:pPr>
              <w:spacing w:line="257" w:lineRule="auto"/>
              <w:rPr>
                <w:rFonts w:ascii="Calibri" w:eastAsia="Calibri" w:hAnsi="Calibri" w:cs="Calibri"/>
                <w:iCs w:val="0"/>
              </w:rPr>
            </w:pPr>
            <w:r w:rsidRPr="00C66C24">
              <w:rPr>
                <w:rFonts w:ascii="Calibri" w:eastAsia="Calibri" w:hAnsi="Calibri" w:cs="Calibri"/>
                <w:iCs w:val="0"/>
              </w:rPr>
              <w:t>PWR</w:t>
            </w:r>
          </w:p>
        </w:tc>
        <w:tc>
          <w:tcPr>
            <w:tcW w:w="6882" w:type="dxa"/>
          </w:tcPr>
          <w:p w14:paraId="57770B97" w14:textId="4E7F8A57" w:rsidR="00DF4239" w:rsidRPr="00C66C24" w:rsidRDefault="00DF4239" w:rsidP="008C6A9C">
            <w:pPr>
              <w:spacing w:line="257" w:lineRule="auto"/>
              <w:rPr>
                <w:rFonts w:ascii="Calibri" w:eastAsia="Calibri" w:hAnsi="Calibri" w:cs="Calibri"/>
                <w:iCs w:val="0"/>
              </w:rPr>
            </w:pPr>
            <w:r w:rsidRPr="00C66C24">
              <w:rPr>
                <w:rFonts w:ascii="Calibri" w:eastAsia="Calibri" w:hAnsi="Calibri" w:cs="Calibri"/>
                <w:iCs w:val="0"/>
              </w:rPr>
              <w:t>Pressur</w:t>
            </w:r>
            <w:r w:rsidR="00152DC5" w:rsidRPr="00C66C24">
              <w:rPr>
                <w:rFonts w:ascii="Calibri" w:eastAsia="Calibri" w:hAnsi="Calibri" w:cs="Calibri"/>
                <w:iCs w:val="0"/>
              </w:rPr>
              <w:t>ised Water Reactor</w:t>
            </w:r>
          </w:p>
        </w:tc>
      </w:tr>
      <w:tr w:rsidR="00F54776" w:rsidRPr="00C66C24" w14:paraId="40CFB066" w14:textId="77777777" w:rsidTr="005C3405">
        <w:trPr>
          <w:trHeight w:val="300"/>
        </w:trPr>
        <w:tc>
          <w:tcPr>
            <w:tcW w:w="1838" w:type="dxa"/>
          </w:tcPr>
          <w:p w14:paraId="10ED465D" w14:textId="13511B2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RED</w:t>
            </w:r>
          </w:p>
        </w:tc>
        <w:tc>
          <w:tcPr>
            <w:tcW w:w="6882" w:type="dxa"/>
          </w:tcPr>
          <w:p w14:paraId="4001DC80" w14:textId="4A31376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Renewable Energy Directive</w:t>
            </w:r>
          </w:p>
        </w:tc>
      </w:tr>
      <w:tr w:rsidR="00F54776" w:rsidRPr="00C66C24" w14:paraId="76B3722D" w14:textId="77777777" w:rsidTr="005C3405">
        <w:trPr>
          <w:trHeight w:val="300"/>
        </w:trPr>
        <w:tc>
          <w:tcPr>
            <w:tcW w:w="1838" w:type="dxa"/>
          </w:tcPr>
          <w:p w14:paraId="2E902AAD" w14:textId="5B4CFFA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RFNBO</w:t>
            </w:r>
          </w:p>
        </w:tc>
        <w:tc>
          <w:tcPr>
            <w:tcW w:w="6882" w:type="dxa"/>
          </w:tcPr>
          <w:p w14:paraId="5DCD3C54" w14:textId="4D11A57C" w:rsidR="00F54776" w:rsidRPr="00C66C24" w:rsidRDefault="007D6714" w:rsidP="008C6A9C">
            <w:pPr>
              <w:spacing w:line="257" w:lineRule="auto"/>
              <w:rPr>
                <w:rFonts w:ascii="Calibri" w:eastAsia="Calibri" w:hAnsi="Calibri" w:cs="Calibri"/>
                <w:iCs w:val="0"/>
              </w:rPr>
            </w:pPr>
            <w:r w:rsidRPr="00C66C24">
              <w:rPr>
                <w:rFonts w:ascii="Calibri" w:eastAsia="Calibri" w:hAnsi="Calibri" w:cs="Calibri"/>
                <w:iCs w:val="0"/>
              </w:rPr>
              <w:t xml:space="preserve">Renewable </w:t>
            </w:r>
            <w:r w:rsidR="00F54776" w:rsidRPr="00C66C24">
              <w:rPr>
                <w:rFonts w:ascii="Calibri" w:eastAsia="Calibri" w:hAnsi="Calibri" w:cs="Calibri"/>
                <w:iCs w:val="0"/>
              </w:rPr>
              <w:t>fuels of non-biological origin</w:t>
            </w:r>
          </w:p>
        </w:tc>
      </w:tr>
      <w:tr w:rsidR="00F54776" w:rsidRPr="00C66C24" w14:paraId="04AFD65A" w14:textId="77777777" w:rsidTr="005C3405">
        <w:trPr>
          <w:trHeight w:val="300"/>
        </w:trPr>
        <w:tc>
          <w:tcPr>
            <w:tcW w:w="1838" w:type="dxa"/>
          </w:tcPr>
          <w:p w14:paraId="1BD4EA94" w14:textId="20606D08" w:rsidR="00F54776" w:rsidRPr="00C66C24" w:rsidRDefault="00F54776" w:rsidP="008C6A9C">
            <w:pPr>
              <w:pStyle w:val="NormalWeb"/>
              <w:spacing w:line="257" w:lineRule="auto"/>
              <w:jc w:val="both"/>
              <w:rPr>
                <w:rFonts w:ascii="Calibri" w:eastAsia="Calibri" w:hAnsi="Calibri" w:cs="Calibri"/>
                <w:iCs/>
              </w:rPr>
            </w:pPr>
            <w:r w:rsidRPr="00C66C24">
              <w:rPr>
                <w:rFonts w:ascii="Calibri" w:eastAsia="Calibri" w:hAnsi="Calibri" w:cs="Calibri"/>
                <w:sz w:val="22"/>
              </w:rPr>
              <w:t>RFRC</w:t>
            </w:r>
          </w:p>
        </w:tc>
        <w:tc>
          <w:tcPr>
            <w:tcW w:w="6882" w:type="dxa"/>
          </w:tcPr>
          <w:p w14:paraId="411E9CE9" w14:textId="223953B4" w:rsidR="00F54776" w:rsidRPr="00C66C24" w:rsidRDefault="00F54776" w:rsidP="008C6A9C">
            <w:pPr>
              <w:pStyle w:val="NormalWeb"/>
              <w:spacing w:line="257" w:lineRule="auto"/>
              <w:jc w:val="both"/>
              <w:rPr>
                <w:rFonts w:ascii="Calibri" w:eastAsia="Calibri" w:hAnsi="Calibri" w:cs="Calibri"/>
                <w:iCs/>
              </w:rPr>
            </w:pPr>
            <w:r w:rsidRPr="00C66C24">
              <w:rPr>
                <w:rFonts w:ascii="Calibri" w:eastAsia="Calibri" w:hAnsi="Calibri" w:cs="Calibri"/>
                <w:sz w:val="22"/>
              </w:rPr>
              <w:t>Ready for Recycling Certificates</w:t>
            </w:r>
          </w:p>
        </w:tc>
      </w:tr>
      <w:tr w:rsidR="00F54776" w:rsidRPr="00C66C24" w14:paraId="6495221C" w14:textId="77777777" w:rsidTr="005C3405">
        <w:trPr>
          <w:trHeight w:val="300"/>
        </w:trPr>
        <w:tc>
          <w:tcPr>
            <w:tcW w:w="1838" w:type="dxa"/>
          </w:tcPr>
          <w:p w14:paraId="22168064" w14:textId="20FE70A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RPAS</w:t>
            </w:r>
          </w:p>
        </w:tc>
        <w:tc>
          <w:tcPr>
            <w:tcW w:w="6882" w:type="dxa"/>
          </w:tcPr>
          <w:p w14:paraId="0D190B83" w14:textId="4E780D8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Remotely Piloted Aircraft Systems</w:t>
            </w:r>
          </w:p>
        </w:tc>
      </w:tr>
      <w:tr w:rsidR="00F54776" w:rsidRPr="00C66C24" w14:paraId="4CBCAC84" w14:textId="77777777" w:rsidTr="005C3405">
        <w:trPr>
          <w:trHeight w:val="300"/>
        </w:trPr>
        <w:tc>
          <w:tcPr>
            <w:tcW w:w="1838" w:type="dxa"/>
          </w:tcPr>
          <w:p w14:paraId="6BC87938" w14:textId="4EEF41C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SCR</w:t>
            </w:r>
          </w:p>
        </w:tc>
        <w:tc>
          <w:tcPr>
            <w:tcW w:w="6882" w:type="dxa"/>
          </w:tcPr>
          <w:p w14:paraId="6D0C509F" w14:textId="7AEB73F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 xml:space="preserve">Selective Catalytic Reduction </w:t>
            </w:r>
          </w:p>
        </w:tc>
      </w:tr>
      <w:tr w:rsidR="00F54776" w:rsidRPr="00C66C24" w14:paraId="25DD8DE5" w14:textId="77777777" w:rsidTr="003F281F">
        <w:trPr>
          <w:trHeight w:val="300"/>
        </w:trPr>
        <w:tc>
          <w:tcPr>
            <w:tcW w:w="1838" w:type="dxa"/>
          </w:tcPr>
          <w:p w14:paraId="594828E5" w14:textId="42725D3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SECA</w:t>
            </w:r>
            <w:r w:rsidR="009F1F78" w:rsidRPr="00C66C24">
              <w:rPr>
                <w:rFonts w:ascii="Calibri" w:eastAsia="Calibri" w:hAnsi="Calibri" w:cs="Calibri"/>
                <w:iCs w:val="0"/>
              </w:rPr>
              <w:t xml:space="preserve"> or SOx ECA</w:t>
            </w:r>
          </w:p>
        </w:tc>
        <w:tc>
          <w:tcPr>
            <w:tcW w:w="6882" w:type="dxa"/>
          </w:tcPr>
          <w:p w14:paraId="31BB89BB" w14:textId="13B1D7A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Sulphur oxides Emission Control Area</w:t>
            </w:r>
          </w:p>
        </w:tc>
      </w:tr>
      <w:tr w:rsidR="00F54776" w:rsidRPr="00C66C24" w14:paraId="2B77FDE7" w14:textId="77777777" w:rsidTr="005C3405">
        <w:trPr>
          <w:trHeight w:val="300"/>
        </w:trPr>
        <w:tc>
          <w:tcPr>
            <w:tcW w:w="1838" w:type="dxa"/>
          </w:tcPr>
          <w:p w14:paraId="58EF779F" w14:textId="5E4D32C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SO2</w:t>
            </w:r>
          </w:p>
        </w:tc>
        <w:tc>
          <w:tcPr>
            <w:tcW w:w="6882" w:type="dxa"/>
          </w:tcPr>
          <w:p w14:paraId="04E7883E" w14:textId="164F51D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Sulphur dioxide</w:t>
            </w:r>
          </w:p>
        </w:tc>
      </w:tr>
      <w:tr w:rsidR="00F54776" w:rsidRPr="00C66C24" w14:paraId="7CE09296" w14:textId="77777777" w:rsidTr="005C3405">
        <w:trPr>
          <w:trHeight w:val="300"/>
        </w:trPr>
        <w:tc>
          <w:tcPr>
            <w:tcW w:w="1838" w:type="dxa"/>
          </w:tcPr>
          <w:p w14:paraId="6B24012E" w14:textId="764E281B" w:rsidR="00F54776" w:rsidRPr="00C66C24" w:rsidRDefault="00F54776" w:rsidP="008C6A9C">
            <w:pPr>
              <w:pStyle w:val="NormalWeb"/>
              <w:spacing w:line="257" w:lineRule="auto"/>
              <w:jc w:val="both"/>
              <w:rPr>
                <w:rFonts w:ascii="Calibri" w:eastAsia="Calibri" w:hAnsi="Calibri" w:cs="Calibri"/>
                <w:iCs/>
              </w:rPr>
            </w:pPr>
            <w:r w:rsidRPr="00C66C24">
              <w:rPr>
                <w:rFonts w:ascii="Calibri" w:eastAsia="Calibri" w:hAnsi="Calibri" w:cs="Calibri"/>
                <w:sz w:val="22"/>
              </w:rPr>
              <w:t>SOC</w:t>
            </w:r>
          </w:p>
        </w:tc>
        <w:tc>
          <w:tcPr>
            <w:tcW w:w="6882" w:type="dxa"/>
          </w:tcPr>
          <w:p w14:paraId="4F48DEA3" w14:textId="13BF53E1" w:rsidR="00F54776" w:rsidRPr="00C66C24" w:rsidRDefault="00F54776" w:rsidP="008C6A9C">
            <w:pPr>
              <w:pStyle w:val="NormalWeb"/>
              <w:spacing w:line="257" w:lineRule="auto"/>
              <w:jc w:val="both"/>
              <w:rPr>
                <w:rFonts w:ascii="Calibri" w:eastAsia="Calibri" w:hAnsi="Calibri" w:cs="Calibri"/>
                <w:iCs/>
              </w:rPr>
            </w:pPr>
            <w:r w:rsidRPr="00C66C24">
              <w:rPr>
                <w:rFonts w:ascii="Calibri" w:eastAsia="Calibri" w:hAnsi="Calibri" w:cs="Calibri"/>
                <w:sz w:val="22"/>
              </w:rPr>
              <w:t>Statement of Completion</w:t>
            </w:r>
          </w:p>
        </w:tc>
      </w:tr>
      <w:tr w:rsidR="00F54776" w:rsidRPr="00C66C24" w14:paraId="2402F7D0" w14:textId="77777777" w:rsidTr="005C3405">
        <w:trPr>
          <w:trHeight w:val="300"/>
        </w:trPr>
        <w:tc>
          <w:tcPr>
            <w:tcW w:w="1838" w:type="dxa"/>
          </w:tcPr>
          <w:p w14:paraId="361A216F" w14:textId="024E84F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SOx</w:t>
            </w:r>
          </w:p>
        </w:tc>
        <w:tc>
          <w:tcPr>
            <w:tcW w:w="6882" w:type="dxa"/>
          </w:tcPr>
          <w:p w14:paraId="68ACFEF9" w14:textId="0C159BE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Sulphur oxides</w:t>
            </w:r>
          </w:p>
        </w:tc>
      </w:tr>
      <w:tr w:rsidR="00F54776" w:rsidRPr="00C66C24" w14:paraId="13E8F08E" w14:textId="77777777" w:rsidTr="005C3405">
        <w:trPr>
          <w:trHeight w:val="300"/>
        </w:trPr>
        <w:tc>
          <w:tcPr>
            <w:tcW w:w="1838" w:type="dxa"/>
          </w:tcPr>
          <w:p w14:paraId="4EAC55CC" w14:textId="25DA6D0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SRR</w:t>
            </w:r>
          </w:p>
        </w:tc>
        <w:tc>
          <w:tcPr>
            <w:tcW w:w="6882" w:type="dxa"/>
          </w:tcPr>
          <w:p w14:paraId="2F896EE4" w14:textId="150475B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Ship Recycling Facilities</w:t>
            </w:r>
          </w:p>
        </w:tc>
      </w:tr>
      <w:tr w:rsidR="00F54776" w:rsidRPr="00C66C24" w14:paraId="5FF103F0" w14:textId="77777777" w:rsidTr="005C3405">
        <w:trPr>
          <w:trHeight w:val="300"/>
        </w:trPr>
        <w:tc>
          <w:tcPr>
            <w:tcW w:w="1838" w:type="dxa"/>
          </w:tcPr>
          <w:p w14:paraId="35D3D374" w14:textId="541E217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SSN</w:t>
            </w:r>
          </w:p>
        </w:tc>
        <w:tc>
          <w:tcPr>
            <w:tcW w:w="6882" w:type="dxa"/>
          </w:tcPr>
          <w:p w14:paraId="256CF345" w14:textId="461DBBC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SafeSeaNet</w:t>
            </w:r>
          </w:p>
        </w:tc>
      </w:tr>
      <w:tr w:rsidR="00F54776" w:rsidRPr="00C66C24" w14:paraId="0AA783F9" w14:textId="77777777" w:rsidTr="005C3405">
        <w:trPr>
          <w:trHeight w:val="300"/>
        </w:trPr>
        <w:tc>
          <w:tcPr>
            <w:tcW w:w="1838" w:type="dxa"/>
          </w:tcPr>
          <w:p w14:paraId="768D2574" w14:textId="0B548CC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SSP</w:t>
            </w:r>
          </w:p>
        </w:tc>
        <w:tc>
          <w:tcPr>
            <w:tcW w:w="6882" w:type="dxa"/>
          </w:tcPr>
          <w:p w14:paraId="3240DB52" w14:textId="27FAD25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Ship Source Pollution (Directive)</w:t>
            </w:r>
          </w:p>
        </w:tc>
      </w:tr>
      <w:tr w:rsidR="00F54776" w:rsidRPr="00C66C24" w14:paraId="2D450824" w14:textId="77777777" w:rsidTr="005C3405">
        <w:trPr>
          <w:trHeight w:val="300"/>
        </w:trPr>
        <w:tc>
          <w:tcPr>
            <w:tcW w:w="1838" w:type="dxa"/>
          </w:tcPr>
          <w:p w14:paraId="06D63361" w14:textId="1249161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STEAM</w:t>
            </w:r>
          </w:p>
        </w:tc>
        <w:tc>
          <w:tcPr>
            <w:tcW w:w="6882" w:type="dxa"/>
          </w:tcPr>
          <w:p w14:paraId="5D9B4EC8" w14:textId="0BE2251C"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Ship Traffic Emission Assessment Model</w:t>
            </w:r>
          </w:p>
        </w:tc>
      </w:tr>
      <w:tr w:rsidR="00F54776" w:rsidRPr="00C66C24" w14:paraId="5B8D3C40" w14:textId="77777777" w:rsidTr="005C3405">
        <w:trPr>
          <w:trHeight w:val="300"/>
        </w:trPr>
        <w:tc>
          <w:tcPr>
            <w:tcW w:w="1838" w:type="dxa"/>
          </w:tcPr>
          <w:p w14:paraId="0833E676" w14:textId="0C3CF57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TEN-T</w:t>
            </w:r>
          </w:p>
        </w:tc>
        <w:tc>
          <w:tcPr>
            <w:tcW w:w="6882" w:type="dxa"/>
          </w:tcPr>
          <w:p w14:paraId="356541CC" w14:textId="63C0A45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Trans-European Transport Network (TEN-T)</w:t>
            </w:r>
          </w:p>
        </w:tc>
      </w:tr>
      <w:tr w:rsidR="00F54776" w:rsidRPr="00C66C24" w14:paraId="64D9C74D" w14:textId="77777777" w:rsidTr="005C3405">
        <w:trPr>
          <w:trHeight w:val="300"/>
        </w:trPr>
        <w:tc>
          <w:tcPr>
            <w:tcW w:w="1838" w:type="dxa"/>
          </w:tcPr>
          <w:p w14:paraId="6ADF5DB5" w14:textId="329003D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TEU</w:t>
            </w:r>
          </w:p>
        </w:tc>
        <w:tc>
          <w:tcPr>
            <w:tcW w:w="6882" w:type="dxa"/>
          </w:tcPr>
          <w:p w14:paraId="090345A3" w14:textId="73F59BCA"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Twenty-foot equivalent unit</w:t>
            </w:r>
          </w:p>
        </w:tc>
      </w:tr>
      <w:tr w:rsidR="00F54776" w:rsidRPr="00C66C24" w14:paraId="20ACE513" w14:textId="77777777" w:rsidTr="005C3405">
        <w:trPr>
          <w:trHeight w:val="300"/>
        </w:trPr>
        <w:tc>
          <w:tcPr>
            <w:tcW w:w="1838" w:type="dxa"/>
          </w:tcPr>
          <w:p w14:paraId="2D4D01B3" w14:textId="59E867E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THETIS</w:t>
            </w:r>
          </w:p>
        </w:tc>
        <w:tc>
          <w:tcPr>
            <w:tcW w:w="6882" w:type="dxa"/>
          </w:tcPr>
          <w:p w14:paraId="58B7BF04" w14:textId="38B42AF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The Hybrid European Targeting and Inspection System</w:t>
            </w:r>
          </w:p>
        </w:tc>
      </w:tr>
      <w:tr w:rsidR="00F54776" w:rsidRPr="00C66C24" w14:paraId="62CD67CD" w14:textId="77777777" w:rsidTr="005C3405">
        <w:trPr>
          <w:trHeight w:val="300"/>
        </w:trPr>
        <w:tc>
          <w:tcPr>
            <w:tcW w:w="1838" w:type="dxa"/>
          </w:tcPr>
          <w:p w14:paraId="340BAD62" w14:textId="4E7614D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TPS</w:t>
            </w:r>
          </w:p>
        </w:tc>
        <w:tc>
          <w:tcPr>
            <w:tcW w:w="6882" w:type="dxa"/>
          </w:tcPr>
          <w:p w14:paraId="46C3AD15" w14:textId="6E6A18A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Thermoplastic starch</w:t>
            </w:r>
          </w:p>
        </w:tc>
      </w:tr>
      <w:tr w:rsidR="00F54776" w:rsidRPr="00C66C24" w14:paraId="4B27E921" w14:textId="77777777" w:rsidTr="005C3405">
        <w:trPr>
          <w:trHeight w:val="300"/>
        </w:trPr>
        <w:tc>
          <w:tcPr>
            <w:tcW w:w="1838" w:type="dxa"/>
          </w:tcPr>
          <w:p w14:paraId="7E52F5D1" w14:textId="66412ECF" w:rsidR="00F54776" w:rsidRPr="00C66C24" w:rsidRDefault="00F54776" w:rsidP="008C6A9C">
            <w:pPr>
              <w:spacing w:line="257" w:lineRule="auto"/>
              <w:rPr>
                <w:rFonts w:ascii="Calibri" w:eastAsia="Calibri" w:hAnsi="Calibri" w:cs="Calibri"/>
                <w:iCs w:val="0"/>
              </w:rPr>
            </w:pPr>
            <w:proofErr w:type="spellStart"/>
            <w:r w:rsidRPr="00C66C24">
              <w:rPr>
                <w:rFonts w:ascii="Calibri" w:eastAsia="Calibri" w:hAnsi="Calibri" w:cs="Calibri"/>
                <w:iCs w:val="0"/>
              </w:rPr>
              <w:t>TtW</w:t>
            </w:r>
            <w:proofErr w:type="spellEnd"/>
          </w:p>
        </w:tc>
        <w:tc>
          <w:tcPr>
            <w:tcW w:w="6882" w:type="dxa"/>
          </w:tcPr>
          <w:p w14:paraId="4C6821F8" w14:textId="2F8301E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Tank-to-Wake</w:t>
            </w:r>
          </w:p>
        </w:tc>
      </w:tr>
      <w:tr w:rsidR="00F54776" w:rsidRPr="00C66C24" w14:paraId="4F61F21F" w14:textId="77777777" w:rsidTr="005C3405">
        <w:trPr>
          <w:trHeight w:val="300"/>
        </w:trPr>
        <w:tc>
          <w:tcPr>
            <w:tcW w:w="1838" w:type="dxa"/>
          </w:tcPr>
          <w:p w14:paraId="4DB2309C" w14:textId="49B82159" w:rsidR="00F54776" w:rsidRPr="00C66C24" w:rsidRDefault="00F54776" w:rsidP="008C6A9C">
            <w:pPr>
              <w:spacing w:line="257" w:lineRule="auto"/>
              <w:rPr>
                <w:rFonts w:ascii="Calibri" w:eastAsia="Calibri" w:hAnsi="Calibri" w:cs="Calibri"/>
                <w:iCs w:val="0"/>
              </w:rPr>
            </w:pPr>
            <w:proofErr w:type="spellStart"/>
            <w:r w:rsidRPr="00C66C24">
              <w:rPr>
                <w:rFonts w:ascii="Calibri" w:eastAsia="Calibri" w:hAnsi="Calibri" w:cs="Calibri"/>
                <w:iCs w:val="0"/>
              </w:rPr>
              <w:t>TWh</w:t>
            </w:r>
            <w:proofErr w:type="spellEnd"/>
          </w:p>
        </w:tc>
        <w:tc>
          <w:tcPr>
            <w:tcW w:w="6882" w:type="dxa"/>
          </w:tcPr>
          <w:p w14:paraId="0409F97C" w14:textId="5C5FB7E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Terawatt hours</w:t>
            </w:r>
          </w:p>
        </w:tc>
      </w:tr>
      <w:tr w:rsidR="00F54776" w:rsidRPr="00C66C24" w14:paraId="14391BAE" w14:textId="77777777" w:rsidTr="005C3405">
        <w:trPr>
          <w:trHeight w:val="300"/>
        </w:trPr>
        <w:tc>
          <w:tcPr>
            <w:tcW w:w="1838" w:type="dxa"/>
          </w:tcPr>
          <w:p w14:paraId="7E9C50C1" w14:textId="63773AD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UNCLOS</w:t>
            </w:r>
          </w:p>
        </w:tc>
        <w:tc>
          <w:tcPr>
            <w:tcW w:w="6882" w:type="dxa"/>
          </w:tcPr>
          <w:p w14:paraId="05FC32AB" w14:textId="21724046"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United Nations Convention on the Law of the Sea</w:t>
            </w:r>
          </w:p>
        </w:tc>
      </w:tr>
      <w:tr w:rsidR="00F54776" w:rsidRPr="00C66C24" w14:paraId="543AC482" w14:textId="77777777" w:rsidTr="005C3405">
        <w:trPr>
          <w:trHeight w:val="300"/>
        </w:trPr>
        <w:tc>
          <w:tcPr>
            <w:tcW w:w="1838" w:type="dxa"/>
          </w:tcPr>
          <w:p w14:paraId="1A54AD37" w14:textId="3906547F"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UNCTAD</w:t>
            </w:r>
          </w:p>
        </w:tc>
        <w:tc>
          <w:tcPr>
            <w:tcW w:w="6882" w:type="dxa"/>
          </w:tcPr>
          <w:p w14:paraId="3219D9EC" w14:textId="42E46CCB"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United Nations Conference on Trade and Development</w:t>
            </w:r>
          </w:p>
        </w:tc>
      </w:tr>
      <w:tr w:rsidR="00F54776" w:rsidRPr="00C66C24" w14:paraId="25CFBC03" w14:textId="77777777" w:rsidTr="005C3405">
        <w:trPr>
          <w:trHeight w:val="300"/>
        </w:trPr>
        <w:tc>
          <w:tcPr>
            <w:tcW w:w="1838" w:type="dxa"/>
          </w:tcPr>
          <w:p w14:paraId="46B72497" w14:textId="5FBBB415"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UNEA</w:t>
            </w:r>
          </w:p>
        </w:tc>
        <w:tc>
          <w:tcPr>
            <w:tcW w:w="6882" w:type="dxa"/>
          </w:tcPr>
          <w:p w14:paraId="7B039B81" w14:textId="3EF87E1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United Nations Environment Assembly</w:t>
            </w:r>
          </w:p>
        </w:tc>
      </w:tr>
      <w:tr w:rsidR="00F54776" w:rsidRPr="00C66C24" w14:paraId="16F4A324" w14:textId="77777777" w:rsidTr="005C3405">
        <w:trPr>
          <w:trHeight w:val="300"/>
        </w:trPr>
        <w:tc>
          <w:tcPr>
            <w:tcW w:w="1838" w:type="dxa"/>
          </w:tcPr>
          <w:p w14:paraId="196B9FFB" w14:textId="69D9D20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UNEP</w:t>
            </w:r>
          </w:p>
        </w:tc>
        <w:tc>
          <w:tcPr>
            <w:tcW w:w="6882" w:type="dxa"/>
          </w:tcPr>
          <w:p w14:paraId="38CF47FC" w14:textId="69BD3E5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United Nations Environment Programme</w:t>
            </w:r>
          </w:p>
        </w:tc>
      </w:tr>
      <w:tr w:rsidR="00F54776" w:rsidRPr="00C66C24" w14:paraId="038834C1" w14:textId="77777777" w:rsidTr="005C3405">
        <w:trPr>
          <w:trHeight w:val="300"/>
        </w:trPr>
        <w:tc>
          <w:tcPr>
            <w:tcW w:w="1838" w:type="dxa"/>
          </w:tcPr>
          <w:p w14:paraId="28CBBF5E" w14:textId="59D2D4C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URN</w:t>
            </w:r>
          </w:p>
        </w:tc>
        <w:tc>
          <w:tcPr>
            <w:tcW w:w="6882" w:type="dxa"/>
          </w:tcPr>
          <w:p w14:paraId="4BEA34D6" w14:textId="19B6D5FD"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Underwater Radiated Noise</w:t>
            </w:r>
          </w:p>
        </w:tc>
      </w:tr>
      <w:tr w:rsidR="00F54776" w:rsidRPr="00C66C24" w14:paraId="04B0DC86" w14:textId="77777777" w:rsidTr="005C3405">
        <w:trPr>
          <w:trHeight w:val="300"/>
        </w:trPr>
        <w:tc>
          <w:tcPr>
            <w:tcW w:w="1838" w:type="dxa"/>
          </w:tcPr>
          <w:p w14:paraId="19C284BD" w14:textId="2A006FC2"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VOC</w:t>
            </w:r>
          </w:p>
        </w:tc>
        <w:tc>
          <w:tcPr>
            <w:tcW w:w="6882" w:type="dxa"/>
          </w:tcPr>
          <w:p w14:paraId="3DFFD266" w14:textId="24FFD437"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Volatile organic compounds</w:t>
            </w:r>
          </w:p>
        </w:tc>
      </w:tr>
      <w:tr w:rsidR="00F54776" w:rsidRPr="00C66C24" w14:paraId="672EEADE" w14:textId="77777777" w:rsidTr="005C3405">
        <w:trPr>
          <w:trHeight w:val="300"/>
        </w:trPr>
        <w:tc>
          <w:tcPr>
            <w:tcW w:w="1838" w:type="dxa"/>
          </w:tcPr>
          <w:p w14:paraId="2B4A6D84" w14:textId="4D70B173"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WHO</w:t>
            </w:r>
          </w:p>
        </w:tc>
        <w:tc>
          <w:tcPr>
            <w:tcW w:w="6882" w:type="dxa"/>
          </w:tcPr>
          <w:p w14:paraId="6DE968E9" w14:textId="3349E880"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World Health Organization</w:t>
            </w:r>
          </w:p>
        </w:tc>
      </w:tr>
      <w:tr w:rsidR="00F54776" w:rsidRPr="00C66C24" w14:paraId="21165E04" w14:textId="77777777" w:rsidTr="005C3405">
        <w:trPr>
          <w:trHeight w:val="300"/>
        </w:trPr>
        <w:tc>
          <w:tcPr>
            <w:tcW w:w="1838" w:type="dxa"/>
          </w:tcPr>
          <w:p w14:paraId="31170AB4" w14:textId="4A574647" w:rsidR="00F54776" w:rsidRPr="00C66C24" w:rsidRDefault="00F54776" w:rsidP="008C6A9C">
            <w:pPr>
              <w:spacing w:line="257" w:lineRule="auto"/>
              <w:rPr>
                <w:rFonts w:ascii="Calibri" w:eastAsia="Calibri" w:hAnsi="Calibri" w:cs="Calibri"/>
                <w:iCs w:val="0"/>
              </w:rPr>
            </w:pPr>
            <w:proofErr w:type="spellStart"/>
            <w:r w:rsidRPr="00C66C24">
              <w:rPr>
                <w:rFonts w:ascii="Calibri" w:eastAsia="Calibri" w:hAnsi="Calibri" w:cs="Calibri"/>
                <w:iCs w:val="0"/>
              </w:rPr>
              <w:t>WtT</w:t>
            </w:r>
            <w:proofErr w:type="spellEnd"/>
          </w:p>
        </w:tc>
        <w:tc>
          <w:tcPr>
            <w:tcW w:w="6882" w:type="dxa"/>
          </w:tcPr>
          <w:p w14:paraId="31EBF92D" w14:textId="29BB2464"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Well-to-Tank</w:t>
            </w:r>
          </w:p>
        </w:tc>
      </w:tr>
      <w:tr w:rsidR="00F54776" w:rsidRPr="00C66C24" w14:paraId="291AF616" w14:textId="77777777" w:rsidTr="005C3405">
        <w:trPr>
          <w:trHeight w:val="300"/>
        </w:trPr>
        <w:tc>
          <w:tcPr>
            <w:tcW w:w="1838" w:type="dxa"/>
          </w:tcPr>
          <w:p w14:paraId="105FB314" w14:textId="300C997E" w:rsidR="00F54776" w:rsidRPr="00C66C24" w:rsidRDefault="00F54776" w:rsidP="008C6A9C">
            <w:pPr>
              <w:spacing w:line="257" w:lineRule="auto"/>
              <w:rPr>
                <w:rFonts w:ascii="Calibri" w:eastAsia="Calibri" w:hAnsi="Calibri" w:cs="Calibri"/>
                <w:iCs w:val="0"/>
              </w:rPr>
            </w:pPr>
            <w:proofErr w:type="spellStart"/>
            <w:r w:rsidRPr="00C66C24">
              <w:rPr>
                <w:rFonts w:ascii="Calibri" w:eastAsia="Calibri" w:hAnsi="Calibri" w:cs="Calibri"/>
                <w:iCs w:val="0"/>
              </w:rPr>
              <w:t>WtW</w:t>
            </w:r>
            <w:proofErr w:type="spellEnd"/>
          </w:p>
        </w:tc>
        <w:tc>
          <w:tcPr>
            <w:tcW w:w="6882" w:type="dxa"/>
          </w:tcPr>
          <w:p w14:paraId="45E4DFBA" w14:textId="4E8FB7B8"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Well-to-Wake</w:t>
            </w:r>
          </w:p>
        </w:tc>
      </w:tr>
      <w:tr w:rsidR="00F54776" w:rsidRPr="00C66C24" w14:paraId="09B47EA7" w14:textId="77777777" w:rsidTr="005C3405">
        <w:trPr>
          <w:trHeight w:val="300"/>
        </w:trPr>
        <w:tc>
          <w:tcPr>
            <w:tcW w:w="1838" w:type="dxa"/>
          </w:tcPr>
          <w:p w14:paraId="3292A4B7" w14:textId="454ECB41"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ZPAP</w:t>
            </w:r>
          </w:p>
        </w:tc>
        <w:tc>
          <w:tcPr>
            <w:tcW w:w="6882" w:type="dxa"/>
          </w:tcPr>
          <w:p w14:paraId="6F703F5D" w14:textId="5673271E" w:rsidR="00F54776" w:rsidRPr="00C66C24" w:rsidRDefault="00F54776" w:rsidP="008C6A9C">
            <w:pPr>
              <w:spacing w:line="257" w:lineRule="auto"/>
              <w:rPr>
                <w:rFonts w:ascii="Calibri" w:eastAsia="Calibri" w:hAnsi="Calibri" w:cs="Calibri"/>
                <w:iCs w:val="0"/>
              </w:rPr>
            </w:pPr>
            <w:r w:rsidRPr="00C66C24">
              <w:rPr>
                <w:rFonts w:ascii="Calibri" w:eastAsia="Calibri" w:hAnsi="Calibri" w:cs="Calibri"/>
                <w:iCs w:val="0"/>
              </w:rPr>
              <w:t>Zero Pollution Action Plan</w:t>
            </w:r>
          </w:p>
        </w:tc>
      </w:tr>
      <w:tr w:rsidR="00D6552D" w:rsidRPr="00C66C24" w14:paraId="5EA829A4" w14:textId="77777777" w:rsidTr="005C3405">
        <w:trPr>
          <w:trHeight w:val="300"/>
        </w:trPr>
        <w:tc>
          <w:tcPr>
            <w:tcW w:w="1838" w:type="dxa"/>
          </w:tcPr>
          <w:p w14:paraId="347F7C77" w14:textId="5E26971F" w:rsidR="00D6552D" w:rsidRPr="00C66C24" w:rsidRDefault="00D6552D" w:rsidP="008C6A9C">
            <w:pPr>
              <w:spacing w:line="257" w:lineRule="auto"/>
              <w:rPr>
                <w:rFonts w:ascii="Calibri" w:eastAsia="Calibri" w:hAnsi="Calibri" w:cs="Calibri"/>
                <w:iCs w:val="0"/>
              </w:rPr>
            </w:pPr>
            <w:r w:rsidRPr="00D6552D">
              <w:rPr>
                <w:rFonts w:ascii="Calibri" w:eastAsia="Calibri" w:hAnsi="Calibri" w:cs="Calibri"/>
              </w:rPr>
              <w:t>% m/m</w:t>
            </w:r>
          </w:p>
        </w:tc>
        <w:tc>
          <w:tcPr>
            <w:tcW w:w="6882" w:type="dxa"/>
          </w:tcPr>
          <w:p w14:paraId="19D6C09E" w14:textId="5380754B" w:rsidR="00D6552D" w:rsidRPr="00C66C24" w:rsidRDefault="00D6552D" w:rsidP="008C6A9C">
            <w:pPr>
              <w:spacing w:line="257" w:lineRule="auto"/>
              <w:rPr>
                <w:rFonts w:ascii="Calibri" w:eastAsia="Calibri" w:hAnsi="Calibri" w:cs="Calibri"/>
                <w:iCs w:val="0"/>
              </w:rPr>
            </w:pPr>
            <w:r>
              <w:rPr>
                <w:rFonts w:ascii="Calibri" w:eastAsia="Calibri" w:hAnsi="Calibri" w:cs="Calibri"/>
                <w:iCs w:val="0"/>
              </w:rPr>
              <w:t>Mass/mass percentage</w:t>
            </w:r>
          </w:p>
        </w:tc>
      </w:tr>
    </w:tbl>
    <w:p w14:paraId="53C2DAA9" w14:textId="77777777" w:rsidR="003003BE" w:rsidRPr="00C66C24" w:rsidRDefault="003003BE" w:rsidP="008C6A9C">
      <w:pPr>
        <w:spacing w:line="257" w:lineRule="auto"/>
      </w:pPr>
    </w:p>
    <w:p w14:paraId="3EC433E9" w14:textId="77777777" w:rsidR="003003BE" w:rsidRPr="00C66C24" w:rsidRDefault="003003BE" w:rsidP="008C6A9C">
      <w:pPr>
        <w:spacing w:line="257" w:lineRule="auto"/>
      </w:pPr>
    </w:p>
    <w:p w14:paraId="4759B435" w14:textId="77777777" w:rsidR="007B66E0" w:rsidRPr="00C66C24" w:rsidRDefault="007B66E0" w:rsidP="008C6A9C">
      <w:pPr>
        <w:spacing w:before="0" w:after="200" w:line="257" w:lineRule="auto"/>
        <w:jc w:val="left"/>
      </w:pPr>
      <w:r w:rsidRPr="00C66C24">
        <w:br w:type="page"/>
      </w:r>
    </w:p>
    <w:p w14:paraId="58515CF5" w14:textId="77777777" w:rsidR="007B66E0" w:rsidRPr="00C66C24" w:rsidRDefault="007B66E0" w:rsidP="008C6A9C">
      <w:pPr>
        <w:pStyle w:val="Heading1"/>
        <w:numPr>
          <w:ilvl w:val="0"/>
          <w:numId w:val="0"/>
        </w:numPr>
        <w:spacing w:line="257" w:lineRule="auto"/>
      </w:pPr>
      <w:bookmarkStart w:id="264" w:name="_Toc156316366"/>
      <w:bookmarkStart w:id="265" w:name="_Toc157762110"/>
      <w:r w:rsidRPr="00C66C24">
        <w:t>References</w:t>
      </w:r>
      <w:bookmarkEnd w:id="264"/>
      <w:bookmarkEnd w:id="265"/>
    </w:p>
    <w:p w14:paraId="012BD52A" w14:textId="77777777" w:rsidR="00590A7A" w:rsidRPr="00C66C24" w:rsidRDefault="00590A7A" w:rsidP="008C6A9C">
      <w:pPr>
        <w:spacing w:before="120" w:after="120" w:line="257" w:lineRule="auto"/>
        <w:rPr>
          <w:rStyle w:val="Hyperlink"/>
          <w:color w:val="auto"/>
          <w:u w:val="none"/>
        </w:rPr>
      </w:pPr>
      <w:r w:rsidRPr="00C66C24">
        <w:t xml:space="preserve">AMAP. (2021). Arctic Climate Change Update 2021: Key trends and impacts. Summary for </w:t>
      </w:r>
      <w:proofErr w:type="gramStart"/>
      <w:r w:rsidRPr="00C66C24">
        <w:t>policy-makers</w:t>
      </w:r>
      <w:proofErr w:type="gramEnd"/>
      <w:r w:rsidRPr="00C66C24">
        <w:t xml:space="preserve">. Arctic Monitoring and Assessment Programme, </w:t>
      </w:r>
      <w:proofErr w:type="spellStart"/>
      <w:r w:rsidRPr="00C66C24">
        <w:t>Tromsø</w:t>
      </w:r>
      <w:proofErr w:type="spellEnd"/>
      <w:r w:rsidRPr="00C66C24">
        <w:t xml:space="preserve">, Norway. </w:t>
      </w:r>
      <w:hyperlink r:id="rId106" w:history="1">
        <w:r w:rsidR="00CF03DF" w:rsidRPr="00C66C24">
          <w:rPr>
            <w:rStyle w:val="Hyperlink"/>
          </w:rPr>
          <w:t>https://www.amap.no/documents/doc/arctic-climate-change-update-2021-key-trends-and-impacts.-summary-for-policy-makers/3508</w:t>
        </w:r>
      </w:hyperlink>
    </w:p>
    <w:p w14:paraId="099D55FF" w14:textId="77777777" w:rsidR="00590A7A" w:rsidRPr="00C66C24" w:rsidRDefault="00590A7A" w:rsidP="008C6A9C">
      <w:pPr>
        <w:spacing w:before="120" w:after="120" w:line="257" w:lineRule="auto"/>
      </w:pPr>
      <w:r w:rsidRPr="00C66C24">
        <w:t xml:space="preserve">ANSTO. (2023). The evolution of molten salt reactors. Australian Nuclear Science and Technology Organisation. </w:t>
      </w:r>
      <w:hyperlink r:id="rId107" w:history="1">
        <w:r w:rsidRPr="00C66C24">
          <w:rPr>
            <w:rStyle w:val="Hyperlink"/>
          </w:rPr>
          <w:t>https://www.ansto.gov.au/our-science/nuclear-technologies/reactor-systems/advanced-reactors/evolution-of-molten-salt</w:t>
        </w:r>
      </w:hyperlink>
    </w:p>
    <w:p w14:paraId="73F8D1C8" w14:textId="77777777" w:rsidR="00590A7A" w:rsidRPr="00C66C24" w:rsidRDefault="00590A7A" w:rsidP="008C6A9C">
      <w:pPr>
        <w:spacing w:before="120" w:after="120" w:line="257" w:lineRule="auto"/>
      </w:pPr>
      <w:proofErr w:type="spellStart"/>
      <w:r w:rsidRPr="003137A8">
        <w:rPr>
          <w:lang w:val="es-AR"/>
        </w:rPr>
        <w:t>Bhattacharyya</w:t>
      </w:r>
      <w:proofErr w:type="spellEnd"/>
      <w:r w:rsidRPr="003137A8">
        <w:rPr>
          <w:lang w:val="es-AR"/>
        </w:rPr>
        <w:t>, R., El-</w:t>
      </w:r>
      <w:proofErr w:type="spellStart"/>
      <w:r w:rsidRPr="003137A8">
        <w:rPr>
          <w:lang w:val="es-AR"/>
        </w:rPr>
        <w:t>Emam</w:t>
      </w:r>
      <w:proofErr w:type="spellEnd"/>
      <w:r w:rsidRPr="003137A8">
        <w:rPr>
          <w:lang w:val="es-AR"/>
        </w:rPr>
        <w:t xml:space="preserve">, R. S., &amp; </w:t>
      </w:r>
      <w:proofErr w:type="spellStart"/>
      <w:r w:rsidRPr="003137A8">
        <w:rPr>
          <w:lang w:val="es-AR"/>
        </w:rPr>
        <w:t>Khalid</w:t>
      </w:r>
      <w:proofErr w:type="spellEnd"/>
      <w:r w:rsidRPr="003137A8">
        <w:rPr>
          <w:lang w:val="es-AR"/>
        </w:rPr>
        <w:t xml:space="preserve">, F. (2023). </w:t>
      </w:r>
      <w:r w:rsidRPr="00C66C24">
        <w:t xml:space="preserve">Climate action for the shipping industry: Some perspectives on the role of nuclear power in maritime decarbonization. </w:t>
      </w:r>
      <w:r w:rsidRPr="00C66C24">
        <w:rPr>
          <w:i/>
        </w:rPr>
        <w:t>E-Prime - Advances in Electrical Engineering, Electronics and Energy, 4</w:t>
      </w:r>
      <w:r w:rsidRPr="00C66C24">
        <w:t xml:space="preserve">, 100132. </w:t>
      </w:r>
      <w:hyperlink r:id="rId108" w:history="1">
        <w:r w:rsidRPr="00C66C24">
          <w:rPr>
            <w:rStyle w:val="Hyperlink"/>
          </w:rPr>
          <w:t>https://doi.org/10.1016/j.prime.2023.100132</w:t>
        </w:r>
      </w:hyperlink>
    </w:p>
    <w:p w14:paraId="2B94C933" w14:textId="77777777" w:rsidR="00B64508" w:rsidRPr="00B64508" w:rsidRDefault="00B64508" w:rsidP="00B64508">
      <w:pPr>
        <w:pStyle w:val="Bibliography"/>
        <w:spacing w:before="120" w:after="120"/>
        <w:rPr>
          <w:lang w:val="pt-PT"/>
        </w:rPr>
      </w:pPr>
      <w:proofErr w:type="spellStart"/>
      <w:r w:rsidRPr="00CA0671">
        <w:t>Birchby</w:t>
      </w:r>
      <w:proofErr w:type="spellEnd"/>
      <w:r w:rsidRPr="00CA0671">
        <w:t xml:space="preserve">, D., Dubey, J., Johansen, B., </w:t>
      </w:r>
      <w:proofErr w:type="spellStart"/>
      <w:r w:rsidRPr="00CA0671">
        <w:t>Hekman</w:t>
      </w:r>
      <w:proofErr w:type="spellEnd"/>
      <w:r w:rsidRPr="00CA0671">
        <w:t xml:space="preserve">, J., </w:t>
      </w:r>
      <w:proofErr w:type="spellStart"/>
      <w:r w:rsidRPr="00CA0671">
        <w:t>Gschrey</w:t>
      </w:r>
      <w:proofErr w:type="spellEnd"/>
      <w:r w:rsidRPr="00CA0671">
        <w:t xml:space="preserve">, B., Behringer, D., Kleinschmidt, J., </w:t>
      </w:r>
      <w:proofErr w:type="spellStart"/>
      <w:r w:rsidRPr="00CA0671">
        <w:t>Jörß</w:t>
      </w:r>
      <w:proofErr w:type="spellEnd"/>
      <w:r w:rsidRPr="00CA0671">
        <w:t xml:space="preserve">, W., </w:t>
      </w:r>
      <w:proofErr w:type="spellStart"/>
      <w:r w:rsidRPr="00CA0671">
        <w:t>Liste</w:t>
      </w:r>
      <w:proofErr w:type="spellEnd"/>
      <w:r w:rsidRPr="00CA0671">
        <w:t xml:space="preserve">, V., </w:t>
      </w:r>
      <w:proofErr w:type="spellStart"/>
      <w:r w:rsidRPr="00CA0671">
        <w:t>Ludig</w:t>
      </w:r>
      <w:proofErr w:type="spellEnd"/>
      <w:r w:rsidRPr="00CA0671">
        <w:t xml:space="preserve">, S., &amp; </w:t>
      </w:r>
      <w:proofErr w:type="spellStart"/>
      <w:r w:rsidRPr="00CA0671">
        <w:t>Wissner</w:t>
      </w:r>
      <w:proofErr w:type="spellEnd"/>
      <w:r w:rsidRPr="00CA0671">
        <w:t xml:space="preserve">, N. (2022). </w:t>
      </w:r>
      <w:r w:rsidRPr="00CA0671">
        <w:rPr>
          <w:iCs w:val="0"/>
        </w:rPr>
        <w:t>Support contract for an Evaluation and Impact assessment for amending Regulation (EU) No 517/2014 on fluorinated greenhouse gases</w:t>
      </w:r>
      <w:r w:rsidRPr="00CA0671">
        <w:t xml:space="preserve">. </w:t>
      </w:r>
      <w:r w:rsidRPr="00B64508">
        <w:rPr>
          <w:lang w:val="pt-PT"/>
        </w:rPr>
        <w:t>DG CLIMA. https://climate.ec.europa.eu/system/files/2022-04/f-gas_evaluation_report_en.pdf</w:t>
      </w:r>
    </w:p>
    <w:p w14:paraId="05F77C2D" w14:textId="77777777" w:rsidR="00B64508" w:rsidRPr="00B64508" w:rsidRDefault="00B64508" w:rsidP="00B64508">
      <w:pPr>
        <w:pStyle w:val="Bibliography"/>
        <w:spacing w:before="120" w:after="120"/>
        <w:rPr>
          <w:lang w:val="pt-PT"/>
        </w:rPr>
      </w:pPr>
      <w:r w:rsidRPr="00B64508">
        <w:rPr>
          <w:lang w:val="pt-PT"/>
        </w:rPr>
        <w:t>BLUES. (2021). HELCOM Blues. https://blues.helcom.fi/</w:t>
      </w:r>
    </w:p>
    <w:p w14:paraId="02638B3D" w14:textId="77777777" w:rsidR="00B64508" w:rsidRPr="009B5E6F" w:rsidRDefault="00B64508" w:rsidP="00B64508">
      <w:pPr>
        <w:pStyle w:val="Bibliography"/>
        <w:spacing w:before="120" w:after="120"/>
      </w:pPr>
      <w:r w:rsidRPr="009B5E6F">
        <w:t xml:space="preserve">Blum, L., Deja, R., Peters, R., &amp; </w:t>
      </w:r>
      <w:proofErr w:type="spellStart"/>
      <w:r w:rsidRPr="009B5E6F">
        <w:t>Stolten</w:t>
      </w:r>
      <w:proofErr w:type="spellEnd"/>
      <w:r w:rsidRPr="009B5E6F">
        <w:t xml:space="preserve">, D. (2011). Comparison of efficiencies of low, mean and high temperature fuel cell Systems. </w:t>
      </w:r>
      <w:r w:rsidRPr="009B5E6F">
        <w:rPr>
          <w:i/>
        </w:rPr>
        <w:t>International Journal of Hydrogen Energy</w:t>
      </w:r>
      <w:r w:rsidRPr="009B5E6F">
        <w:t xml:space="preserve">, </w:t>
      </w:r>
      <w:r w:rsidRPr="009B5E6F">
        <w:rPr>
          <w:i/>
        </w:rPr>
        <w:t>36</w:t>
      </w:r>
      <w:r w:rsidRPr="009B5E6F">
        <w:t>(17), 11056–11067. https://doi.org/10.1016/j.ijhydene.2011.05.122</w:t>
      </w:r>
    </w:p>
    <w:p w14:paraId="3FE1622D" w14:textId="77777777" w:rsidR="00B64508" w:rsidRPr="009B5E6F" w:rsidRDefault="00B64508" w:rsidP="00B64508">
      <w:pPr>
        <w:pStyle w:val="Bibliography"/>
        <w:spacing w:before="120" w:after="120"/>
      </w:pPr>
      <w:r w:rsidRPr="009B5E6F">
        <w:t xml:space="preserve">bound4blue. (2015). </w:t>
      </w:r>
      <w:r w:rsidRPr="009B5E6F">
        <w:rPr>
          <w:iCs w:val="0"/>
        </w:rPr>
        <w:t>Bound4blue project—Powering ships with wind</w:t>
      </w:r>
      <w:r w:rsidRPr="009B5E6F">
        <w:t>. https://bound4blue.com/</w:t>
      </w:r>
    </w:p>
    <w:p w14:paraId="448028F9" w14:textId="77777777" w:rsidR="00B64508" w:rsidRDefault="00B64508" w:rsidP="00B64508">
      <w:pPr>
        <w:pStyle w:val="Bibliography"/>
        <w:spacing w:before="120" w:after="120"/>
      </w:pPr>
      <w:proofErr w:type="spellStart"/>
      <w:r w:rsidRPr="0067481A">
        <w:t>Brownsort</w:t>
      </w:r>
      <w:proofErr w:type="spellEnd"/>
      <w:r w:rsidRPr="0067481A">
        <w:t xml:space="preserve">, P. (2015). </w:t>
      </w:r>
      <w:r w:rsidRPr="0067481A">
        <w:rPr>
          <w:iCs w:val="0"/>
        </w:rPr>
        <w:t>Ship transport of CO2 for Enhanced Oil Recovery – Literature Survey</w:t>
      </w:r>
      <w:r w:rsidRPr="0067481A">
        <w:t>. https://era.ed.ac.uk/handle/1842/15727</w:t>
      </w:r>
    </w:p>
    <w:p w14:paraId="03B0B406" w14:textId="77777777" w:rsidR="00590A7A" w:rsidRPr="00C66C24" w:rsidRDefault="00590A7A" w:rsidP="008C6A9C">
      <w:pPr>
        <w:spacing w:before="120" w:after="120" w:line="257" w:lineRule="auto"/>
      </w:pPr>
      <w:proofErr w:type="spellStart"/>
      <w:r w:rsidRPr="00C66C24">
        <w:t>Calderoni</w:t>
      </w:r>
      <w:proofErr w:type="spellEnd"/>
      <w:r w:rsidRPr="00C66C24">
        <w:t xml:space="preserve">, P., &amp; </w:t>
      </w:r>
      <w:proofErr w:type="spellStart"/>
      <w:r w:rsidRPr="00C66C24">
        <w:t>Cabet</w:t>
      </w:r>
      <w:proofErr w:type="spellEnd"/>
      <w:r w:rsidRPr="00C66C24">
        <w:t xml:space="preserve">, C. (2012). Corrosion issues in molten salt reactor (MSR) systems. In </w:t>
      </w:r>
      <w:r w:rsidRPr="00C66C24">
        <w:rPr>
          <w:i/>
        </w:rPr>
        <w:t>Nuclear Corrosion Science and Engineering</w:t>
      </w:r>
      <w:r w:rsidRPr="00C66C24">
        <w:t xml:space="preserve"> (pp. 842–865). Elsevier. </w:t>
      </w:r>
      <w:hyperlink r:id="rId109" w:history="1">
        <w:r w:rsidRPr="00C66C24">
          <w:rPr>
            <w:rStyle w:val="Hyperlink"/>
          </w:rPr>
          <w:t>https://doi.org/10.1533/9780857095343.6.842</w:t>
        </w:r>
      </w:hyperlink>
    </w:p>
    <w:p w14:paraId="2CF6FC4F" w14:textId="77777777" w:rsidR="00B64508" w:rsidRDefault="00B64508" w:rsidP="00B64508">
      <w:pPr>
        <w:pStyle w:val="Bibliography"/>
        <w:spacing w:before="120" w:after="120"/>
      </w:pPr>
      <w:r w:rsidRPr="00D84C39">
        <w:t xml:space="preserve">CDNI. (2017). </w:t>
      </w:r>
      <w:r w:rsidRPr="00D84C39">
        <w:rPr>
          <w:iCs w:val="0"/>
        </w:rPr>
        <w:t>Resolution CDNI 2017-I-4. Revision of the Convention on the collection, deposit and reception of waste generated during navigation on the Rhine and other inland waterways (CDNI) and its Implementing Regulation. Provisions on the handling of gaseous residues from liquid fuel (vapours).</w:t>
      </w:r>
      <w:r w:rsidRPr="00D84C39">
        <w:t xml:space="preserve"> Convention on the collection, Deposit and reception of waste generated during Navigation on the Rhine and other Inland waterways. https://www.cdni-iwt.org/wp-content/uploads/2020/04/Resolution-2017-1-4_en.pdf</w:t>
      </w:r>
    </w:p>
    <w:p w14:paraId="1A3A2A09" w14:textId="77777777" w:rsidR="00B64508" w:rsidRDefault="00B64508" w:rsidP="00B64508">
      <w:pPr>
        <w:pStyle w:val="Bibliography"/>
        <w:spacing w:before="120" w:after="120"/>
      </w:pPr>
      <w:r w:rsidRPr="0057643A">
        <w:t xml:space="preserve">CHEK. (2020). </w:t>
      </w:r>
      <w:r w:rsidRPr="0057643A">
        <w:rPr>
          <w:iCs w:val="0"/>
        </w:rPr>
        <w:t>Project CHEK—Decarbonising shipping</w:t>
      </w:r>
      <w:r w:rsidRPr="0057643A">
        <w:t>. https://www.projectchek.eu/</w:t>
      </w:r>
    </w:p>
    <w:p w14:paraId="446B4BC0" w14:textId="77777777" w:rsidR="00590A7A" w:rsidRPr="00C66C24" w:rsidRDefault="00590A7A" w:rsidP="008C6A9C">
      <w:pPr>
        <w:spacing w:before="120" w:after="120" w:line="257" w:lineRule="auto"/>
        <w:rPr>
          <w:rStyle w:val="Hyperlink"/>
          <w:color w:val="auto"/>
          <w:u w:val="none"/>
        </w:rPr>
      </w:pPr>
      <w:r w:rsidRPr="00C66C24">
        <w:t xml:space="preserve">CLIA. (2023). State of the cruise industry report. Cruise Lines International Association. </w:t>
      </w:r>
      <w:hyperlink r:id="rId110" w:history="1">
        <w:r w:rsidRPr="00C66C24">
          <w:rPr>
            <w:rStyle w:val="Hyperlink"/>
          </w:rPr>
          <w:t>https://cruising.org/-/media/clia-media/research/2023/2023-clia-state-of-the-cruise-industry-report_low-res.ashx</w:t>
        </w:r>
      </w:hyperlink>
    </w:p>
    <w:p w14:paraId="6345CC3B" w14:textId="77777777" w:rsidR="00B64508" w:rsidRDefault="00B64508" w:rsidP="00B64508">
      <w:pPr>
        <w:pStyle w:val="Bibliography"/>
        <w:spacing w:before="120" w:after="120"/>
      </w:pPr>
      <w:r w:rsidRPr="0032233C">
        <w:t xml:space="preserve">Comer, B., </w:t>
      </w:r>
      <w:proofErr w:type="spellStart"/>
      <w:r w:rsidRPr="0032233C">
        <w:t>Beecken</w:t>
      </w:r>
      <w:proofErr w:type="spellEnd"/>
      <w:r w:rsidRPr="0032233C">
        <w:t xml:space="preserve">, J., Vermeulen, R., </w:t>
      </w:r>
      <w:proofErr w:type="spellStart"/>
      <w:r w:rsidRPr="0032233C">
        <w:t>Sturrup</w:t>
      </w:r>
      <w:proofErr w:type="spellEnd"/>
      <w:r w:rsidRPr="0032233C">
        <w:t xml:space="preserve">, E., </w:t>
      </w:r>
      <w:proofErr w:type="spellStart"/>
      <w:r w:rsidRPr="0032233C">
        <w:t>Paschinger</w:t>
      </w:r>
      <w:proofErr w:type="spellEnd"/>
      <w:r w:rsidRPr="0032233C">
        <w:t xml:space="preserve">, P., Osipova, L., Gore, K., </w:t>
      </w:r>
      <w:proofErr w:type="spellStart"/>
      <w:r w:rsidRPr="0032233C">
        <w:t>Delahaye</w:t>
      </w:r>
      <w:proofErr w:type="spellEnd"/>
      <w:r w:rsidRPr="0032233C">
        <w:t xml:space="preserve">, A., </w:t>
      </w:r>
      <w:proofErr w:type="spellStart"/>
      <w:r w:rsidRPr="0032233C">
        <w:t>Verhagen</w:t>
      </w:r>
      <w:proofErr w:type="spellEnd"/>
      <w:r w:rsidRPr="0032233C">
        <w:t xml:space="preserve">, V., Knudsen, B., Knudsen, J., &amp; Verbeek, R. (2024). </w:t>
      </w:r>
      <w:r w:rsidRPr="0032233C">
        <w:rPr>
          <w:iCs w:val="0"/>
        </w:rPr>
        <w:t>Fugitive and unburned methane emissions from ships (FUMES). Characterizing methane emissions from LNG-</w:t>
      </w:r>
      <w:proofErr w:type="spellStart"/>
      <w:r w:rsidRPr="0032233C">
        <w:rPr>
          <w:iCs w:val="0"/>
        </w:rPr>
        <w:t>fueled</w:t>
      </w:r>
      <w:proofErr w:type="spellEnd"/>
      <w:r w:rsidRPr="0032233C">
        <w:rPr>
          <w:iCs w:val="0"/>
        </w:rPr>
        <w:t xml:space="preserve"> ships using drones, helicopters, and onboard measurements</w:t>
      </w:r>
      <w:r w:rsidRPr="0032233C">
        <w:t>. International Council on Clean Transportation. https://theicct.org/wp-content/uploads/2023/11/ID-64-%E2%80%93-FUMES-ships-Report-A4-60037-FV.pdf</w:t>
      </w:r>
    </w:p>
    <w:p w14:paraId="07B8D837" w14:textId="77777777" w:rsidR="00590A7A" w:rsidRPr="00C66C24" w:rsidRDefault="00B64508" w:rsidP="008C6A9C">
      <w:pPr>
        <w:spacing w:before="120" w:after="120" w:line="257" w:lineRule="auto"/>
      </w:pPr>
      <w:r w:rsidRPr="0007382B">
        <w:t>Comer</w:t>
      </w:r>
      <w:r w:rsidR="00590A7A" w:rsidRPr="00C66C24">
        <w:t xml:space="preserve">, B., </w:t>
      </w:r>
      <w:proofErr w:type="spellStart"/>
      <w:r w:rsidR="00590A7A" w:rsidRPr="00C66C24">
        <w:t>Olmer</w:t>
      </w:r>
      <w:proofErr w:type="spellEnd"/>
      <w:r w:rsidR="00590A7A" w:rsidRPr="00C66C24">
        <w:t>, N., Mao, X., Roy, B., &amp; Rutherford, D. (2015). Black carbon emissions and fuel use in shipping, 2015 (p. 103). International Council of Clean Transportation. https://theicct.org/wp-content/uploads/2021/06/Global-Marine-BC-Inventory-2015_ICCT-Report_15122017_vF.pdf</w:t>
      </w:r>
    </w:p>
    <w:p w14:paraId="594B7538" w14:textId="77777777" w:rsidR="00590A7A" w:rsidRPr="00C66C24" w:rsidRDefault="00590A7A" w:rsidP="008C6A9C">
      <w:pPr>
        <w:spacing w:before="120" w:after="120" w:line="257" w:lineRule="auto"/>
      </w:pPr>
      <w:proofErr w:type="spellStart"/>
      <w:r w:rsidRPr="00C66C24">
        <w:t>Concawe</w:t>
      </w:r>
      <w:proofErr w:type="spellEnd"/>
      <w:r w:rsidRPr="00C66C24">
        <w:t xml:space="preserve">. (2022). E-Fuels: A techno-economic assessment of European domestic production and imports towards 2050. </w:t>
      </w:r>
      <w:proofErr w:type="spellStart"/>
      <w:r w:rsidRPr="00C66C24">
        <w:t>Concawe</w:t>
      </w:r>
      <w:proofErr w:type="spellEnd"/>
      <w:r w:rsidRPr="00C66C24">
        <w:t>. https://www.concawe.eu/wp-content/uploads/Rpt_22-17.pdf</w:t>
      </w:r>
    </w:p>
    <w:p w14:paraId="3EDCCADF" w14:textId="77777777" w:rsidR="00CF03DF" w:rsidRPr="00C66C24" w:rsidRDefault="00CF03DF" w:rsidP="008C6A9C">
      <w:pPr>
        <w:spacing w:before="120" w:after="120" w:line="257" w:lineRule="auto"/>
      </w:pPr>
      <w:r w:rsidRPr="00C66C24">
        <w:t xml:space="preserve">Cruz, E., Lloyd, T., Bosschers, J., </w:t>
      </w:r>
      <w:proofErr w:type="spellStart"/>
      <w:r w:rsidRPr="00C66C24">
        <w:t>Lafeber</w:t>
      </w:r>
      <w:proofErr w:type="spellEnd"/>
      <w:r w:rsidRPr="00C66C24">
        <w:t xml:space="preserve">, F.H., </w:t>
      </w:r>
      <w:proofErr w:type="spellStart"/>
      <w:r w:rsidRPr="00C66C24">
        <w:t>Vinagre</w:t>
      </w:r>
      <w:proofErr w:type="spellEnd"/>
      <w:r w:rsidRPr="00C66C24">
        <w:t xml:space="preserve">, P., &amp; Vaz, G. (2021). Study on inventory of existing policy, research and impacts of continuous underwater noise in Europe. EMSA report EMSA/NEG/21/2020. </w:t>
      </w:r>
      <w:proofErr w:type="spellStart"/>
      <w:r w:rsidRPr="00C66C24">
        <w:t>WavEC</w:t>
      </w:r>
      <w:proofErr w:type="spellEnd"/>
      <w:r w:rsidRPr="00C66C24">
        <w:t xml:space="preserve"> Offshore Renewables and Maritime Research Institute Netherlands. </w:t>
      </w:r>
      <w:hyperlink r:id="rId111" w:history="1">
        <w:r w:rsidRPr="00C66C24">
          <w:rPr>
            <w:rStyle w:val="Hyperlink"/>
          </w:rPr>
          <w:t>https://www.emsa.europa.eu/newsroom/latest-news/download/6881/4569/23.html</w:t>
        </w:r>
      </w:hyperlink>
    </w:p>
    <w:p w14:paraId="375FAB92" w14:textId="77777777" w:rsidR="00B64508" w:rsidRDefault="00B64508" w:rsidP="00B64508">
      <w:pPr>
        <w:pStyle w:val="Bibliography"/>
        <w:spacing w:before="120" w:after="120"/>
      </w:pPr>
      <w:r w:rsidRPr="001673CC">
        <w:t xml:space="preserve">CURRENT DIRECT. (2020). </w:t>
      </w:r>
      <w:r w:rsidRPr="001673CC">
        <w:rPr>
          <w:iCs w:val="0"/>
        </w:rPr>
        <w:t>Current Direct project</w:t>
      </w:r>
      <w:r w:rsidRPr="001673CC">
        <w:t xml:space="preserve">. </w:t>
      </w:r>
      <w:hyperlink r:id="rId112" w:history="1">
        <w:r w:rsidRPr="001673CC">
          <w:rPr>
            <w:rStyle w:val="Hyperlink"/>
          </w:rPr>
          <w:t>https://currentdirect.eu/</w:t>
        </w:r>
      </w:hyperlink>
      <w:r>
        <w:t xml:space="preserve"> </w:t>
      </w:r>
    </w:p>
    <w:p w14:paraId="6C45E2B8" w14:textId="77777777" w:rsidR="00CF03DF" w:rsidRPr="00C66C24" w:rsidRDefault="00CF03DF" w:rsidP="008C6A9C">
      <w:pPr>
        <w:spacing w:before="120" w:after="120" w:line="257" w:lineRule="auto"/>
        <w:rPr>
          <w:rStyle w:val="Hyperlink"/>
          <w:color w:val="auto"/>
          <w:u w:val="none"/>
        </w:rPr>
      </w:pPr>
      <w:r w:rsidRPr="00C66C24">
        <w:t xml:space="preserve">DNV. (2016). </w:t>
      </w:r>
      <w:r w:rsidR="00590A7A" w:rsidRPr="00C66C24">
        <w:t>Particulate matter and black carbon safer, smarter, greener the global impact and what this means for shipping (p.</w:t>
      </w:r>
      <w:r w:rsidRPr="00C66C24">
        <w:t xml:space="preserve"> 16). </w:t>
      </w:r>
      <w:hyperlink r:id="rId113" w:history="1">
        <w:r w:rsidRPr="00C66C24">
          <w:rPr>
            <w:rStyle w:val="Hyperlink"/>
          </w:rPr>
          <w:t>https://www.safety4sea.com/wp-content/uploads/2016/06/DNV-GL-Brochure-Black-Carbon-2016_06.pdf</w:t>
        </w:r>
      </w:hyperlink>
    </w:p>
    <w:p w14:paraId="50178F26" w14:textId="77777777" w:rsidR="00590A7A" w:rsidRPr="00C66C24" w:rsidRDefault="00590A7A" w:rsidP="008C6A9C">
      <w:pPr>
        <w:spacing w:before="120" w:after="120" w:line="257" w:lineRule="auto"/>
      </w:pPr>
      <w:r w:rsidRPr="00C66C24">
        <w:t xml:space="preserve">DNV. (2023a). Alternative Fuels Insight. </w:t>
      </w:r>
      <w:hyperlink r:id="rId114" w:history="1">
        <w:r w:rsidR="00CF03DF" w:rsidRPr="00C66C24">
          <w:rPr>
            <w:rStyle w:val="Hyperlink"/>
          </w:rPr>
          <w:t>https://afi.dnv.com/</w:t>
        </w:r>
      </w:hyperlink>
    </w:p>
    <w:p w14:paraId="32DB8AA2" w14:textId="77777777" w:rsidR="00590A7A" w:rsidRPr="00C66C24" w:rsidRDefault="00590A7A" w:rsidP="008C6A9C">
      <w:pPr>
        <w:spacing w:before="120" w:after="120" w:line="257" w:lineRule="auto"/>
      </w:pPr>
      <w:r w:rsidRPr="00C66C24">
        <w:t>DNV. (2023b). Energy transition outlook—maritime forecast to 2050. DNV. https://www.dnv.com/Default</w:t>
      </w:r>
    </w:p>
    <w:p w14:paraId="2B623CEC" w14:textId="77777777" w:rsidR="00CF03DF" w:rsidRPr="00C66C24" w:rsidRDefault="00CF03DF" w:rsidP="008C6A9C">
      <w:pPr>
        <w:spacing w:before="120" w:after="120" w:line="257" w:lineRule="auto"/>
      </w:pPr>
      <w:r w:rsidRPr="00C66C24">
        <w:t xml:space="preserve">Duarte, C. M., </w:t>
      </w:r>
      <w:proofErr w:type="spellStart"/>
      <w:r w:rsidRPr="00C66C24">
        <w:t>Chapuis</w:t>
      </w:r>
      <w:proofErr w:type="spellEnd"/>
      <w:r w:rsidRPr="00C66C24">
        <w:t xml:space="preserve">, L., Collin, S. P., Costa, D. P., </w:t>
      </w:r>
      <w:proofErr w:type="spellStart"/>
      <w:r w:rsidRPr="00C66C24">
        <w:t>Eguiluz</w:t>
      </w:r>
      <w:proofErr w:type="spellEnd"/>
      <w:r w:rsidRPr="00C66C24">
        <w:t xml:space="preserve">, V., </w:t>
      </w:r>
      <w:proofErr w:type="spellStart"/>
      <w:r w:rsidRPr="00C66C24">
        <w:t>Erbe</w:t>
      </w:r>
      <w:proofErr w:type="spellEnd"/>
      <w:r w:rsidRPr="00C66C24">
        <w:t xml:space="preserve">, C., Halpern, B. S., </w:t>
      </w:r>
      <w:proofErr w:type="spellStart"/>
      <w:r w:rsidRPr="00C66C24">
        <w:t>Havlik</w:t>
      </w:r>
      <w:proofErr w:type="spellEnd"/>
      <w:r w:rsidRPr="00C66C24">
        <w:t xml:space="preserve">, M. N., Gordon, T. A. C., Merchant, N. D., </w:t>
      </w:r>
      <w:proofErr w:type="spellStart"/>
      <w:r w:rsidRPr="00C66C24">
        <w:t>Meekan</w:t>
      </w:r>
      <w:proofErr w:type="spellEnd"/>
      <w:r w:rsidRPr="00C66C24">
        <w:t xml:space="preserve">, M., Miksis-Olds, J. L., Parsons, M., </w:t>
      </w:r>
      <w:proofErr w:type="spellStart"/>
      <w:r w:rsidRPr="00C66C24">
        <w:t>Predragovic</w:t>
      </w:r>
      <w:proofErr w:type="spellEnd"/>
      <w:r w:rsidRPr="00C66C24">
        <w:t xml:space="preserve">, M., Radford, A. N., Radford, C. A., Simpson, S. D., </w:t>
      </w:r>
      <w:proofErr w:type="spellStart"/>
      <w:r w:rsidRPr="00C66C24">
        <w:t>Slabbekoorn</w:t>
      </w:r>
      <w:proofErr w:type="spellEnd"/>
      <w:r w:rsidRPr="00C66C24">
        <w:t xml:space="preserve">, H., </w:t>
      </w:r>
      <w:proofErr w:type="spellStart"/>
      <w:r w:rsidRPr="00C66C24">
        <w:t>Staaterman</w:t>
      </w:r>
      <w:proofErr w:type="spellEnd"/>
      <w:r w:rsidRPr="00C66C24">
        <w:t xml:space="preserve">, E., … </w:t>
      </w:r>
      <w:proofErr w:type="spellStart"/>
      <w:r w:rsidRPr="00C66C24">
        <w:t>Juanes</w:t>
      </w:r>
      <w:proofErr w:type="spellEnd"/>
      <w:r w:rsidRPr="00C66C24">
        <w:t xml:space="preserve">, F. (2021). </w:t>
      </w:r>
      <w:r w:rsidR="00590A7A" w:rsidRPr="00C66C24">
        <w:t>The soundscape</w:t>
      </w:r>
      <w:r w:rsidRPr="00C66C24">
        <w:t xml:space="preserve"> of the Anthropocene </w:t>
      </w:r>
      <w:r w:rsidR="00B64508" w:rsidRPr="0007382B">
        <w:t>Ocean.</w:t>
      </w:r>
      <w:r w:rsidRPr="00C66C24">
        <w:t xml:space="preserve"> </w:t>
      </w:r>
      <w:r w:rsidR="0010388A" w:rsidRPr="00C66C24">
        <w:rPr>
          <w:i/>
        </w:rPr>
        <w:t>Science, 371</w:t>
      </w:r>
      <w:r w:rsidR="0010388A" w:rsidRPr="00C66C24">
        <w:rPr>
          <w:iCs w:val="0"/>
        </w:rPr>
        <w:t>(6529)</w:t>
      </w:r>
      <w:r w:rsidRPr="00C66C24">
        <w:t>.</w:t>
      </w:r>
      <w:r w:rsidR="00B27324" w:rsidRPr="00C66C24">
        <w:t xml:space="preserve"> </w:t>
      </w:r>
      <w:r w:rsidRPr="00C66C24">
        <w:t>https://doi.org/DOI: 10.1126/science.aba4658</w:t>
      </w:r>
    </w:p>
    <w:p w14:paraId="72C7FBEE" w14:textId="77777777" w:rsidR="00B64508" w:rsidRPr="009C396C" w:rsidRDefault="00B64508" w:rsidP="00B64508">
      <w:pPr>
        <w:pStyle w:val="Bibliography"/>
        <w:spacing w:before="120" w:after="120"/>
      </w:pPr>
      <w:r w:rsidRPr="009C396C">
        <w:t xml:space="preserve">EAFO. (2023). </w:t>
      </w:r>
      <w:r w:rsidRPr="009C396C">
        <w:rPr>
          <w:iCs w:val="0"/>
        </w:rPr>
        <w:t>Maritime | European Alternative Fuels Observatory</w:t>
      </w:r>
      <w:r w:rsidRPr="009C396C">
        <w:t>. https://alternative-fuels-observatory.ec.europa.eu/transport-mode/maritime-sea</w:t>
      </w:r>
    </w:p>
    <w:p w14:paraId="7D18BD43" w14:textId="77777777" w:rsidR="00B64508" w:rsidRPr="009C396C" w:rsidRDefault="00B64508" w:rsidP="00B64508">
      <w:pPr>
        <w:pStyle w:val="Bibliography"/>
        <w:spacing w:before="120" w:after="120"/>
      </w:pPr>
      <w:r w:rsidRPr="009C396C">
        <w:t xml:space="preserve">EC. (2008). </w:t>
      </w:r>
      <w:r w:rsidRPr="009C396C">
        <w:rPr>
          <w:iCs w:val="0"/>
        </w:rPr>
        <w:t>Directive 2008/50/EC of the European Parliament and of the Council of 21 May 2008 on ambient air quality and cleaner air for Europe</w:t>
      </w:r>
      <w:r w:rsidRPr="009C396C">
        <w:t>. European Parliament and Council. https://eur-lex.europa.eu/legal-content/EN/TXT/?uri=CELEX%3A02008L0050-20150918</w:t>
      </w:r>
    </w:p>
    <w:p w14:paraId="3921B172" w14:textId="77777777" w:rsidR="00B64508" w:rsidRPr="00EA4411" w:rsidRDefault="00B64508" w:rsidP="00B64508">
      <w:pPr>
        <w:pStyle w:val="Bibliography"/>
        <w:spacing w:before="120" w:after="120"/>
      </w:pPr>
      <w:r w:rsidRPr="00EA4411">
        <w:t xml:space="preserve">EC. (2010). </w:t>
      </w:r>
      <w:r w:rsidRPr="00EA4411">
        <w:rPr>
          <w:iCs w:val="0"/>
        </w:rPr>
        <w:t>Directive 2009/147/EC of the European Parliament and of the Council of 30 November 2009 on the conservation of wild birds (codified version of Directive 79/409/EEC as amended)</w:t>
      </w:r>
      <w:r w:rsidRPr="00EA4411">
        <w:t>. http://eur-lex.europa.eu/LexUriServ/LexUriServ.do?uri=OJ:L:2010:020:0007:0025:EN:PDF</w:t>
      </w:r>
    </w:p>
    <w:p w14:paraId="5CA130DD" w14:textId="77777777" w:rsidR="00B64508" w:rsidRDefault="00B64508" w:rsidP="00B64508">
      <w:pPr>
        <w:pStyle w:val="Bibliography"/>
        <w:spacing w:before="120" w:after="120"/>
      </w:pPr>
      <w:r w:rsidRPr="00EA4411">
        <w:t xml:space="preserve">EC. (2013). </w:t>
      </w:r>
      <w:r w:rsidRPr="00EA4411">
        <w:rPr>
          <w:iCs w:val="0"/>
        </w:rPr>
        <w:t>Council Directive 92/43/EEC of 21 May 1992 on the conservation of natural habitats and of wild fauna and flora.</w:t>
      </w:r>
      <w:r w:rsidRPr="00EA4411">
        <w:t xml:space="preserve"> http://data.europa.eu/eli/dir/1992/43/2013-07-01/eng</w:t>
      </w:r>
    </w:p>
    <w:p w14:paraId="2EDC6EF2" w14:textId="77777777" w:rsidR="00CF03DF" w:rsidRPr="00C66C24" w:rsidRDefault="00CF03DF" w:rsidP="008C6A9C">
      <w:pPr>
        <w:spacing w:before="120" w:after="120" w:line="257" w:lineRule="auto"/>
        <w:rPr>
          <w:rStyle w:val="Hyperlink"/>
          <w:color w:val="auto"/>
          <w:u w:val="none"/>
        </w:rPr>
      </w:pPr>
      <w:r w:rsidRPr="00C66C24">
        <w:t xml:space="preserve">EC. (2015). Commission Implementing Decision (EU) 2015/253 of 16 February 2015 laying down the rules concerning the sampling and reporting under Council Directive 1999/32/EC as regards the sulphur content of marine fuels. European Commission. </w:t>
      </w:r>
      <w:hyperlink r:id="rId115" w:history="1">
        <w:r w:rsidRPr="00C66C24">
          <w:rPr>
            <w:rStyle w:val="Hyperlink"/>
          </w:rPr>
          <w:t>http://data.europa.eu/eli/dec_impl/2015/253/oj</w:t>
        </w:r>
      </w:hyperlink>
      <w:hyperlink r:id="rId116" w:history="1">
        <w:r w:rsidRPr="00C66C24">
          <w:rPr>
            <w:rStyle w:val="Hyperlink"/>
          </w:rPr>
          <w:t>http://data.europa.eu/eli/dec_impl/2015/253/oj</w:t>
        </w:r>
      </w:hyperlink>
    </w:p>
    <w:p w14:paraId="5998F987" w14:textId="77777777" w:rsidR="00B64508" w:rsidRDefault="00CF03DF" w:rsidP="00B64508">
      <w:pPr>
        <w:pStyle w:val="Bibliography"/>
        <w:spacing w:before="120" w:after="120"/>
      </w:pPr>
      <w:r w:rsidRPr="00C66C24">
        <w:t>EC. (</w:t>
      </w:r>
      <w:r w:rsidR="00B64508" w:rsidRPr="00AE09AA">
        <w:t xml:space="preserve">2017). </w:t>
      </w:r>
      <w:r w:rsidR="00B64508" w:rsidRPr="00AE09AA">
        <w:rPr>
          <w:iCs w:val="0"/>
        </w:rPr>
        <w:t>Commission Regulation (EU) 2017/1151 of 1 June 2017 supplementing Regulation (EC) No 715/2007 of the European Parliament and of the Council on type-approval of motor vehicles with respect to emissions from light passenger and commercial vehicles (Euro 5 and Euro 6) and on access to vehicle repair and maintenance information, amending Directive 2007/46/EC of the European Parliament and of the Council, Commission Regulation (EC) No 692/2008 and Commission Regulation (EU) No 1230/2012 and repealing Commission Regulation (EC) No 692/2008 (Text with EEA relevance)</w:t>
      </w:r>
      <w:r w:rsidR="00B64508" w:rsidRPr="00AE09AA">
        <w:t>. http://data.europa.eu/eli/reg/2017/1151/oj/eng</w:t>
      </w:r>
    </w:p>
    <w:p w14:paraId="5CA9920C" w14:textId="77777777" w:rsidR="00CF03DF" w:rsidRPr="00C66C24" w:rsidRDefault="00B64508" w:rsidP="008C6A9C">
      <w:pPr>
        <w:spacing w:before="120" w:after="120" w:line="257" w:lineRule="auto"/>
        <w:rPr>
          <w:rStyle w:val="Hyperlink"/>
          <w:color w:val="auto"/>
          <w:u w:val="none"/>
        </w:rPr>
      </w:pPr>
      <w:r w:rsidRPr="0007382B">
        <w:t>EC. (</w:t>
      </w:r>
      <w:r w:rsidR="00CF03DF" w:rsidRPr="00C66C24">
        <w:t xml:space="preserve">2018). </w:t>
      </w:r>
      <w:r w:rsidR="00590A7A" w:rsidRPr="00C66C24">
        <w:t>Commission Staff Working Document Impact assessment accompanying</w:t>
      </w:r>
      <w:r w:rsidR="00CF03DF" w:rsidRPr="00C66C24">
        <w:t xml:space="preserve"> the document Proposal for a Directive of the European Parliament and of the Council on port reception facilities for the delivery of waste from ships, repealing Directive 2000/59/EC and amending Directive 2009/16/EC and Directive 2010/65/EU. </w:t>
      </w:r>
      <w:hyperlink r:id="rId117" w:history="1">
        <w:r w:rsidR="00CF03DF" w:rsidRPr="00C66C24">
          <w:rPr>
            <w:rStyle w:val="Hyperlink"/>
          </w:rPr>
          <w:t>https://eur-lex.europa.eu/legal-content/EN/TXT/?uri=CELEX:52018SC0021</w:t>
        </w:r>
      </w:hyperlink>
    </w:p>
    <w:p w14:paraId="7054C6AD" w14:textId="77777777" w:rsidR="00590A7A" w:rsidRPr="00C66C24" w:rsidRDefault="00590A7A" w:rsidP="008C6A9C">
      <w:pPr>
        <w:spacing w:before="120" w:after="120" w:line="257" w:lineRule="auto"/>
      </w:pPr>
      <w:r w:rsidRPr="00C66C24">
        <w:t xml:space="preserve">EC. (2020a). Commission Staff Working Document full-length report accompanying the document, Report from the Commission 2019 annual report on CO2 emissions from maritime transport. European Commission. </w:t>
      </w:r>
      <w:hyperlink r:id="rId118" w:history="1">
        <w:r w:rsidRPr="00C66C24">
          <w:rPr>
            <w:rStyle w:val="Hyperlink"/>
          </w:rPr>
          <w:t>https://climate.ec.europa.eu/system/files/2020-05/swd_2020_82_en.pdf</w:t>
        </w:r>
      </w:hyperlink>
      <w:r w:rsidR="002B28F2" w:rsidRPr="00C66C24">
        <w:t xml:space="preserve"> </w:t>
      </w:r>
    </w:p>
    <w:p w14:paraId="7F56BF66" w14:textId="77777777" w:rsidR="00590A7A" w:rsidRDefault="00590A7A" w:rsidP="008C6A9C">
      <w:pPr>
        <w:spacing w:before="120" w:after="120" w:line="257" w:lineRule="auto"/>
        <w:rPr>
          <w:rStyle w:val="Hyperlink"/>
        </w:rPr>
      </w:pPr>
      <w:r w:rsidRPr="00C66C24">
        <w:t xml:space="preserve">EC. (2020b). Communication from the Commission to the European Parliament, the Council, the Economic and Social Committee and the Committee of the Regions, EU Biodiversity Strategy for 2030 (COM(2020) 380 final). </w:t>
      </w:r>
      <w:r w:rsidRPr="005D6619">
        <w:t xml:space="preserve">European Commission. </w:t>
      </w:r>
      <w:hyperlink r:id="rId119" w:history="1">
        <w:r w:rsidRPr="005D6619">
          <w:rPr>
            <w:rStyle w:val="Hyperlink"/>
          </w:rPr>
          <w:t>https://eur-lex.europa.eu/legal-content/EN/TXT/?uri=celex%3A52020DC0380</w:t>
        </w:r>
      </w:hyperlink>
    </w:p>
    <w:p w14:paraId="3DF9A344" w14:textId="77777777" w:rsidR="00B64508" w:rsidRPr="0007382B" w:rsidRDefault="00590A7A" w:rsidP="00B64508">
      <w:pPr>
        <w:pStyle w:val="Bibliography"/>
        <w:spacing w:before="120" w:after="120"/>
      </w:pPr>
      <w:r w:rsidRPr="005D6619">
        <w:t xml:space="preserve">EC. (2020c). </w:t>
      </w:r>
      <w:r w:rsidR="00B64508" w:rsidRPr="00AB39BF">
        <w:rPr>
          <w:iCs w:val="0"/>
        </w:rPr>
        <w:t>Communication from the Commission to the European Parliament, the Council, the European Economic and Social Committee and the Committee of the Regions ‘Sustainable and Smart Mobility Strategy – putting European transport on track for the future’ (COM(2020)789 final)</w:t>
      </w:r>
      <w:r w:rsidR="00B64508" w:rsidRPr="00AB39BF">
        <w:t>. European Commission. https://eur-lex.europa.eu/legal-content/EN/TXT/?uri=CELEX%3A52020DC0789</w:t>
      </w:r>
    </w:p>
    <w:p w14:paraId="2CF9413E" w14:textId="77777777" w:rsidR="00CF03DF" w:rsidRPr="00C66C24" w:rsidRDefault="00B64508" w:rsidP="008C6A9C">
      <w:pPr>
        <w:spacing w:before="120" w:after="120" w:line="257" w:lineRule="auto"/>
      </w:pPr>
      <w:r w:rsidRPr="0007382B">
        <w:t>EC. (2020</w:t>
      </w:r>
      <w:r>
        <w:t>d</w:t>
      </w:r>
      <w:r w:rsidRPr="0007382B">
        <w:t xml:space="preserve">). </w:t>
      </w:r>
      <w:r w:rsidR="00CF03DF" w:rsidRPr="005D6619">
        <w:t xml:space="preserve">EU Emissions Trading System (EU ETS). </w:t>
      </w:r>
      <w:r w:rsidR="00CF03DF" w:rsidRPr="00C66C24">
        <w:t xml:space="preserve">European Commission. </w:t>
      </w:r>
      <w:hyperlink r:id="rId120" w:history="1">
        <w:r w:rsidR="00CF03DF" w:rsidRPr="00C66C24">
          <w:rPr>
            <w:rStyle w:val="Hyperlink"/>
          </w:rPr>
          <w:t>https://ec.europa.eu/clima/policies/ets_en</w:t>
        </w:r>
      </w:hyperlink>
      <w:r w:rsidR="00106915" w:rsidRPr="00C66C24">
        <w:t xml:space="preserve"> </w:t>
      </w:r>
    </w:p>
    <w:p w14:paraId="7148C3AF" w14:textId="77777777" w:rsidR="00CF03DF" w:rsidRPr="00C66C24" w:rsidRDefault="00CF03DF" w:rsidP="008C6A9C">
      <w:pPr>
        <w:spacing w:before="120" w:after="120" w:line="257" w:lineRule="auto"/>
        <w:rPr>
          <w:rStyle w:val="Hyperlink"/>
          <w:color w:val="auto"/>
          <w:u w:val="none"/>
        </w:rPr>
      </w:pPr>
      <w:r w:rsidRPr="00C66C24">
        <w:t xml:space="preserve">EC. (2021a). </w:t>
      </w:r>
      <w:r w:rsidR="00590A7A" w:rsidRPr="00C66C24">
        <w:t>2020 Annual report on CO2 emissions from maritime transport (C(2021) 6022 final).</w:t>
      </w:r>
      <w:r w:rsidRPr="00C66C24">
        <w:t xml:space="preserve"> </w:t>
      </w:r>
      <w:hyperlink r:id="rId121" w:history="1">
        <w:r w:rsidRPr="00C66C24">
          <w:rPr>
            <w:rStyle w:val="Hyperlink"/>
          </w:rPr>
          <w:t>https://climate.ec.europa.eu/system/files/2021-08/c_2021_6022_en.pdf</w:t>
        </w:r>
      </w:hyperlink>
    </w:p>
    <w:p w14:paraId="0F87FA74" w14:textId="77777777" w:rsidR="00590A7A" w:rsidRPr="00C66C24" w:rsidRDefault="00590A7A" w:rsidP="008C6A9C">
      <w:pPr>
        <w:spacing w:before="120" w:after="120" w:line="257" w:lineRule="auto"/>
      </w:pPr>
      <w:r w:rsidRPr="00C66C24">
        <w:t xml:space="preserve">EC. (2021b). Commission presents Renewable Energy Directive revision. European Commission. </w:t>
      </w:r>
      <w:hyperlink r:id="rId122" w:history="1">
        <w:r w:rsidRPr="00C66C24">
          <w:rPr>
            <w:rStyle w:val="Hyperlink"/>
          </w:rPr>
          <w:t>https://commission.europa.eu/news/commission-presents-renewable-energy-directive-revision-2021-07-14_en</w:t>
        </w:r>
      </w:hyperlink>
      <w:r w:rsidR="00665A67" w:rsidRPr="00C66C24">
        <w:t xml:space="preserve"> </w:t>
      </w:r>
    </w:p>
    <w:p w14:paraId="6E9FDA94" w14:textId="762F9B4B" w:rsidR="00590A7A" w:rsidRPr="00C66C24" w:rsidRDefault="00590A7A" w:rsidP="008C6A9C">
      <w:pPr>
        <w:spacing w:before="120" w:after="120" w:line="257" w:lineRule="auto"/>
        <w:rPr>
          <w:rStyle w:val="Hyperlink"/>
          <w:color w:val="auto"/>
          <w:u w:val="none"/>
        </w:rPr>
      </w:pPr>
      <w:r w:rsidRPr="00C66C24">
        <w:t xml:space="preserve">EC. (2021c). </w:t>
      </w:r>
      <w:r w:rsidR="00B64508" w:rsidRPr="0007382B">
        <w:t xml:space="preserve">Fit for 55: Delivering the EU’s 2030 Climate Target on the way to climate neutrality. </w:t>
      </w:r>
      <w:r w:rsidR="00B64508" w:rsidRPr="00B64508">
        <w:t xml:space="preserve">European Commission. </w:t>
      </w:r>
      <w:hyperlink r:id="rId123" w:history="1">
        <w:r w:rsidR="00B64508" w:rsidRPr="00B64508">
          <w:rPr>
            <w:rStyle w:val="Hyperlink"/>
          </w:rPr>
          <w:t>https://eur-lex.europa.eu/legal-content/EN/TXT/HTML/?uri=CELEX:52021DC0550&amp;from=EN</w:t>
        </w:r>
      </w:hyperlink>
      <w:r w:rsidR="00665A67" w:rsidRPr="00C66C24">
        <w:rPr>
          <w:rStyle w:val="Hyperlink"/>
          <w:color w:val="auto"/>
          <w:u w:val="none"/>
        </w:rPr>
        <w:t xml:space="preserve"> </w:t>
      </w:r>
    </w:p>
    <w:p w14:paraId="05914094" w14:textId="77777777" w:rsidR="00B64508" w:rsidRPr="00B64508" w:rsidRDefault="00B64508" w:rsidP="00B64508">
      <w:pPr>
        <w:spacing w:before="120" w:after="120" w:line="257" w:lineRule="auto"/>
        <w:rPr>
          <w:rStyle w:val="Hyperlink"/>
          <w:lang w:val="it-IT"/>
        </w:rPr>
      </w:pPr>
      <w:r w:rsidRPr="00B64508">
        <w:t xml:space="preserve">EC. (2021d). </w:t>
      </w:r>
      <w:r w:rsidRPr="0007382B">
        <w:t xml:space="preserve">JOIN/2021/27 final.  ‘Joint communication to the European Parliament, the Council, the European economic and social committee and the committee of the regions a stronger EU engagement for a peaceful, sustainable and prosperous Arctic’. </w:t>
      </w:r>
      <w:r w:rsidRPr="00B64508">
        <w:rPr>
          <w:lang w:val="it-IT"/>
        </w:rPr>
        <w:t xml:space="preserve">European Commission. </w:t>
      </w:r>
      <w:hyperlink r:id="rId124" w:history="1">
        <w:r w:rsidRPr="00B64508">
          <w:rPr>
            <w:rStyle w:val="Hyperlink"/>
            <w:lang w:val="it-IT"/>
          </w:rPr>
          <w:t>https://eur-lex.europa.eu/legal-content/EN/TXT/?uri=CELEX%3A52021JC0027</w:t>
        </w:r>
      </w:hyperlink>
    </w:p>
    <w:p w14:paraId="306714F4" w14:textId="77777777" w:rsidR="00B64508" w:rsidRPr="00802BDE" w:rsidRDefault="00B64508" w:rsidP="00B64508">
      <w:pPr>
        <w:pStyle w:val="Bibliography"/>
        <w:spacing w:before="120" w:after="120"/>
      </w:pPr>
      <w:r w:rsidRPr="00B64508">
        <w:rPr>
          <w:lang w:val="it-IT"/>
        </w:rPr>
        <w:t xml:space="preserve">EC. (2021e). </w:t>
      </w:r>
      <w:r w:rsidRPr="00802BDE">
        <w:rPr>
          <w:iCs w:val="0"/>
        </w:rPr>
        <w:t>Oceans and fisheries—Fishing fleet</w:t>
      </w:r>
      <w:r w:rsidRPr="00802BDE">
        <w:t>. European Commission. https://oceans-and-fisheries.ec.europa.eu/facts-and-figures/facts-and-figures-common-fisheries-policy/fishing-fleet_en</w:t>
      </w:r>
    </w:p>
    <w:p w14:paraId="7D9BAE67" w14:textId="77777777" w:rsidR="00B64508" w:rsidRPr="0007382B" w:rsidRDefault="00B64508" w:rsidP="00B64508">
      <w:pPr>
        <w:spacing w:before="120" w:after="120" w:line="257" w:lineRule="auto"/>
        <w:rPr>
          <w:rStyle w:val="Hyperlink"/>
          <w:color w:val="auto"/>
          <w:u w:val="none"/>
        </w:rPr>
      </w:pPr>
      <w:r w:rsidRPr="0007382B">
        <w:t xml:space="preserve">EC. (2021f).  Pathway to a healthy planet for all—EU </w:t>
      </w:r>
      <w:r>
        <w:t xml:space="preserve">Zero Pollution </w:t>
      </w:r>
      <w:r w:rsidRPr="0007382B">
        <w:t xml:space="preserve">Action Plan. European Commission. </w:t>
      </w:r>
      <w:hyperlink r:id="rId125" w:history="1">
        <w:r w:rsidRPr="0007382B">
          <w:rPr>
            <w:rStyle w:val="Hyperlink"/>
          </w:rPr>
          <w:t>https://ec.europa.eu/environment/pdf/zero-pollution-action-plan/communication_en.pdf</w:t>
        </w:r>
      </w:hyperlink>
      <w:r w:rsidRPr="0007382B">
        <w:rPr>
          <w:rStyle w:val="Hyperlink"/>
          <w:color w:val="auto"/>
          <w:u w:val="none"/>
        </w:rPr>
        <w:t xml:space="preserve"> </w:t>
      </w:r>
    </w:p>
    <w:p w14:paraId="587E967C" w14:textId="77777777" w:rsidR="00B64508" w:rsidRPr="0007382B" w:rsidRDefault="00B64508" w:rsidP="00B64508">
      <w:pPr>
        <w:spacing w:before="120" w:after="120" w:line="257" w:lineRule="auto"/>
        <w:rPr>
          <w:color w:val="0563C1" w:themeColor="hyperlink"/>
          <w:u w:val="single"/>
        </w:rPr>
      </w:pPr>
      <w:r w:rsidRPr="0007382B">
        <w:t>EC. (2021</w:t>
      </w:r>
      <w:r>
        <w:t>h</w:t>
      </w:r>
      <w:r w:rsidRPr="0007382B">
        <w:t xml:space="preserve">). Policy scenarios for delivering the European Green Deal. European Commission. </w:t>
      </w:r>
      <w:hyperlink r:id="rId126" w:history="1">
        <w:r w:rsidRPr="0007382B">
          <w:rPr>
            <w:rStyle w:val="Hyperlink"/>
          </w:rPr>
          <w:t>https://energy.ec.europa.eu/data-and-analysis/energy-modelling/policy-scenarios-delivering-european-green-deal_en</w:t>
        </w:r>
      </w:hyperlink>
      <w:r w:rsidRPr="0007382B">
        <w:rPr>
          <w:color w:val="0563C1" w:themeColor="hyperlink"/>
          <w:u w:val="single"/>
        </w:rPr>
        <w:t xml:space="preserve"> </w:t>
      </w:r>
    </w:p>
    <w:p w14:paraId="0B5FF0A3" w14:textId="77777777" w:rsidR="00B64508" w:rsidRPr="0007382B" w:rsidRDefault="00B64508" w:rsidP="00B64508">
      <w:pPr>
        <w:spacing w:before="120" w:after="120" w:line="257" w:lineRule="auto"/>
        <w:rPr>
          <w:rStyle w:val="Hyperlink"/>
        </w:rPr>
      </w:pPr>
      <w:r w:rsidRPr="0007382B">
        <w:t>EC. (2021</w:t>
      </w:r>
      <w:r>
        <w:t>i</w:t>
      </w:r>
      <w:r w:rsidRPr="0007382B">
        <w:t xml:space="preserve">). Proposal for a Directive of the European Parliament and of the Council amending Directive (EU) 2018/2001 of the European Parliament and of the Council, Regulation (EU) 2018/1999 of the European Parliament and of the Council and Directive 98/70/EC of the European Parliament and of the Council as regards the promotion of energy from renewable sources, and repealing Council Directive (EU) 2015/652. </w:t>
      </w:r>
      <w:hyperlink r:id="rId127" w:history="1">
        <w:r w:rsidRPr="0007382B">
          <w:rPr>
            <w:rStyle w:val="Hyperlink"/>
          </w:rPr>
          <w:t>https://eur-lex.europa.eu/legal-content/EN/TXT/?uri=CELEX:52021PC0557</w:t>
        </w:r>
      </w:hyperlink>
      <w:r w:rsidRPr="0007382B">
        <w:t xml:space="preserve"> </w:t>
      </w:r>
    </w:p>
    <w:p w14:paraId="7A9F4BAB" w14:textId="77777777" w:rsidR="00B64508" w:rsidRPr="00B64508" w:rsidRDefault="00B64508" w:rsidP="00B64508">
      <w:pPr>
        <w:pStyle w:val="Bibliography"/>
        <w:spacing w:before="120" w:after="120"/>
      </w:pPr>
      <w:r w:rsidRPr="00802BDE">
        <w:t xml:space="preserve">EC. (2023a). </w:t>
      </w:r>
      <w:r w:rsidRPr="00802BDE">
        <w:rPr>
          <w:iCs w:val="0"/>
        </w:rPr>
        <w:t>EU Blue Economy Observatory</w:t>
      </w:r>
      <w:r w:rsidRPr="00802BDE">
        <w:t xml:space="preserve">. </w:t>
      </w:r>
      <w:r w:rsidRPr="00B64508">
        <w:t>European Commission. https://blue-economy-observatory.ec.europa.eu/eu-blue-economy-sectors/port-activities_en</w:t>
      </w:r>
    </w:p>
    <w:p w14:paraId="4C26D0A3" w14:textId="77777777" w:rsidR="00B64508" w:rsidRDefault="00B64508" w:rsidP="00B64508">
      <w:pPr>
        <w:pStyle w:val="Bibliography"/>
        <w:spacing w:before="120" w:after="120"/>
      </w:pPr>
      <w:r w:rsidRPr="000A4DEC">
        <w:rPr>
          <w:lang w:val="en-IE"/>
        </w:rPr>
        <w:t xml:space="preserve">EC. (2023b). </w:t>
      </w:r>
      <w:r w:rsidRPr="000A4DEC">
        <w:rPr>
          <w:iCs w:val="0"/>
          <w:lang w:val="en-IE"/>
        </w:rPr>
        <w:t>EU transport in figures: Statistical pocketbook 2023</w:t>
      </w:r>
      <w:r w:rsidRPr="000A4DEC">
        <w:rPr>
          <w:lang w:val="en-IE"/>
        </w:rPr>
        <w:t xml:space="preserve">. </w:t>
      </w:r>
      <w:r w:rsidRPr="000A4DEC">
        <w:t>Directorate General for Mobility and Transport. https://data.europa.eu/doi/10.2832/319371</w:t>
      </w:r>
    </w:p>
    <w:p w14:paraId="081EDE40" w14:textId="77777777" w:rsidR="00B64508" w:rsidRDefault="00B64508" w:rsidP="00B64508">
      <w:pPr>
        <w:spacing w:before="120" w:after="120" w:line="257" w:lineRule="auto"/>
        <w:rPr>
          <w:rStyle w:val="Hyperlink"/>
        </w:rPr>
      </w:pPr>
      <w:r w:rsidRPr="0007382B">
        <w:t>EC. (2023</w:t>
      </w:r>
      <w:r>
        <w:t>c</w:t>
      </w:r>
      <w:r w:rsidRPr="0007382B">
        <w:t xml:space="preserve">). Fourth annual report from the European Commission on CO2 emissions from maritime Transport (period 2018-2021). </w:t>
      </w:r>
      <w:hyperlink r:id="rId128" w:history="1">
        <w:r w:rsidRPr="0007382B">
          <w:rPr>
            <w:rStyle w:val="Hyperlink"/>
          </w:rPr>
          <w:t>https://climate.ec.europa.eu/system/files/2023-03/swd_2023_54_en.pdf</w:t>
        </w:r>
      </w:hyperlink>
    </w:p>
    <w:p w14:paraId="2340F958" w14:textId="77777777" w:rsidR="00B64508" w:rsidRPr="0007382B" w:rsidRDefault="00B64508" w:rsidP="00B64508">
      <w:pPr>
        <w:rPr>
          <w:rStyle w:val="Hyperlink"/>
          <w:color w:val="auto"/>
          <w:u w:val="none"/>
        </w:rPr>
      </w:pPr>
      <w:r w:rsidRPr="000A4DEC">
        <w:t xml:space="preserve">EC. (2023d). Guide on financing the green energy transition of fisheries and aquaculture: Supporting the energy transition in fisheries and aquaculture through EU funding opportunities under the 2021 2027 multiannual financial framework, </w:t>
      </w:r>
      <w:proofErr w:type="spellStart"/>
      <w:r w:rsidRPr="000A4DEC">
        <w:t>NextGenerationEU</w:t>
      </w:r>
      <w:proofErr w:type="spellEnd"/>
      <w:r w:rsidRPr="000A4DEC">
        <w:t xml:space="preserve"> and beyond</w:t>
      </w:r>
      <w:r w:rsidRPr="000A4DEC">
        <w:rPr>
          <w:i/>
        </w:rPr>
        <w:t>.</w:t>
      </w:r>
      <w:r w:rsidRPr="000A4DEC">
        <w:t xml:space="preserve"> Directorate General for Mobility and Transport. https://data.europa.eu/doi/10.2771/377801</w:t>
      </w:r>
    </w:p>
    <w:p w14:paraId="0EAA725F" w14:textId="77777777" w:rsidR="00B64508" w:rsidRPr="0007382B" w:rsidRDefault="00B64508" w:rsidP="00B64508">
      <w:pPr>
        <w:spacing w:before="120" w:after="120" w:line="257" w:lineRule="auto"/>
      </w:pPr>
      <w:r w:rsidRPr="0007382B">
        <w:t>EC. (2023</w:t>
      </w:r>
      <w:r>
        <w:t>e</w:t>
      </w:r>
      <w:r w:rsidRPr="0007382B">
        <w:t xml:space="preserve">). Proposal for a directive of the </w:t>
      </w:r>
      <w:r>
        <w:t>E</w:t>
      </w:r>
      <w:r w:rsidRPr="0007382B">
        <w:t xml:space="preserve">uropean </w:t>
      </w:r>
      <w:r>
        <w:t>P</w:t>
      </w:r>
      <w:r w:rsidRPr="0007382B">
        <w:t xml:space="preserve">arliament and of the </w:t>
      </w:r>
      <w:r>
        <w:t>C</w:t>
      </w:r>
      <w:r w:rsidRPr="0007382B">
        <w:t xml:space="preserve">ouncil - amending Directive 2005/35/EC on ship-source pollution and on the introduction of penalties, including criminal penalties, for pollution offences. </w:t>
      </w:r>
      <w:hyperlink r:id="rId129" w:history="1">
        <w:r w:rsidRPr="0007382B">
          <w:rPr>
            <w:rStyle w:val="Hyperlink"/>
          </w:rPr>
          <w:t>https://eur-lex.europa.eu/LexUriServ/LexUriServ.do?uri=SWD:2023:0164:FIN:EN:PDF</w:t>
        </w:r>
      </w:hyperlink>
    </w:p>
    <w:p w14:paraId="3BF27257" w14:textId="77777777" w:rsidR="00B64508" w:rsidRDefault="00B64508" w:rsidP="00B64508">
      <w:pPr>
        <w:spacing w:before="120" w:after="120" w:line="257" w:lineRule="auto"/>
        <w:rPr>
          <w:rStyle w:val="Hyperlink"/>
        </w:rPr>
      </w:pPr>
      <w:r w:rsidRPr="0007382B">
        <w:t>EC. (2023</w:t>
      </w:r>
      <w:r>
        <w:t>f</w:t>
      </w:r>
      <w:r w:rsidRPr="0007382B">
        <w:t xml:space="preserve">). The dashboard of the EU Biodiversity Strategy is showing progress of the EU and its Member States towards the targets set for 2030. European Commission. </w:t>
      </w:r>
      <w:hyperlink r:id="rId130" w:anchor="Target%2012" w:history="1">
        <w:r w:rsidRPr="0007382B">
          <w:rPr>
            <w:rStyle w:val="Hyperlink"/>
          </w:rPr>
          <w:t>https://dopa.jrc.ec.europa.eu/kcbd/dashboard/#Target%2012</w:t>
        </w:r>
      </w:hyperlink>
    </w:p>
    <w:p w14:paraId="5F19468D" w14:textId="77777777" w:rsidR="00B64508" w:rsidRPr="00B20EA1" w:rsidRDefault="00B64508" w:rsidP="00B64508">
      <w:pPr>
        <w:pStyle w:val="Bibliography"/>
        <w:spacing w:before="120" w:after="120"/>
      </w:pPr>
      <w:r w:rsidRPr="00904B55">
        <w:t xml:space="preserve">EC and JRC. (2023). </w:t>
      </w:r>
      <w:r w:rsidRPr="00407C9B">
        <w:rPr>
          <w:iCs w:val="0"/>
        </w:rPr>
        <w:t>The EU blue economy report 2023</w:t>
      </w:r>
      <w:r w:rsidRPr="00904B55">
        <w:t xml:space="preserve">. Directorate General for Mobility and Transport and Joint Research Centre. </w:t>
      </w:r>
      <w:hyperlink r:id="rId131" w:history="1">
        <w:r w:rsidRPr="00904B55">
          <w:rPr>
            <w:rStyle w:val="Hyperlink"/>
          </w:rPr>
          <w:t>https://data.europa.eu/doi/10.2771/7151</w:t>
        </w:r>
      </w:hyperlink>
    </w:p>
    <w:p w14:paraId="67B46BFB" w14:textId="77777777" w:rsidR="00CF03DF" w:rsidRPr="00C66C24" w:rsidRDefault="00CF03DF" w:rsidP="008C6A9C">
      <w:pPr>
        <w:spacing w:before="120" w:after="120" w:line="257" w:lineRule="auto"/>
      </w:pPr>
      <w:r w:rsidRPr="00C66C24">
        <w:t xml:space="preserve">EEA. (2019). Pathways of introduction of marine non-indigenous species to European seas—European Environment Agency. Retrieved 16 June 2023, from </w:t>
      </w:r>
      <w:hyperlink r:id="rId132" w:history="1">
        <w:r w:rsidRPr="00C66C24">
          <w:rPr>
            <w:rStyle w:val="Hyperlink"/>
          </w:rPr>
          <w:t>https://www.eea.europa.eu/data-and-maps/indicators/trends-in-marine-alien-species-1/assessment</w:t>
        </w:r>
      </w:hyperlink>
    </w:p>
    <w:p w14:paraId="0F9F7772" w14:textId="77777777" w:rsidR="00CF03DF" w:rsidRPr="00C66C24" w:rsidRDefault="00CF03DF" w:rsidP="008C6A9C">
      <w:pPr>
        <w:spacing w:before="120" w:after="120" w:line="257" w:lineRule="auto"/>
        <w:rPr>
          <w:rStyle w:val="Hyperlink"/>
          <w:color w:val="auto"/>
          <w:u w:val="none"/>
        </w:rPr>
      </w:pPr>
      <w:r w:rsidRPr="00C66C24">
        <w:t xml:space="preserve">EEA. (2022a). Air quality in Europe 2022 [EEA Briefing]. European Environment Agency. </w:t>
      </w:r>
      <w:hyperlink r:id="rId133" w:history="1">
        <w:r w:rsidRPr="00C66C24">
          <w:rPr>
            <w:rStyle w:val="Hyperlink"/>
          </w:rPr>
          <w:t>https://www.eea.europa.eu/publications/air-quality-in-europe-2022</w:t>
        </w:r>
      </w:hyperlink>
    </w:p>
    <w:p w14:paraId="73B5FC2B" w14:textId="77777777" w:rsidR="00CF03DF" w:rsidRPr="00C66C24" w:rsidRDefault="00CF03DF" w:rsidP="008C6A9C">
      <w:pPr>
        <w:spacing w:before="120" w:after="120" w:line="257" w:lineRule="auto"/>
      </w:pPr>
      <w:r w:rsidRPr="00C66C24">
        <w:t xml:space="preserve">EEA. (2022b). </w:t>
      </w:r>
      <w:r w:rsidR="00590A7A" w:rsidRPr="00C66C24">
        <w:t xml:space="preserve">From source to sea. Publications Office. European Environment Agency. </w:t>
      </w:r>
      <w:hyperlink r:id="rId134" w:history="1">
        <w:r w:rsidR="00590A7A" w:rsidRPr="00C66C24">
          <w:rPr>
            <w:rStyle w:val="Hyperlink"/>
          </w:rPr>
          <w:t>https://data.europa.eu/doi/10.2800/088047</w:t>
        </w:r>
      </w:hyperlink>
    </w:p>
    <w:p w14:paraId="279800D3" w14:textId="77777777" w:rsidR="00590A7A" w:rsidRPr="00C66C24" w:rsidRDefault="00590A7A" w:rsidP="008C6A9C">
      <w:pPr>
        <w:spacing w:before="120" w:after="120" w:line="257" w:lineRule="auto"/>
      </w:pPr>
      <w:r w:rsidRPr="00C66C24">
        <w:t xml:space="preserve">EEA. (2022c). National emissions reported to the UNFCCC and to the EU greenhouse gas monitoring mechanism, Dec. 2022. European Environment Agency. </w:t>
      </w:r>
      <w:hyperlink r:id="rId135" w:history="1">
        <w:r w:rsidRPr="00C66C24">
          <w:rPr>
            <w:rStyle w:val="Hyperlink"/>
          </w:rPr>
          <w:t>https://www.eea.europa.eu/en/datahub</w:t>
        </w:r>
      </w:hyperlink>
    </w:p>
    <w:p w14:paraId="0D64543B" w14:textId="77777777" w:rsidR="00CF03DF" w:rsidRPr="00C66C24" w:rsidRDefault="00590A7A" w:rsidP="008C6A9C">
      <w:pPr>
        <w:spacing w:before="120" w:after="120" w:line="257" w:lineRule="auto"/>
      </w:pPr>
      <w:r w:rsidRPr="00C66C24">
        <w:t>EEA. (2023a).</w:t>
      </w:r>
      <w:r w:rsidR="00CF03DF" w:rsidRPr="00C66C24">
        <w:t xml:space="preserve"> Marine non-indigenous species in Europe’s seas. </w:t>
      </w:r>
      <w:r w:rsidRPr="00C66C24">
        <w:t xml:space="preserve">European Environment Agency. </w:t>
      </w:r>
      <w:hyperlink r:id="rId136" w:anchor="_ftn1" w:history="1">
        <w:r w:rsidR="00CF03DF" w:rsidRPr="00C66C24">
          <w:rPr>
            <w:rStyle w:val="Hyperlink"/>
          </w:rPr>
          <w:t>https://www.eea.europa.eu/ims/marine-non-indigenous-species-in#_ftn1</w:t>
        </w:r>
      </w:hyperlink>
    </w:p>
    <w:p w14:paraId="5D000A0A" w14:textId="77777777" w:rsidR="00CF03DF" w:rsidRPr="00C66C24" w:rsidRDefault="00CF03DF" w:rsidP="008C6A9C">
      <w:pPr>
        <w:spacing w:before="120" w:after="120" w:line="257" w:lineRule="auto"/>
      </w:pPr>
      <w:r w:rsidRPr="00C66C24">
        <w:t>EEA. (2023b) The Natura 2000 protected areas network—European Environment Agency.</w:t>
      </w:r>
      <w:r w:rsidR="005F3E00" w:rsidRPr="00C66C24">
        <w:t xml:space="preserve"> </w:t>
      </w:r>
      <w:r w:rsidRPr="00C66C24">
        <w:t xml:space="preserve">Retrieved 15 June 2023, from </w:t>
      </w:r>
      <w:hyperlink r:id="rId137" w:history="1">
        <w:r w:rsidRPr="00C66C24">
          <w:rPr>
            <w:rStyle w:val="Hyperlink"/>
          </w:rPr>
          <w:t>https://www.eea.europa.eu/themes/biodiversity/natura-2000</w:t>
        </w:r>
      </w:hyperlink>
      <w:r w:rsidRPr="00C66C24">
        <w:t>.</w:t>
      </w:r>
    </w:p>
    <w:p w14:paraId="658DFAB8" w14:textId="77777777" w:rsidR="00B64508" w:rsidRPr="0007382B" w:rsidRDefault="00B64508" w:rsidP="00B64508">
      <w:pPr>
        <w:spacing w:before="120" w:after="120" w:line="257" w:lineRule="auto"/>
      </w:pPr>
      <w:r w:rsidRPr="0007382B">
        <w:t xml:space="preserve">EEA </w:t>
      </w:r>
      <w:r>
        <w:t>and</w:t>
      </w:r>
      <w:r w:rsidRPr="0007382B">
        <w:t xml:space="preserve"> EMEP. (2023). International maritime navigation, international inland navigation, national navigation (shipping), national fishing, military (shipping), and recreational boats. European Environment Agency and European Monitoring and Evaluation Programme. </w:t>
      </w:r>
      <w:hyperlink r:id="rId138" w:history="1">
        <w:r w:rsidRPr="0007382B">
          <w:rPr>
            <w:rStyle w:val="Hyperlink"/>
          </w:rPr>
          <w:t>https://www.eea.europa.eu/publications/emep-eea-guidebook-2023/part-b-sectoral-guidance-chapters/1-energy/1-a-combustion/1-a-3-d-navigation/view</w:t>
        </w:r>
      </w:hyperlink>
    </w:p>
    <w:p w14:paraId="12D863ED" w14:textId="77777777" w:rsidR="00B64508" w:rsidRDefault="00B64508" w:rsidP="00B64508">
      <w:pPr>
        <w:spacing w:before="120" w:after="120" w:line="257" w:lineRule="auto"/>
        <w:rPr>
          <w:rStyle w:val="Hyperlink"/>
        </w:rPr>
      </w:pPr>
      <w:r w:rsidRPr="0079176E">
        <w:t xml:space="preserve">EEA and EMSA. (2021). European Maritime Transport Environmental Report 2021. </w:t>
      </w:r>
      <w:r w:rsidRPr="0007382B">
        <w:t xml:space="preserve">European Environment Agency and European Maritime Safety Agency. </w:t>
      </w:r>
      <w:hyperlink r:id="rId139" w:history="1">
        <w:r w:rsidRPr="0007382B">
          <w:rPr>
            <w:rStyle w:val="Hyperlink"/>
          </w:rPr>
          <w:t>https://www.eea.europa.eu/publications/maritime-transport</w:t>
        </w:r>
      </w:hyperlink>
    </w:p>
    <w:p w14:paraId="127E30F9" w14:textId="77777777" w:rsidR="00B64508" w:rsidRPr="0007382B" w:rsidRDefault="00B64508" w:rsidP="00B64508">
      <w:pPr>
        <w:pStyle w:val="Bibliography"/>
        <w:spacing w:before="120" w:after="120"/>
      </w:pPr>
      <w:r w:rsidRPr="00035B62">
        <w:t xml:space="preserve">E-FERRY. (2020). </w:t>
      </w:r>
      <w:r w:rsidRPr="00035B62">
        <w:rPr>
          <w:iCs w:val="0"/>
        </w:rPr>
        <w:t>E-Ferry—Connecting blue and green</w:t>
      </w:r>
      <w:r w:rsidRPr="00035B62">
        <w:t>. http://e-ferryproject.eu/</w:t>
      </w:r>
    </w:p>
    <w:p w14:paraId="0E298AF0" w14:textId="77777777" w:rsidR="00CF03DF" w:rsidRPr="00C66C24" w:rsidRDefault="00590A7A" w:rsidP="008C6A9C">
      <w:pPr>
        <w:spacing w:before="120" w:after="120" w:line="257" w:lineRule="auto"/>
        <w:rPr>
          <w:rStyle w:val="Hyperlink"/>
          <w:color w:val="auto"/>
          <w:u w:val="none"/>
        </w:rPr>
      </w:pPr>
      <w:r w:rsidRPr="00C66C24">
        <w:t xml:space="preserve">EGCS Association. (2023). SOx Regulation Map. Exhaust Gas Cleaning Systems Association. </w:t>
      </w:r>
      <w:hyperlink r:id="rId140" w:history="1">
        <w:r w:rsidR="00CF03DF" w:rsidRPr="00C66C24">
          <w:rPr>
            <w:rStyle w:val="Hyperlink"/>
          </w:rPr>
          <w:t>https://www.egcsa.com/map-regulations/</w:t>
        </w:r>
      </w:hyperlink>
    </w:p>
    <w:p w14:paraId="6AC3E1CA" w14:textId="77777777" w:rsidR="00590A7A" w:rsidRPr="00C66C24" w:rsidRDefault="00590A7A" w:rsidP="008C6A9C">
      <w:pPr>
        <w:spacing w:before="120" w:after="120" w:line="257" w:lineRule="auto"/>
      </w:pPr>
      <w:r w:rsidRPr="00C66C24">
        <w:t xml:space="preserve">EMODnet. (2023). EMODnet Human activities, dredging. EMODnet Human Activities. </w:t>
      </w:r>
      <w:r w:rsidR="00CF03DF" w:rsidRPr="00C66C24">
        <w:t xml:space="preserve">European Marine </w:t>
      </w:r>
      <w:r w:rsidRPr="00C66C24">
        <w:t xml:space="preserve">Observation and Data Network. </w:t>
      </w:r>
      <w:hyperlink r:id="rId141" w:history="1">
        <w:r w:rsidRPr="00C66C24">
          <w:rPr>
            <w:rStyle w:val="Hyperlink"/>
          </w:rPr>
          <w:t>https://ows.emodnet-humanactivities.eu:/geonetwork/srv/api/records/d3e86612-35a7-4c0f-a995-245062fd2792</w:t>
        </w:r>
      </w:hyperlink>
      <w:r w:rsidRPr="00C66C24">
        <w:t xml:space="preserve"> </w:t>
      </w:r>
    </w:p>
    <w:p w14:paraId="77BA02F5" w14:textId="77777777" w:rsidR="00CF03DF" w:rsidRDefault="00590A7A" w:rsidP="008C6A9C">
      <w:pPr>
        <w:spacing w:before="120" w:after="120" w:line="257" w:lineRule="auto"/>
        <w:rPr>
          <w:rStyle w:val="Hyperlink"/>
        </w:rPr>
      </w:pPr>
      <w:r w:rsidRPr="00C66C24">
        <w:t>EMSA. (2011). European marine casualty information platform – EMCIP. European Maritime Safety Agency.</w:t>
      </w:r>
      <w:r w:rsidR="00CF03DF" w:rsidRPr="00C66C24">
        <w:t xml:space="preserve"> </w:t>
      </w:r>
      <w:hyperlink r:id="rId142" w:history="1">
        <w:r w:rsidR="00CF03DF" w:rsidRPr="00C66C24">
          <w:rPr>
            <w:rStyle w:val="Hyperlink"/>
          </w:rPr>
          <w:t>https://www.emsa.europa.eu/emcip.html</w:t>
        </w:r>
      </w:hyperlink>
    </w:p>
    <w:p w14:paraId="36106585" w14:textId="77777777" w:rsidR="00CF03DF" w:rsidRPr="00EE652E" w:rsidRDefault="00CF03DF" w:rsidP="00B64508">
      <w:pPr>
        <w:pStyle w:val="Bibliography"/>
        <w:spacing w:before="120" w:after="120"/>
        <w:rPr>
          <w:lang w:val="en-IE"/>
        </w:rPr>
      </w:pPr>
      <w:r w:rsidRPr="00C66C24">
        <w:t xml:space="preserve">EMSA. </w:t>
      </w:r>
      <w:r w:rsidR="00B64508" w:rsidRPr="00035B62">
        <w:t xml:space="preserve">(2018). </w:t>
      </w:r>
      <w:r w:rsidR="00B64508" w:rsidRPr="00035B62">
        <w:rPr>
          <w:iCs w:val="0"/>
        </w:rPr>
        <w:t>EMSA/THETIS-MRV - CO2 emission report</w:t>
      </w:r>
      <w:r w:rsidR="00B64508" w:rsidRPr="00035B62">
        <w:t xml:space="preserve">. </w:t>
      </w:r>
      <w:r w:rsidR="00B64508">
        <w:t>European Maritime Safety Agency</w:t>
      </w:r>
      <w:r w:rsidR="00B64508" w:rsidRPr="00035B62">
        <w:t xml:space="preserve">. https://mrv.emsa.europa.eu/#public/ </w:t>
      </w:r>
      <w:proofErr w:type="spellStart"/>
      <w:r w:rsidR="00B64508" w:rsidRPr="00035B62">
        <w:t>eumrv</w:t>
      </w:r>
      <w:proofErr w:type="spellEnd"/>
      <w:r w:rsidR="00B64508" w:rsidRPr="00035B62">
        <w:t>).</w:t>
      </w:r>
    </w:p>
    <w:p w14:paraId="2E13642D" w14:textId="77777777" w:rsidR="00B64508" w:rsidRPr="00035B62" w:rsidRDefault="00B64508" w:rsidP="00B64508">
      <w:pPr>
        <w:pStyle w:val="Bibliography"/>
        <w:spacing w:before="120" w:after="120"/>
      </w:pPr>
      <w:r w:rsidRPr="00035B62">
        <w:t xml:space="preserve">EMSA. (2022). </w:t>
      </w:r>
      <w:r w:rsidRPr="00035B62">
        <w:rPr>
          <w:iCs w:val="0"/>
        </w:rPr>
        <w:t>July 2022—COVID-19 Impact on Shipping Report</w:t>
      </w:r>
      <w:r w:rsidRPr="00035B62">
        <w:t xml:space="preserve">. European Maritime Safety Agency. </w:t>
      </w:r>
      <w:hyperlink r:id="rId143" w:history="1">
        <w:r w:rsidRPr="00035B62">
          <w:rPr>
            <w:rStyle w:val="Hyperlink"/>
          </w:rPr>
          <w:t>https://www.emsa.europa.eu/newsroom/covid19-impact/item/4795-july-2022-covid-19-impact-on-shipping-report.html</w:t>
        </w:r>
      </w:hyperlink>
    </w:p>
    <w:p w14:paraId="38F6E96A" w14:textId="77777777" w:rsidR="00B64508" w:rsidRPr="00035B62" w:rsidRDefault="00B64508" w:rsidP="00B64508">
      <w:pPr>
        <w:pStyle w:val="Bibliography"/>
        <w:spacing w:before="120" w:after="120"/>
        <w:rPr>
          <w:lang w:val="en-IE"/>
        </w:rPr>
      </w:pPr>
      <w:r w:rsidRPr="00035B62">
        <w:t xml:space="preserve">EMSA. (2023a). </w:t>
      </w:r>
      <w:r w:rsidRPr="00E82596">
        <w:rPr>
          <w:iCs w:val="0"/>
        </w:rPr>
        <w:t>Central ship database</w:t>
      </w:r>
      <w:r w:rsidRPr="00035B62">
        <w:t xml:space="preserve">. </w:t>
      </w:r>
      <w:r w:rsidRPr="00035B62">
        <w:rPr>
          <w:lang w:val="en-IE"/>
        </w:rPr>
        <w:t>European Maritime Safety Agency. https://emsa.europa.eu/enhanced-central-ship-database.html</w:t>
      </w:r>
    </w:p>
    <w:p w14:paraId="736563E4" w14:textId="77777777" w:rsidR="00B64508" w:rsidRPr="00747986" w:rsidRDefault="00B64508" w:rsidP="00B64508">
      <w:pPr>
        <w:pStyle w:val="Bibliography"/>
        <w:spacing w:before="120" w:after="120"/>
      </w:pPr>
      <w:r w:rsidRPr="00035B62">
        <w:t xml:space="preserve">EMSA. (2023b). </w:t>
      </w:r>
      <w:r w:rsidRPr="00035B62">
        <w:rPr>
          <w:iCs w:val="0"/>
        </w:rPr>
        <w:t>Potential of hydrogen as fuel for shipping</w:t>
      </w:r>
      <w:r w:rsidRPr="00035B62">
        <w:t>. European Maritime Safety Agency. https://www.emsa.europa.eu/about/financial-regulations/items.html?cid=14&amp;id=5062</w:t>
      </w:r>
    </w:p>
    <w:p w14:paraId="13B6209C" w14:textId="77777777" w:rsidR="00B64508" w:rsidRDefault="00B64508" w:rsidP="00B64508">
      <w:pPr>
        <w:spacing w:before="120" w:after="120" w:line="257" w:lineRule="auto"/>
        <w:rPr>
          <w:rStyle w:val="Hyperlink"/>
        </w:rPr>
      </w:pPr>
      <w:r w:rsidRPr="0007382B">
        <w:t>EMSA. (2023</w:t>
      </w:r>
      <w:r>
        <w:t>c</w:t>
      </w:r>
      <w:r w:rsidRPr="0007382B">
        <w:t xml:space="preserve">). Update on potential of biofuels for shipping. European Maritime Safety Agency. </w:t>
      </w:r>
      <w:hyperlink r:id="rId144" w:history="1">
        <w:r w:rsidRPr="0007382B">
          <w:rPr>
            <w:rStyle w:val="Hyperlink"/>
          </w:rPr>
          <w:t>https://www.emsa.europa.eu/about/financial-regulations/items.html?cid=14:technical&amp;id=4834</w:t>
        </w:r>
      </w:hyperlink>
    </w:p>
    <w:p w14:paraId="4D0DC109" w14:textId="77777777" w:rsidR="00B64508" w:rsidRPr="0007382B" w:rsidRDefault="00B64508" w:rsidP="00B64508">
      <w:pPr>
        <w:pStyle w:val="Bibliography"/>
        <w:spacing w:before="120" w:after="120"/>
      </w:pPr>
      <w:r>
        <w:t xml:space="preserve">Environmental action. (2022). </w:t>
      </w:r>
      <w:r w:rsidRPr="00E82596">
        <w:rPr>
          <w:iCs w:val="0"/>
        </w:rPr>
        <w:t>The release of plastic paints in the environment</w:t>
      </w:r>
      <w:r>
        <w:t>. https://www.e-a.earth/plastic-paints-the-environment/</w:t>
      </w:r>
    </w:p>
    <w:p w14:paraId="23B3513C" w14:textId="77777777" w:rsidR="00CF03DF" w:rsidRPr="00C66C24" w:rsidRDefault="00CF03DF" w:rsidP="008C6A9C">
      <w:pPr>
        <w:spacing w:before="120" w:after="120" w:line="257" w:lineRule="auto"/>
        <w:rPr>
          <w:rStyle w:val="Hyperlink"/>
        </w:rPr>
      </w:pPr>
      <w:r w:rsidRPr="00C66C24">
        <w:t>EP. (2021). Review of the Energy Taxation Directive. E</w:t>
      </w:r>
      <w:r w:rsidR="000A5700" w:rsidRPr="00C66C24">
        <w:t xml:space="preserve">uropean </w:t>
      </w:r>
      <w:r w:rsidRPr="00C66C24">
        <w:t>P</w:t>
      </w:r>
      <w:r w:rsidR="000A5700" w:rsidRPr="00C66C24">
        <w:t>arliament</w:t>
      </w:r>
      <w:r w:rsidRPr="00C66C24">
        <w:t xml:space="preserve"> Think Tank.  </w:t>
      </w:r>
      <w:hyperlink r:id="rId145" w:history="1">
        <w:r w:rsidRPr="00C66C24">
          <w:rPr>
            <w:rStyle w:val="Hyperlink"/>
          </w:rPr>
          <w:t>https://www.europarl.europa.eu/thinktank/en/document/EPRS_BRI(2021)662636</w:t>
        </w:r>
      </w:hyperlink>
    </w:p>
    <w:p w14:paraId="314031E8" w14:textId="77777777" w:rsidR="00CF03DF" w:rsidRPr="00C66C24" w:rsidRDefault="00CF03DF" w:rsidP="008C6A9C">
      <w:pPr>
        <w:spacing w:before="120" w:after="120" w:line="257" w:lineRule="auto"/>
      </w:pPr>
      <w:r w:rsidRPr="00C66C24">
        <w:t xml:space="preserve">EP. (2023). Energy transition in the EU fisheries and aquaculture sector. European Parliament. </w:t>
      </w:r>
    </w:p>
    <w:p w14:paraId="06C75339" w14:textId="77777777" w:rsidR="00CF03DF" w:rsidRPr="00C66C24" w:rsidRDefault="00CF03DF" w:rsidP="008C6A9C">
      <w:pPr>
        <w:spacing w:before="120" w:after="120" w:line="257" w:lineRule="auto"/>
      </w:pPr>
      <w:proofErr w:type="spellStart"/>
      <w:r w:rsidRPr="00C66C24">
        <w:t>Erbe</w:t>
      </w:r>
      <w:proofErr w:type="spellEnd"/>
      <w:r w:rsidRPr="00C66C24">
        <w:t xml:space="preserve">, C., Marley, S. A., Schoeman, R. P., Smith, J. N., </w:t>
      </w:r>
      <w:proofErr w:type="spellStart"/>
      <w:r w:rsidRPr="00C66C24">
        <w:t>Trigg</w:t>
      </w:r>
      <w:proofErr w:type="spellEnd"/>
      <w:r w:rsidRPr="00C66C24">
        <w:t xml:space="preserve">, L. E., &amp; </w:t>
      </w:r>
      <w:proofErr w:type="spellStart"/>
      <w:r w:rsidRPr="00C66C24">
        <w:t>Embling</w:t>
      </w:r>
      <w:proofErr w:type="spellEnd"/>
      <w:r w:rsidRPr="00C66C24">
        <w:t xml:space="preserve">, C. B. (2019). </w:t>
      </w:r>
      <w:r w:rsidR="00590A7A" w:rsidRPr="00C66C24">
        <w:t>The effects of ship noise on marine mammals—A review.</w:t>
      </w:r>
      <w:r w:rsidRPr="00C66C24">
        <w:t xml:space="preserve"> </w:t>
      </w:r>
      <w:r w:rsidR="00DF65D5" w:rsidRPr="00C66C24">
        <w:rPr>
          <w:i/>
        </w:rPr>
        <w:t>Frontiers in Marine Science</w:t>
      </w:r>
      <w:r w:rsidR="00DF65D5" w:rsidRPr="00C66C24">
        <w:rPr>
          <w:iCs w:val="0"/>
        </w:rPr>
        <w:t>,</w:t>
      </w:r>
      <w:r w:rsidR="00DF65D5" w:rsidRPr="00C66C24">
        <w:rPr>
          <w:i/>
        </w:rPr>
        <w:t> 6</w:t>
      </w:r>
      <w:r w:rsidR="00DF65D5" w:rsidRPr="00C66C24">
        <w:rPr>
          <w:iCs w:val="0"/>
        </w:rPr>
        <w:t>, 606</w:t>
      </w:r>
      <w:r w:rsidRPr="00C66C24">
        <w:rPr>
          <w:i/>
        </w:rPr>
        <w:t>.</w:t>
      </w:r>
      <w:r w:rsidRPr="00C66C24">
        <w:t xml:space="preserve"> </w:t>
      </w:r>
      <w:hyperlink r:id="rId146" w:history="1">
        <w:r w:rsidRPr="00C66C24">
          <w:rPr>
            <w:rStyle w:val="Hyperlink"/>
          </w:rPr>
          <w:t>https://doi.org/10.3389/fmars.2019.00606</w:t>
        </w:r>
      </w:hyperlink>
    </w:p>
    <w:p w14:paraId="27D05F31" w14:textId="77777777" w:rsidR="00CF03DF" w:rsidRPr="00C66C24" w:rsidRDefault="00CF03DF" w:rsidP="008C6A9C">
      <w:pPr>
        <w:spacing w:before="120" w:after="120" w:line="257" w:lineRule="auto"/>
      </w:pPr>
      <w:r w:rsidRPr="00C66C24">
        <w:t xml:space="preserve">EU. (1981). Convention on long-range transboundary air pollution—Resolution on long-range transboundary air pollution. Council of the European Union. </w:t>
      </w:r>
      <w:hyperlink r:id="rId147" w:history="1">
        <w:r w:rsidRPr="00C66C24">
          <w:rPr>
            <w:rStyle w:val="Hyperlink"/>
          </w:rPr>
          <w:t>https://eur-lex.europa.eu/legal-content/EN/TXT/?uri=CELEX%3A21979A1113%2801%29</w:t>
        </w:r>
      </w:hyperlink>
    </w:p>
    <w:p w14:paraId="7FE09817" w14:textId="77777777" w:rsidR="009042A3" w:rsidRPr="00C66C24" w:rsidRDefault="00CF03DF" w:rsidP="008C6A9C">
      <w:pPr>
        <w:spacing w:before="120" w:after="120" w:line="257" w:lineRule="auto"/>
      </w:pPr>
      <w:r w:rsidRPr="002F3958">
        <w:rPr>
          <w:rStyle w:val="Hyperlink"/>
          <w:color w:val="auto"/>
          <w:u w:val="none"/>
        </w:rPr>
        <w:t xml:space="preserve">EU. </w:t>
      </w:r>
      <w:r w:rsidR="009042A3" w:rsidRPr="002F3958">
        <w:rPr>
          <w:rStyle w:val="Hyperlink"/>
          <w:color w:val="auto"/>
          <w:u w:val="none"/>
        </w:rPr>
        <w:t>(2000). Directive 2000/60/EC of the European Parliament and of the Council of 23 October 2000 establishing a framework for Community action in the field of water policy.</w:t>
      </w:r>
      <w:r w:rsidR="009042A3" w:rsidRPr="00C66C24">
        <w:rPr>
          <w:rStyle w:val="Hyperlink"/>
        </w:rPr>
        <w:t xml:space="preserve"> </w:t>
      </w:r>
      <w:hyperlink r:id="rId148" w:tooltip="Gives access to this document through its ELI URI." w:history="1">
        <w:r w:rsidR="009042A3" w:rsidRPr="00C66C24">
          <w:rPr>
            <w:rStyle w:val="Hyperlink"/>
            <w:rFonts w:ascii="Roboto" w:hAnsi="Roboto"/>
            <w:color w:val="337AB7"/>
            <w:sz w:val="21"/>
            <w:szCs w:val="21"/>
            <w:shd w:val="clear" w:color="auto" w:fill="FFFFFF"/>
          </w:rPr>
          <w:t>h</w:t>
        </w:r>
        <w:r w:rsidR="009042A3" w:rsidRPr="00C66C24">
          <w:rPr>
            <w:rStyle w:val="Hyperlink"/>
          </w:rPr>
          <w:t>ttp://data.europa.eu/eli/dir/2000/60/2014-11-20</w:t>
        </w:r>
      </w:hyperlink>
    </w:p>
    <w:p w14:paraId="66379A85" w14:textId="77777777" w:rsidR="00CF03DF" w:rsidRPr="00C66C24" w:rsidRDefault="00CF03DF" w:rsidP="008C6A9C">
      <w:pPr>
        <w:spacing w:before="120" w:after="120" w:line="257" w:lineRule="auto"/>
      </w:pPr>
      <w:r w:rsidRPr="00C66C24">
        <w:t xml:space="preserve">EU. (2002). Directive 2002/59/EC of the European Parliament and of the Council of 27 June 2002 establishing a Community vessel traffic monitoring and information system and repealing Council Directive 93/75/EEC. European Parliament and Council. </w:t>
      </w:r>
      <w:hyperlink r:id="rId149" w:history="1">
        <w:r w:rsidRPr="00C66C24">
          <w:rPr>
            <w:rStyle w:val="Hyperlink"/>
          </w:rPr>
          <w:t>https://eur-lex.europa.eu/legal-content/EN/TXT/?uri=CELEX%3A32002L0059&amp;qid=1698323593416</w:t>
        </w:r>
      </w:hyperlink>
    </w:p>
    <w:p w14:paraId="7E2FDD5E" w14:textId="77777777" w:rsidR="00CF03DF" w:rsidRPr="00C66C24" w:rsidRDefault="00CF03DF" w:rsidP="008C6A9C">
      <w:pPr>
        <w:spacing w:before="120" w:after="120" w:line="257" w:lineRule="auto"/>
      </w:pPr>
      <w:r w:rsidRPr="00C66C24">
        <w:t xml:space="preserve">EU. (2005). Directive 2005/35/EC of the European Parliament and of the Council of 7 September 2005 on ship-source pollution and on the introduction of penalties for infringements. European Union. </w:t>
      </w:r>
      <w:hyperlink r:id="rId150" w:history="1">
        <w:r w:rsidRPr="00C66C24">
          <w:rPr>
            <w:rStyle w:val="Hyperlink"/>
          </w:rPr>
          <w:t>http://data.europa.eu/eli/dir/2005/35/oj</w:t>
        </w:r>
      </w:hyperlink>
    </w:p>
    <w:p w14:paraId="0D4C656C" w14:textId="77777777" w:rsidR="00CF03DF" w:rsidRPr="0079176E" w:rsidRDefault="00CF03DF" w:rsidP="008C6A9C">
      <w:pPr>
        <w:spacing w:before="120" w:after="120" w:line="257" w:lineRule="auto"/>
        <w:rPr>
          <w:lang w:val="pt-PT"/>
        </w:rPr>
      </w:pPr>
      <w:r w:rsidRPr="00C66C24">
        <w:t xml:space="preserve">EU. (2006). Regulation (EC) No 1013/2006 of the European Parliament and of the Council of 14 June 2006 on shipments of waste. </w:t>
      </w:r>
      <w:hyperlink r:id="rId151" w:history="1">
        <w:r w:rsidRPr="0079176E">
          <w:rPr>
            <w:rStyle w:val="Hyperlink"/>
            <w:lang w:val="pt-PT"/>
          </w:rPr>
          <w:t>http://data.europa.eu/eli/reg/2006/1013/oj/eng</w:t>
        </w:r>
      </w:hyperlink>
    </w:p>
    <w:p w14:paraId="46DBA6E4" w14:textId="77777777" w:rsidR="00CF03DF" w:rsidRPr="00C66C24" w:rsidRDefault="00CF03DF" w:rsidP="008C6A9C">
      <w:pPr>
        <w:spacing w:before="120" w:after="120" w:line="257" w:lineRule="auto"/>
      </w:pPr>
      <w:r w:rsidRPr="0079176E">
        <w:rPr>
          <w:lang w:val="pt-PT"/>
        </w:rPr>
        <w:t xml:space="preserve">EU. (2008a). </w:t>
      </w:r>
      <w:r w:rsidRPr="00C66C24">
        <w:t xml:space="preserve">Directive 2008/56/EC of the European Parliament and of the Council of 17 June 2008 establishing a framework for Community action in the field of marine environmental policy (Marine Strategy Framework Directive). European Parliament and Council. </w:t>
      </w:r>
      <w:hyperlink r:id="rId152" w:history="1">
        <w:r w:rsidRPr="00C66C24">
          <w:rPr>
            <w:rStyle w:val="Hyperlink"/>
          </w:rPr>
          <w:t>https://eur-lex.europa.eu/legal-content/EN/TXT/PDF/?uri=CELEX:32022R0720</w:t>
        </w:r>
      </w:hyperlink>
      <w:r w:rsidRPr="00C66C24">
        <w:t>)</w:t>
      </w:r>
    </w:p>
    <w:p w14:paraId="739E5DAE" w14:textId="77777777" w:rsidR="00CF03DF" w:rsidRPr="00C66C24" w:rsidRDefault="00CF03DF" w:rsidP="008C6A9C">
      <w:pPr>
        <w:spacing w:before="120" w:after="120" w:line="257" w:lineRule="auto"/>
      </w:pPr>
      <w:r w:rsidRPr="00C66C24">
        <w:t xml:space="preserve">EU. (2008b). Directive 2008/105/EC of the European Parliament and of the Council of the European Parliament and of the Council of 16 December 2008 on environmental quality standards in the field of water policy, amending and subsequently repealing Council Directives 82/176/EEC, 83/513/EEC, 84/156/EEC, 84/491/EEC, 86/280/EEC and amending Directive 2000/60/EC of the European Parliament and of the Council. European Parliament and Council. </w:t>
      </w:r>
      <w:hyperlink r:id="rId153" w:history="1">
        <w:r w:rsidRPr="00C66C24">
          <w:rPr>
            <w:rStyle w:val="Hyperlink"/>
          </w:rPr>
          <w:t>https://eur-lex.europa.eu/legal-content/EN/TXT/PDF/?uri=CELEX:32008L0105</w:t>
        </w:r>
      </w:hyperlink>
    </w:p>
    <w:p w14:paraId="1D7CC8C9" w14:textId="77777777" w:rsidR="00CF03DF" w:rsidRPr="00C66C24" w:rsidRDefault="00CF03DF" w:rsidP="008C6A9C">
      <w:pPr>
        <w:spacing w:before="120" w:after="120" w:line="257" w:lineRule="auto"/>
      </w:pPr>
      <w:r w:rsidRPr="00C66C24">
        <w:t xml:space="preserve">EU. (2009a). Directive 2009/18/EC of the European Parliament and of the Council of 23 April 2009 establishing the fundamental principles governing the investigation of accidents in the maritime transport sector and amending Council Directive 1999/35/EC and Directive 2002/59/EC of the European Parliament and of the Council (Text with EEA relevance). European Parliament and Council. </w:t>
      </w:r>
      <w:hyperlink r:id="rId154" w:history="1">
        <w:r w:rsidRPr="00C66C24">
          <w:rPr>
            <w:rStyle w:val="Hyperlink"/>
          </w:rPr>
          <w:t>http://data.europa.eu/eli/dir/2009/18/oj</w:t>
        </w:r>
      </w:hyperlink>
    </w:p>
    <w:p w14:paraId="572F8223" w14:textId="77777777" w:rsidR="00CF03DF" w:rsidRDefault="00CF03DF" w:rsidP="008C6A9C">
      <w:pPr>
        <w:spacing w:before="120" w:after="120" w:line="257" w:lineRule="auto"/>
        <w:rPr>
          <w:rStyle w:val="Hyperlink"/>
        </w:rPr>
      </w:pPr>
      <w:r w:rsidRPr="00C66C24">
        <w:t xml:space="preserve">EU. (2009b). Directive 2009/123/EC of the European Parliament and of the Council of 21 October 2009 amending Directive 2005/35/EC on ship-source pollution and on the introduction of penalties for infringements. </w:t>
      </w:r>
      <w:r w:rsidR="00B64508" w:rsidRPr="004F3487">
        <w:t>European Parliament and Council</w:t>
      </w:r>
      <w:r w:rsidR="00B64508" w:rsidRPr="0007382B">
        <w:t>.</w:t>
      </w:r>
      <w:r w:rsidRPr="00C66C24">
        <w:t xml:space="preserve"> </w:t>
      </w:r>
      <w:hyperlink r:id="rId155" w:history="1">
        <w:r w:rsidRPr="00C66C24">
          <w:rPr>
            <w:rStyle w:val="Hyperlink"/>
          </w:rPr>
          <w:t>http://data.europa.eu/eli/dir/2009/123/oj</w:t>
        </w:r>
      </w:hyperlink>
    </w:p>
    <w:p w14:paraId="54A05E9E" w14:textId="77777777" w:rsidR="00B64508" w:rsidRPr="0007382B" w:rsidRDefault="00B64508" w:rsidP="00B64508">
      <w:pPr>
        <w:pStyle w:val="Bibliography"/>
        <w:spacing w:before="120" w:after="120"/>
      </w:pPr>
      <w:r w:rsidRPr="004F3487">
        <w:t xml:space="preserve">EU. (2011). </w:t>
      </w:r>
      <w:r w:rsidRPr="004F3487">
        <w:rPr>
          <w:iCs w:val="0"/>
        </w:rPr>
        <w:t>Commission Regulation (EU) No 582/2011 of 25 May 2011 implementing and amending Regulation (EC) No 595/2009 of the European Parliament and of the Council with respect to emissions from heavy duty vehicles (Euro VI) and amending Annexes I and III to Directive 2007/46/EC of the European Parliament and of the Council (Text with EEA relevance)</w:t>
      </w:r>
      <w:r w:rsidRPr="004F3487">
        <w:t>. European Parliament and Council. https://eur-lex.europa.eu/eli/reg/2011/582/oj</w:t>
      </w:r>
    </w:p>
    <w:p w14:paraId="275AAE70" w14:textId="77777777" w:rsidR="00CF03DF" w:rsidRPr="00C66C24" w:rsidRDefault="00CF03DF" w:rsidP="008C6A9C">
      <w:pPr>
        <w:spacing w:before="120" w:after="120" w:line="257" w:lineRule="auto"/>
        <w:rPr>
          <w:rStyle w:val="Hyperlink"/>
        </w:rPr>
      </w:pPr>
      <w:r w:rsidRPr="00C66C24">
        <w:t xml:space="preserve">EU. (2013). Regulation (EU) No 1257/2013 of the European Parliament and of the Council of 20 November 2013 on ship recycling and amending Regulation (EC) No 1013/2006 and Directive 2009/16/EC; OJ L 330, 10.12.2013, p. 1–20. </w:t>
      </w:r>
      <w:r w:rsidR="00B64508" w:rsidRPr="004F3487">
        <w:t>European Parliament and Council.</w:t>
      </w:r>
      <w:r w:rsidR="00B64508">
        <w:t xml:space="preserve"> </w:t>
      </w:r>
      <w:hyperlink r:id="rId156" w:history="1">
        <w:r w:rsidRPr="00C66C24">
          <w:rPr>
            <w:rStyle w:val="Hyperlink"/>
          </w:rPr>
          <w:t>https://eur-lex.europa.eu/legal-content/EN/ALL/?uri=CELEX:32013R1257</w:t>
        </w:r>
      </w:hyperlink>
    </w:p>
    <w:p w14:paraId="5CE2CCC3" w14:textId="77777777" w:rsidR="00CF03DF" w:rsidRDefault="00CF03DF" w:rsidP="008C6A9C">
      <w:pPr>
        <w:spacing w:before="120" w:after="120" w:line="257" w:lineRule="auto"/>
        <w:rPr>
          <w:rStyle w:val="Hyperlink"/>
        </w:rPr>
      </w:pPr>
      <w:r w:rsidRPr="00C66C24">
        <w:t>EU. (</w:t>
      </w:r>
      <w:r w:rsidR="00590A7A" w:rsidRPr="00C66C24">
        <w:t xml:space="preserve">2014a). Directive 2014/89/EU of the European Parliament and of the Council of 23 July 2014 establishing a framework for maritime spatial planning. European Parliament and Council. </w:t>
      </w:r>
      <w:hyperlink r:id="rId157" w:history="1">
        <w:r w:rsidR="00590A7A" w:rsidRPr="00C66C24">
          <w:rPr>
            <w:rStyle w:val="Hyperlink"/>
          </w:rPr>
          <w:t>http://eur-lex.europa.eu/legal-content/EN/TXT/PDF/?uri=CELEX:32014L0089&amp;from=EN</w:t>
        </w:r>
      </w:hyperlink>
    </w:p>
    <w:p w14:paraId="03D63906" w14:textId="77777777" w:rsidR="00590A7A" w:rsidRPr="0007382B" w:rsidRDefault="00590A7A" w:rsidP="00B64508">
      <w:pPr>
        <w:pStyle w:val="Bibliography"/>
        <w:spacing w:before="120" w:after="120"/>
        <w:rPr>
          <w:rStyle w:val="Hyperlink"/>
          <w:color w:val="auto"/>
          <w:u w:val="none"/>
        </w:rPr>
      </w:pPr>
      <w:r w:rsidRPr="00C66C24">
        <w:t xml:space="preserve">EU. (2014b). </w:t>
      </w:r>
      <w:r w:rsidR="00B64508" w:rsidRPr="004F3487">
        <w:rPr>
          <w:iCs w:val="0"/>
        </w:rPr>
        <w:t>Directive 2014/94/EU of the European Parliament and of the Council of 22 October 2014 on the deployment of alternative fuels infrastructure.</w:t>
      </w:r>
      <w:r w:rsidR="00B64508" w:rsidRPr="004F3487">
        <w:t xml:space="preserve"> European Parliament and Council. https://eur-lex.europa.eu/legal-content/EN/TXT/?uri=celex%3A32014L0094</w:t>
      </w:r>
    </w:p>
    <w:p w14:paraId="4C564909" w14:textId="77777777" w:rsidR="00B64508" w:rsidRPr="0007382B" w:rsidRDefault="00B64508" w:rsidP="00B64508">
      <w:pPr>
        <w:spacing w:before="120" w:after="120" w:line="257" w:lineRule="auto"/>
      </w:pPr>
      <w:r w:rsidRPr="0007382B">
        <w:t>EU. (2014</w:t>
      </w:r>
      <w:r>
        <w:t>c</w:t>
      </w:r>
      <w:r w:rsidRPr="0007382B">
        <w:t>). Regulation (EU) No 1143/2014 of the European Parliament and of the Council of 22 October 2014 on the prevention and management of the introduction and spread of invasive alien species, 317 OJ L (2014).</w:t>
      </w:r>
      <w:r>
        <w:t xml:space="preserve"> </w:t>
      </w:r>
      <w:r w:rsidRPr="004F3487">
        <w:t>European Parliament and Council.</w:t>
      </w:r>
      <w:r>
        <w:t xml:space="preserve"> </w:t>
      </w:r>
      <w:r w:rsidRPr="0007382B">
        <w:t xml:space="preserve"> http://data.europa.eu/eli/reg/2014/1143/oj/eng</w:t>
      </w:r>
    </w:p>
    <w:p w14:paraId="253CBE68" w14:textId="77777777" w:rsidR="00CF03DF" w:rsidRPr="00C66C24" w:rsidRDefault="00CF03DF" w:rsidP="008C6A9C">
      <w:pPr>
        <w:spacing w:before="120" w:after="120" w:line="257" w:lineRule="auto"/>
      </w:pPr>
      <w:r w:rsidRPr="00C66C24">
        <w:t xml:space="preserve">EU. (2015). Regulation (EU) 2015/757 of the European Parliament and of the Council of 29 April 2015 on the monitoring, reporting and verification of carbon dioxide emissions from maritime transport, and amending Directive 2009/16/EC (Text with EEA relevance). European Parliament and Council. </w:t>
      </w:r>
      <w:hyperlink r:id="rId158" w:history="1">
        <w:r w:rsidRPr="00C66C24">
          <w:rPr>
            <w:rStyle w:val="Hyperlink"/>
          </w:rPr>
          <w:t>http://data.europa.eu/eli/reg/2015/757/oj</w:t>
        </w:r>
      </w:hyperlink>
    </w:p>
    <w:p w14:paraId="266150FB" w14:textId="77777777" w:rsidR="00CF03DF" w:rsidRPr="00C66C24" w:rsidRDefault="00CF03DF" w:rsidP="008C6A9C">
      <w:pPr>
        <w:spacing w:before="120" w:after="120" w:line="257" w:lineRule="auto"/>
        <w:rPr>
          <w:rStyle w:val="Hyperlink"/>
        </w:rPr>
      </w:pPr>
      <w:r w:rsidRPr="00C66C24">
        <w:t>EU. (</w:t>
      </w:r>
      <w:r w:rsidR="00590A7A" w:rsidRPr="00C66C24">
        <w:t xml:space="preserve">2016a). </w:t>
      </w:r>
      <w:r w:rsidR="00617F69" w:rsidRPr="00C66C24">
        <w:t>Codified</w:t>
      </w:r>
      <w:r w:rsidR="00590A7A" w:rsidRPr="00C66C24">
        <w:t xml:space="preserve"> Directive (EU) 2016/802 of the European Parliament and of the</w:t>
      </w:r>
      <w:r w:rsidRPr="00C66C24">
        <w:t xml:space="preserve"> Council of 11 May 2016 relating to a reduction in the sulphur content of certain liquid fuels. European Parliament and Council. </w:t>
      </w:r>
      <w:hyperlink r:id="rId159" w:history="1">
        <w:r w:rsidRPr="00C66C24">
          <w:rPr>
            <w:rStyle w:val="Hyperlink"/>
          </w:rPr>
          <w:t>http://data.europa.eu/eli/dir/2016/802/oj</w:t>
        </w:r>
      </w:hyperlink>
    </w:p>
    <w:p w14:paraId="7E6C85AC" w14:textId="77777777" w:rsidR="00F23D5C" w:rsidRPr="00C66C24" w:rsidRDefault="00F23D5C" w:rsidP="008C6A9C">
      <w:pPr>
        <w:spacing w:before="120" w:after="120" w:line="257" w:lineRule="auto"/>
      </w:pPr>
      <w:r w:rsidRPr="00C66C24">
        <w:t xml:space="preserve">EU. (2016b). Directive (EU) 2016/2284 of the European Parliament and of the Council of 14 December 2016 on the reduction of national emissions of certain atmospheric pollutants, amending Directive 2003/35/EC and repealing Directive 2001/81/EC. </w:t>
      </w:r>
      <w:hyperlink r:id="rId160" w:history="1">
        <w:r w:rsidRPr="00C66C24">
          <w:rPr>
            <w:rStyle w:val="Hyperlink"/>
          </w:rPr>
          <w:t>https://eur-lex.europa.eu/legal-content/EN/TXT/?toc=OJ%3AL%3A2016%3A344%3ATOC&amp;uri=uriserv%3AOJ.L_.2016.344.01.0001.01.ENG</w:t>
        </w:r>
      </w:hyperlink>
      <w:r w:rsidRPr="00C66C24">
        <w:t xml:space="preserve"> </w:t>
      </w:r>
    </w:p>
    <w:p w14:paraId="2451052E" w14:textId="77777777" w:rsidR="00590A7A" w:rsidRPr="00C66C24" w:rsidRDefault="00590A7A" w:rsidP="008C6A9C">
      <w:pPr>
        <w:spacing w:before="120" w:after="120" w:line="257" w:lineRule="auto"/>
      </w:pPr>
      <w:r w:rsidRPr="00C66C24">
        <w:t xml:space="preserve">EU. (2017). Commission Decision (EU) 2017/848 of 17 May 2017 laying down criteria and methodological standards on good environmental status of marine waters and specifications and standardised methods for monitoring and assessment, and repealing Decision 2010/477/EU (Text with EEA relevance), 125 OJ L (2017). </w:t>
      </w:r>
      <w:hyperlink r:id="rId161" w:history="1">
        <w:r w:rsidRPr="00C66C24">
          <w:rPr>
            <w:rStyle w:val="Hyperlink"/>
          </w:rPr>
          <w:t>http://data.europa.eu/eli/dec/2017/848/oj/eng</w:t>
        </w:r>
      </w:hyperlink>
      <w:hyperlink r:id="rId162" w:history="1">
        <w:r w:rsidRPr="00C66C24">
          <w:rPr>
            <w:rStyle w:val="Hyperlink"/>
          </w:rPr>
          <w:t>http://data.europa.eu/eli/dec/2017/848/oj/eng</w:t>
        </w:r>
      </w:hyperlink>
      <w:r w:rsidRPr="00C66C24">
        <w:t xml:space="preserve"> </w:t>
      </w:r>
    </w:p>
    <w:p w14:paraId="53408C8D" w14:textId="77777777" w:rsidR="00CF03DF" w:rsidRPr="00C66C24" w:rsidRDefault="00CF03DF" w:rsidP="008C6A9C">
      <w:pPr>
        <w:spacing w:before="120" w:after="120" w:line="257" w:lineRule="auto"/>
      </w:pPr>
      <w:r w:rsidRPr="00C66C24">
        <w:t>EU. (2018</w:t>
      </w:r>
      <w:r w:rsidR="00B64508" w:rsidRPr="0007382B">
        <w:t>).</w:t>
      </w:r>
      <w:r w:rsidRPr="00C66C24">
        <w:t xml:space="preserve"> </w:t>
      </w:r>
      <w:r w:rsidR="00590A7A" w:rsidRPr="00C66C24">
        <w:t>Regulation (EU) 2018/1999 of the European Parliament and of the Council of 11 December 2018 on the governance of the energy Union and climate action</w:t>
      </w:r>
      <w:r w:rsidRPr="00C66C24">
        <w:t xml:space="preserve">, amending Regulations (EC) No 663/2009 and (EC) No 715/2009 of the European Parliament and of the Council, Directives 94/22/EC, 98/70/EC, 2009/31/EC, 2009/73/EC, 2010/31/EU, 2012/27/EU and 2013/30/EU of the European Parliament and of the Council, Council Directives 2009/119/EC and (EU) 2015/652 and repealing Regulation (EU) No 525/2013 of the European Parliament and of the Council (Text with EEA relevance). </w:t>
      </w:r>
      <w:r w:rsidR="00B64508" w:rsidRPr="004F3487">
        <w:t>European Parliament and Council.</w:t>
      </w:r>
      <w:r w:rsidRPr="00C66C24">
        <w:t xml:space="preserve"> </w:t>
      </w:r>
      <w:hyperlink r:id="rId163" w:history="1">
        <w:r w:rsidRPr="00C66C24">
          <w:rPr>
            <w:rStyle w:val="Hyperlink"/>
          </w:rPr>
          <w:t>http://data.europa.eu/eli/reg/2018/1999/oj/eng</w:t>
        </w:r>
      </w:hyperlink>
    </w:p>
    <w:p w14:paraId="6E5CEB11" w14:textId="77777777" w:rsidR="00CF03DF" w:rsidRPr="00C66C24" w:rsidRDefault="00CF03DF" w:rsidP="008C6A9C">
      <w:pPr>
        <w:spacing w:before="120" w:after="120" w:line="257" w:lineRule="auto"/>
      </w:pPr>
      <w:r w:rsidRPr="00C66C24">
        <w:t xml:space="preserve">EU. (2019a). Directive (EU) 2019/883 of the European Parliament and of the Council of 17 April 2019 on port reception facilities for the delivery of waste from ships, amending Directive 2010/65/EU and repealing Directive 2000/59/EC. European Parliament and Council. </w:t>
      </w:r>
      <w:hyperlink r:id="rId164" w:history="1">
        <w:r w:rsidRPr="00C66C24">
          <w:rPr>
            <w:rStyle w:val="Hyperlink"/>
          </w:rPr>
          <w:t>https://eur-lex.europa.eu/legal-content/EN/TXT/PDF/?uri=CELEX:32019L0883</w:t>
        </w:r>
      </w:hyperlink>
    </w:p>
    <w:p w14:paraId="7DB2CFF3" w14:textId="77777777" w:rsidR="00CF03DF" w:rsidRDefault="00CF03DF" w:rsidP="008C6A9C">
      <w:pPr>
        <w:spacing w:before="120" w:after="120" w:line="257" w:lineRule="auto"/>
        <w:rPr>
          <w:rStyle w:val="Hyperlink"/>
        </w:rPr>
      </w:pPr>
      <w:r w:rsidRPr="00C66C24">
        <w:t xml:space="preserve">EU. (2019b). Directive (EU) 2019/904 of the European Parliament and of the Council of 5 June 2019 on the reduction of the impact of certain plastic products on the environment (Text with EEA relevance). </w:t>
      </w:r>
      <w:r w:rsidR="00B64508" w:rsidRPr="004F3487">
        <w:t>European Parliament and Council.</w:t>
      </w:r>
      <w:r w:rsidRPr="00C66C24">
        <w:t xml:space="preserve"> </w:t>
      </w:r>
      <w:hyperlink r:id="rId165" w:history="1">
        <w:r w:rsidRPr="00C66C24">
          <w:rPr>
            <w:rStyle w:val="Hyperlink"/>
          </w:rPr>
          <w:t>https://eur-lex.europa.eu/legal-content/EN/TXT/HTML/?uri=CELEX:32019L0904&amp;from=EN</w:t>
        </w:r>
      </w:hyperlink>
    </w:p>
    <w:p w14:paraId="4FE0A951" w14:textId="77777777" w:rsidR="00B64508" w:rsidRPr="00D34D7B" w:rsidRDefault="00B64508" w:rsidP="00B64508">
      <w:pPr>
        <w:pStyle w:val="Bibliography"/>
        <w:spacing w:before="120" w:after="120"/>
      </w:pPr>
      <w:r w:rsidRPr="00D34D7B">
        <w:t xml:space="preserve">EU. (2023a). </w:t>
      </w:r>
      <w:r w:rsidRPr="00D34D7B">
        <w:rPr>
          <w:iCs w:val="0"/>
        </w:rPr>
        <w:t>Directive (EU) 2023/2413 of the European Parliament and of the Council of 18 October 2023 amending Directive (EU) 2018/2001, Regulation (EU) 2018/1999 and Directive 98/70/EC as regards the promotion of energy from renewable sources, and repealing Council Directive (EU) 2015/652</w:t>
      </w:r>
      <w:r w:rsidRPr="00D34D7B">
        <w:t>. European Parliament and Council. https://eur-lex.europa.eu/legal-content/EN/TXT/?uri=CELEX%3A32023L2413&amp;qid=1699364355105</w:t>
      </w:r>
    </w:p>
    <w:p w14:paraId="78CC74FE" w14:textId="77777777" w:rsidR="00B64508" w:rsidRPr="0007382B" w:rsidRDefault="00B64508" w:rsidP="00B64508">
      <w:pPr>
        <w:spacing w:before="120" w:after="120" w:line="257" w:lineRule="auto"/>
      </w:pPr>
      <w:r w:rsidRPr="0007382B">
        <w:t>EU. (2023</w:t>
      </w:r>
      <w:r>
        <w:t>b</w:t>
      </w:r>
      <w:r w:rsidRPr="0007382B">
        <w:t xml:space="preserve">). </w:t>
      </w:r>
      <w:proofErr w:type="spellStart"/>
      <w:r w:rsidRPr="0007382B">
        <w:t>FuelEU</w:t>
      </w:r>
      <w:proofErr w:type="spellEnd"/>
      <w:r w:rsidRPr="0007382B">
        <w:t xml:space="preserve"> maritime initiative: Council adopts new law to decarbonise the maritime sector. Press Release by the Council of the European Union. </w:t>
      </w:r>
      <w:hyperlink r:id="rId166" w:history="1">
        <w:r w:rsidRPr="0007382B">
          <w:rPr>
            <w:rStyle w:val="Hyperlink"/>
          </w:rPr>
          <w:t>https://www.consilium.europa.eu/en/press/press-releases/2023/07/25/fueleu-maritime-initiative-council-adopts-new-law-to-decarbonise-the-maritime-sector/</w:t>
        </w:r>
      </w:hyperlink>
    </w:p>
    <w:p w14:paraId="56B13C0B" w14:textId="77777777" w:rsidR="00B64508" w:rsidRPr="0007382B" w:rsidRDefault="00B64508" w:rsidP="00B64508">
      <w:pPr>
        <w:spacing w:before="120" w:after="120" w:line="257" w:lineRule="auto"/>
        <w:rPr>
          <w:rStyle w:val="Hyperlink"/>
          <w:color w:val="auto"/>
          <w:u w:val="none"/>
        </w:rPr>
      </w:pPr>
      <w:r w:rsidRPr="0007382B">
        <w:t>EU. (2023</w:t>
      </w:r>
      <w:r>
        <w:t>c</w:t>
      </w:r>
      <w:r w:rsidRPr="0007382B">
        <w:t xml:space="preserve">). Regulation (EU) 2023/957 of the European Parliament and of the Council of 10 May 2023 amending Regulation (EU) 2015/757 in order to provide for the inclusion of maritime transport activities in the EU Emissions Trading System and for the monitoring, reporting and verification of emissions of additional greenhouse gases and emissions from additional ship types. European Union. </w:t>
      </w:r>
      <w:hyperlink r:id="rId167" w:history="1">
        <w:r w:rsidRPr="0007382B">
          <w:rPr>
            <w:rStyle w:val="Hyperlink"/>
          </w:rPr>
          <w:t>http://data.europa.eu/eli/reg/2023/957/oj</w:t>
        </w:r>
      </w:hyperlink>
    </w:p>
    <w:p w14:paraId="685950EE" w14:textId="77777777" w:rsidR="00B64508" w:rsidRDefault="00B64508" w:rsidP="00B64508">
      <w:pPr>
        <w:spacing w:before="120" w:after="120" w:line="257" w:lineRule="auto"/>
        <w:rPr>
          <w:rStyle w:val="Hyperlink"/>
        </w:rPr>
      </w:pPr>
      <w:r w:rsidRPr="0007382B">
        <w:t>EU. (2023</w:t>
      </w:r>
      <w:r>
        <w:t>d</w:t>
      </w:r>
      <w:r w:rsidRPr="0007382B">
        <w:t xml:space="preserve">). Regulation (EU) 2023/1804 of the European Parliament and of the Council of 13 September 2023 on the deployment of alternative fuels infrastructure, and repealing Directive 2014/94/EU (Text with EEA relevance). European Union. </w:t>
      </w:r>
      <w:hyperlink r:id="rId168" w:history="1">
        <w:r w:rsidRPr="0007382B">
          <w:rPr>
            <w:rStyle w:val="Hyperlink"/>
          </w:rPr>
          <w:t>https://eur-lex.europa.eu/eli/reg/2023/1804/oj</w:t>
        </w:r>
      </w:hyperlink>
    </w:p>
    <w:p w14:paraId="4582999F" w14:textId="77777777" w:rsidR="00B64508" w:rsidRPr="0007382B" w:rsidRDefault="00B64508" w:rsidP="00B64508">
      <w:pPr>
        <w:pStyle w:val="Bibliography"/>
        <w:spacing w:before="120" w:after="120"/>
      </w:pPr>
      <w:r w:rsidRPr="00D34D7B">
        <w:t>EU. (2023</w:t>
      </w:r>
      <w:r>
        <w:t>e</w:t>
      </w:r>
      <w:r w:rsidRPr="00D34D7B">
        <w:t xml:space="preserve">). </w:t>
      </w:r>
      <w:r w:rsidRPr="00D34D7B">
        <w:rPr>
          <w:iCs w:val="0"/>
        </w:rPr>
        <w:t>Regulation (EU) 2023/2842 of the European Parliament and of the Council of 22 November 2023 amending Council Regulation (EC) No 1224/2009, and amending Council Regulations (EC) No 1967/2006 and (EC) No 1005/2008 and Regulations (EU) 2016/1139, (EU) 2017/2403 and (EU) 2019/473 of the European Parliament and of the Council as regards fisheries control</w:t>
      </w:r>
      <w:r w:rsidRPr="00D34D7B">
        <w:t>. European Parliament and Council. https://eur-lex.europa.eu/eli/reg/2023/2842/oj</w:t>
      </w:r>
    </w:p>
    <w:p w14:paraId="3E4C3676" w14:textId="77777777" w:rsidR="00CF03DF" w:rsidRPr="00C66C24" w:rsidRDefault="00CF03DF" w:rsidP="008C6A9C">
      <w:pPr>
        <w:spacing w:before="120" w:after="120" w:line="257" w:lineRule="auto"/>
      </w:pPr>
      <w:r w:rsidRPr="0079176E">
        <w:rPr>
          <w:lang w:val="fr-FR"/>
        </w:rPr>
        <w:t xml:space="preserve">EUROSTAT. </w:t>
      </w:r>
      <w:r w:rsidRPr="003137A8">
        <w:rPr>
          <w:lang w:val="fr-FR"/>
        </w:rPr>
        <w:t>(</w:t>
      </w:r>
      <w:r w:rsidR="00B64508" w:rsidRPr="003137A8">
        <w:rPr>
          <w:lang w:val="fr-FR"/>
        </w:rPr>
        <w:t>2023).</w:t>
      </w:r>
      <w:r w:rsidRPr="00FF6CA4">
        <w:rPr>
          <w:lang w:val="fr-FR"/>
        </w:rPr>
        <w:t xml:space="preserve"> SE_Article_Maritime_Freight-Vessels_2022-11.xlsx. </w:t>
      </w:r>
      <w:hyperlink r:id="rId169" w:history="1">
        <w:r w:rsidRPr="00C66C24">
          <w:rPr>
            <w:rStyle w:val="Hyperlink"/>
          </w:rPr>
          <w:t>https://view.officeapps.live.com/op/view.aspx?src=https%3A%2F%2Fec.europa.eu%2Feurostat%2Fstatistics-explained%2Fimages%2Fa%2Fa9%2FSE_Article_Maritime_Freight-Vessels_2022-11.xlsx&amp;wdOrigin=BROWSELINK</w:t>
        </w:r>
      </w:hyperlink>
      <w:r w:rsidR="00E23CE4" w:rsidRPr="00C66C24">
        <w:t xml:space="preserve"> </w:t>
      </w:r>
    </w:p>
    <w:p w14:paraId="0CD23492" w14:textId="77777777" w:rsidR="00CF03DF" w:rsidRDefault="00CF03DF" w:rsidP="008C6A9C">
      <w:pPr>
        <w:spacing w:before="120" w:after="120" w:line="257" w:lineRule="auto"/>
        <w:rPr>
          <w:rStyle w:val="Hyperlink"/>
        </w:rPr>
      </w:pPr>
      <w:r w:rsidRPr="003137A8">
        <w:rPr>
          <w:lang w:val="es-AR"/>
        </w:rPr>
        <w:t xml:space="preserve">Faber, J., van den </w:t>
      </w:r>
      <w:proofErr w:type="spellStart"/>
      <w:r w:rsidRPr="003137A8">
        <w:rPr>
          <w:lang w:val="es-AR"/>
        </w:rPr>
        <w:t>Berg</w:t>
      </w:r>
      <w:proofErr w:type="spellEnd"/>
      <w:r w:rsidRPr="003137A8">
        <w:rPr>
          <w:lang w:val="es-AR"/>
        </w:rPr>
        <w:t xml:space="preserve">, R., &amp; </w:t>
      </w:r>
      <w:proofErr w:type="spellStart"/>
      <w:r w:rsidRPr="003137A8">
        <w:rPr>
          <w:lang w:val="es-AR"/>
        </w:rPr>
        <w:t>Raphaël</w:t>
      </w:r>
      <w:proofErr w:type="spellEnd"/>
      <w:r w:rsidRPr="003137A8">
        <w:rPr>
          <w:lang w:val="es-AR"/>
        </w:rPr>
        <w:t xml:space="preserve">, S. (2023). </w:t>
      </w:r>
      <w:r w:rsidRPr="00C66C24">
        <w:t xml:space="preserve">Preventing spills of plastic pellets: A feasibility analysis of regulatory options. </w:t>
      </w:r>
      <w:hyperlink r:id="rId170" w:history="1">
        <w:r w:rsidRPr="00C66C24">
          <w:rPr>
            <w:rStyle w:val="Hyperlink"/>
          </w:rPr>
          <w:t>https://cedelft.eu/wp-content/uploads/sites/2/2023/03/CE_Delft_220512_Preventing_spills_of_plastic_pellets_DEF1-1.pdf</w:t>
        </w:r>
      </w:hyperlink>
    </w:p>
    <w:p w14:paraId="7737877F" w14:textId="77777777" w:rsidR="00B64508" w:rsidRPr="0007382B" w:rsidRDefault="00B64508" w:rsidP="00B64508">
      <w:pPr>
        <w:pStyle w:val="Bibliography"/>
        <w:spacing w:before="120" w:after="120"/>
      </w:pPr>
      <w:r w:rsidRPr="00327C66">
        <w:t xml:space="preserve">FASTWATER. (2020). </w:t>
      </w:r>
      <w:r w:rsidRPr="00327C66">
        <w:rPr>
          <w:iCs w:val="0"/>
        </w:rPr>
        <w:t xml:space="preserve">FASTWATER project—FAST Track to Clean and Carbon-Neutral </w:t>
      </w:r>
      <w:proofErr w:type="spellStart"/>
      <w:r w:rsidRPr="00327C66">
        <w:rPr>
          <w:iCs w:val="0"/>
        </w:rPr>
        <w:t>WATERborne</w:t>
      </w:r>
      <w:proofErr w:type="spellEnd"/>
      <w:r w:rsidRPr="00327C66">
        <w:rPr>
          <w:iCs w:val="0"/>
        </w:rPr>
        <w:t xml:space="preserve"> Transport</w:t>
      </w:r>
      <w:r w:rsidRPr="00327C66">
        <w:t>. https://fastwater.eu/</w:t>
      </w:r>
    </w:p>
    <w:p w14:paraId="285617C3" w14:textId="77777777" w:rsidR="00CF03DF" w:rsidRDefault="00CF03DF" w:rsidP="008C6A9C">
      <w:pPr>
        <w:spacing w:before="120" w:after="120" w:line="257" w:lineRule="auto"/>
        <w:rPr>
          <w:rStyle w:val="Hyperlink"/>
        </w:rPr>
      </w:pPr>
      <w:r w:rsidRPr="00C66C24">
        <w:t xml:space="preserve">FMI. (2023). Ship Traffic Emission Assessment Model (STEAM) [dataset]. Finnish Meteorological Institute. </w:t>
      </w:r>
      <w:hyperlink r:id="rId171" w:history="1">
        <w:r w:rsidRPr="00C66C24">
          <w:rPr>
            <w:rStyle w:val="Hyperlink"/>
          </w:rPr>
          <w:t>https://www.ilmatieteenlaitos.fi/</w:t>
        </w:r>
      </w:hyperlink>
    </w:p>
    <w:p w14:paraId="09DA5ACD" w14:textId="77777777" w:rsidR="00B64508" w:rsidRPr="00327C66" w:rsidRDefault="00B64508" w:rsidP="00B64508">
      <w:pPr>
        <w:pStyle w:val="Bibliography"/>
        <w:spacing w:before="120" w:after="120"/>
      </w:pPr>
      <w:r w:rsidRPr="00327C66">
        <w:t xml:space="preserve">García-Gómez, E., </w:t>
      </w:r>
      <w:proofErr w:type="spellStart"/>
      <w:r w:rsidRPr="00327C66">
        <w:t>Gkotsis</w:t>
      </w:r>
      <w:proofErr w:type="spellEnd"/>
      <w:r w:rsidRPr="00327C66">
        <w:t xml:space="preserve">, G., Nika, M. C., Hassellöv, I. M., </w:t>
      </w:r>
      <w:proofErr w:type="spellStart"/>
      <w:r w:rsidRPr="00327C66">
        <w:t>Salo</w:t>
      </w:r>
      <w:proofErr w:type="spellEnd"/>
      <w:r w:rsidRPr="00327C66">
        <w:t xml:space="preserve">, K., </w:t>
      </w:r>
      <w:proofErr w:type="spellStart"/>
      <w:r w:rsidRPr="00327C66">
        <w:t>Hermansson</w:t>
      </w:r>
      <w:proofErr w:type="spellEnd"/>
      <w:r w:rsidRPr="00327C66">
        <w:t xml:space="preserve">, A. L., Ytreberg, E., </w:t>
      </w:r>
      <w:proofErr w:type="spellStart"/>
      <w:r w:rsidRPr="00327C66">
        <w:t>Thomaidis</w:t>
      </w:r>
      <w:proofErr w:type="spellEnd"/>
      <w:r w:rsidRPr="00327C66">
        <w:t xml:space="preserve">, N. S., Gros, M., &amp; </w:t>
      </w:r>
      <w:proofErr w:type="spellStart"/>
      <w:r w:rsidRPr="00327C66">
        <w:t>Petrović</w:t>
      </w:r>
      <w:proofErr w:type="spellEnd"/>
      <w:r w:rsidRPr="00327C66">
        <w:t xml:space="preserve">, M. (2023). Characterization of scrubber water discharges from ships using comprehensive suspect screening strategies based on GC-APCI-HRMS. </w:t>
      </w:r>
      <w:r w:rsidRPr="00327C66">
        <w:rPr>
          <w:i/>
        </w:rPr>
        <w:t>Chemosphere</w:t>
      </w:r>
      <w:r w:rsidRPr="00327C66">
        <w:t xml:space="preserve">, </w:t>
      </w:r>
      <w:r w:rsidRPr="00327C66">
        <w:rPr>
          <w:i/>
        </w:rPr>
        <w:t>343</w:t>
      </w:r>
      <w:r w:rsidRPr="00327C66">
        <w:t>, 140296. https://doi.org/10.1016/j.chemosphere.2023.140296</w:t>
      </w:r>
    </w:p>
    <w:p w14:paraId="18DA1E7A" w14:textId="77777777" w:rsidR="00B64508" w:rsidRPr="0007382B" w:rsidRDefault="00B64508" w:rsidP="00B64508">
      <w:pPr>
        <w:pStyle w:val="Bibliography"/>
        <w:spacing w:before="120" w:after="120"/>
      </w:pPr>
      <w:r w:rsidRPr="00327C66">
        <w:t xml:space="preserve">GESAMP. (2021). </w:t>
      </w:r>
      <w:r w:rsidRPr="00327C66">
        <w:rPr>
          <w:iCs w:val="0"/>
        </w:rPr>
        <w:t>WG 43: Sea-based sources of marine litter | GESAMP</w:t>
      </w:r>
      <w:r w:rsidRPr="00327C66">
        <w:t>. http://www.gesamp.org/work/groups/wg-43-on-sea-based-sources-of-marine-litter</w:t>
      </w:r>
    </w:p>
    <w:p w14:paraId="02CFE40C" w14:textId="77777777" w:rsidR="00CF03DF" w:rsidRPr="00FF6CA4" w:rsidRDefault="00CF03DF" w:rsidP="008C6A9C">
      <w:pPr>
        <w:spacing w:before="120" w:after="120" w:line="257" w:lineRule="auto"/>
      </w:pPr>
      <w:proofErr w:type="spellStart"/>
      <w:r w:rsidRPr="00C66C24">
        <w:t>Gondikas</w:t>
      </w:r>
      <w:proofErr w:type="spellEnd"/>
      <w:r w:rsidRPr="00C66C24">
        <w:t xml:space="preserve">, A., </w:t>
      </w:r>
      <w:proofErr w:type="spellStart"/>
      <w:r w:rsidRPr="00C66C24">
        <w:t>Mattsson</w:t>
      </w:r>
      <w:proofErr w:type="spellEnd"/>
      <w:r w:rsidRPr="00C66C24">
        <w:t xml:space="preserve">, K., &amp; Hassellöv, M. (2023). Methods for the detection and characterization of boat paint microplastics in the marine environment. </w:t>
      </w:r>
      <w:r w:rsidRPr="00FF6CA4">
        <w:rPr>
          <w:i/>
        </w:rPr>
        <w:t>Frontiers in Environmental Chemistry</w:t>
      </w:r>
      <w:r w:rsidRPr="00FF6CA4">
        <w:t xml:space="preserve">, </w:t>
      </w:r>
      <w:r w:rsidRPr="00FF6CA4">
        <w:rPr>
          <w:i/>
        </w:rPr>
        <w:t>4</w:t>
      </w:r>
      <w:r w:rsidRPr="00FF6CA4">
        <w:t xml:space="preserve">, 1090704. </w:t>
      </w:r>
      <w:hyperlink r:id="rId172" w:history="1">
        <w:r w:rsidRPr="00FF6CA4">
          <w:rPr>
            <w:rStyle w:val="Hyperlink"/>
          </w:rPr>
          <w:t>https://doi.org/10.3389/fenvc.2023.1090704</w:t>
        </w:r>
      </w:hyperlink>
    </w:p>
    <w:p w14:paraId="7C6C5CE6" w14:textId="77777777" w:rsidR="00CF03DF" w:rsidRDefault="00CF03DF" w:rsidP="008C6A9C">
      <w:pPr>
        <w:spacing w:before="120" w:after="120" w:line="257" w:lineRule="auto"/>
        <w:rPr>
          <w:rStyle w:val="Hyperlink"/>
        </w:rPr>
      </w:pPr>
      <w:r w:rsidRPr="00FF6CA4">
        <w:t xml:space="preserve">Hassellöv, I.-M., Koski, M., </w:t>
      </w:r>
      <w:proofErr w:type="spellStart"/>
      <w:r w:rsidRPr="00FF6CA4">
        <w:t>Broeg</w:t>
      </w:r>
      <w:proofErr w:type="spellEnd"/>
      <w:r w:rsidRPr="00FF6CA4">
        <w:t xml:space="preserve">, K., Marin-Enriquez, O., </w:t>
      </w:r>
      <w:proofErr w:type="spellStart"/>
      <w:r w:rsidRPr="00FF6CA4">
        <w:t>Tronczyński</w:t>
      </w:r>
      <w:proofErr w:type="spellEnd"/>
      <w:r w:rsidRPr="00FF6CA4">
        <w:t xml:space="preserve">, J., </w:t>
      </w:r>
      <w:proofErr w:type="spellStart"/>
      <w:r w:rsidRPr="00FF6CA4">
        <w:t>Dulière</w:t>
      </w:r>
      <w:proofErr w:type="spellEnd"/>
      <w:r w:rsidRPr="00FF6CA4">
        <w:t xml:space="preserve">, V., Clarke Murray, C., Bailey, S., Redfern, J., de Jong, K., </w:t>
      </w:r>
      <w:proofErr w:type="spellStart"/>
      <w:r w:rsidRPr="00FF6CA4">
        <w:t>Ponzevera</w:t>
      </w:r>
      <w:proofErr w:type="spellEnd"/>
      <w:r w:rsidRPr="00FF6CA4">
        <w:t xml:space="preserve">, E., </w:t>
      </w:r>
      <w:proofErr w:type="spellStart"/>
      <w:r w:rsidRPr="00FF6CA4">
        <w:t>Belzunce</w:t>
      </w:r>
      <w:proofErr w:type="spellEnd"/>
      <w:r w:rsidRPr="00FF6CA4">
        <w:t xml:space="preserve">, M., Mason, C., </w:t>
      </w:r>
      <w:proofErr w:type="spellStart"/>
      <w:r w:rsidRPr="00FF6CA4">
        <w:t>Iacarella</w:t>
      </w:r>
      <w:proofErr w:type="spellEnd"/>
      <w:r w:rsidRPr="00FF6CA4">
        <w:t xml:space="preserve">, J., Lyons, B., Fernandes, J., &amp; </w:t>
      </w:r>
      <w:proofErr w:type="spellStart"/>
      <w:r w:rsidRPr="00FF6CA4">
        <w:t>Parmentier</w:t>
      </w:r>
      <w:proofErr w:type="spellEnd"/>
      <w:r w:rsidRPr="00FF6CA4">
        <w:t xml:space="preserve">, K. (2020). </w:t>
      </w:r>
      <w:r w:rsidR="00590A7A" w:rsidRPr="00C66C24">
        <w:t>Ices viewpoint background document: impact from exhaust gas cleaning systems (scrubbers) on the marine environment (Ad Hoc).</w:t>
      </w:r>
      <w:r w:rsidRPr="00C66C24">
        <w:t xml:space="preserve"> </w:t>
      </w:r>
      <w:hyperlink r:id="rId173" w:history="1">
        <w:r w:rsidRPr="00C66C24">
          <w:rPr>
            <w:rStyle w:val="Hyperlink"/>
          </w:rPr>
          <w:t>https://doi.org/10.17895/ices.pub.7487</w:t>
        </w:r>
      </w:hyperlink>
    </w:p>
    <w:p w14:paraId="6434DAC4" w14:textId="77777777" w:rsidR="00B64508" w:rsidRPr="00327C66" w:rsidRDefault="00B64508" w:rsidP="00B64508">
      <w:pPr>
        <w:pStyle w:val="Bibliography"/>
        <w:spacing w:before="120" w:after="120"/>
      </w:pPr>
      <w:r w:rsidRPr="00327C66">
        <w:t xml:space="preserve">Hua, W., Sha, Y., Zhang, X., &amp; Cao, H. (2023). Research progress of carbon capture and storage (CCS) technology based on the shipping industry. </w:t>
      </w:r>
      <w:r w:rsidRPr="00327C66">
        <w:rPr>
          <w:i/>
        </w:rPr>
        <w:t>Ocean Engineering</w:t>
      </w:r>
      <w:r w:rsidRPr="00327C66">
        <w:t xml:space="preserve">, </w:t>
      </w:r>
      <w:r w:rsidRPr="00327C66">
        <w:rPr>
          <w:i/>
        </w:rPr>
        <w:t>281</w:t>
      </w:r>
      <w:r w:rsidRPr="00327C66">
        <w:t>, 114929. https://doi.org/10.1016/j.oceaneng.2023.114929</w:t>
      </w:r>
    </w:p>
    <w:p w14:paraId="5AB981AB" w14:textId="77777777" w:rsidR="00B64508" w:rsidRPr="0007382B" w:rsidRDefault="00B64508" w:rsidP="00B64508">
      <w:pPr>
        <w:pStyle w:val="Bibliography"/>
        <w:spacing w:before="120" w:after="120"/>
      </w:pPr>
      <w:r w:rsidRPr="00327C66">
        <w:t xml:space="preserve">IADC. (n.d.). </w:t>
      </w:r>
      <w:r w:rsidRPr="00327C66">
        <w:rPr>
          <w:iCs w:val="0"/>
        </w:rPr>
        <w:t>Types of dredging projects - Dredging projects are often classified into three categories: Capital, that is, for new infrastructure, maintenance, or remedial (environmental) projects</w:t>
      </w:r>
      <w:r w:rsidRPr="00327C66">
        <w:rPr>
          <w:i/>
        </w:rPr>
        <w:t>.</w:t>
      </w:r>
      <w:r w:rsidRPr="00327C66">
        <w:t xml:space="preserve"> IADC Dredging. Retrieved 18 January 2024, from https://iadc-dredging.com/subject/concept-contract-completion/types-dredging-projects/</w:t>
      </w:r>
    </w:p>
    <w:p w14:paraId="19B06F9D" w14:textId="77777777" w:rsidR="00CF03DF" w:rsidRPr="00C66C24" w:rsidRDefault="00CF03DF" w:rsidP="008C6A9C">
      <w:pPr>
        <w:spacing w:before="120" w:after="120" w:line="257" w:lineRule="auto"/>
        <w:rPr>
          <w:rStyle w:val="Hyperlink"/>
          <w:color w:val="auto"/>
          <w:u w:val="none"/>
        </w:rPr>
      </w:pPr>
      <w:r w:rsidRPr="00C66C24">
        <w:t xml:space="preserve">ICCT. (2019). 6th Workshop on marine black carbon emissions (6th; p. 22). International Council on Clean Transportation. </w:t>
      </w:r>
      <w:hyperlink r:id="rId174" w:history="1">
        <w:r w:rsidRPr="00C66C24">
          <w:rPr>
            <w:rStyle w:val="Hyperlink"/>
          </w:rPr>
          <w:t>https://theicct.org/event/6th-workshop-on-marine-black-carbon-emissions/</w:t>
        </w:r>
      </w:hyperlink>
    </w:p>
    <w:p w14:paraId="20B6A27E" w14:textId="77777777" w:rsidR="00CF03DF" w:rsidRPr="00C66C24" w:rsidRDefault="00CF03DF" w:rsidP="008C6A9C">
      <w:pPr>
        <w:spacing w:before="120" w:after="120" w:line="257" w:lineRule="auto"/>
        <w:rPr>
          <w:rStyle w:val="Hyperlink"/>
          <w:color w:val="auto"/>
          <w:u w:val="none"/>
        </w:rPr>
      </w:pPr>
      <w:r w:rsidRPr="00C66C24">
        <w:t xml:space="preserve">IEA. (2021). Annual change in CO2 emissions from energy combustion and industrial processes, 1900-2021. International Energy Agency. </w:t>
      </w:r>
      <w:hyperlink r:id="rId175" w:history="1">
        <w:r w:rsidRPr="00C66C24">
          <w:rPr>
            <w:rStyle w:val="Hyperlink"/>
          </w:rPr>
          <w:t>https://www.iea.org/data-and-statistics/charts/annual-change-in-co2-emissions-from-energy-combustion-and-industrial-processes-1900-2021</w:t>
        </w:r>
      </w:hyperlink>
    </w:p>
    <w:p w14:paraId="1984880E" w14:textId="77777777" w:rsidR="00141DBF" w:rsidRPr="00C66C24" w:rsidRDefault="00826B98" w:rsidP="008C6A9C">
      <w:pPr>
        <w:spacing w:before="120" w:after="120" w:line="257" w:lineRule="auto"/>
        <w:rPr>
          <w:rStyle w:val="Hyperlink"/>
          <w:color w:val="auto"/>
          <w:u w:val="none"/>
        </w:rPr>
      </w:pPr>
      <w:r w:rsidRPr="00C66C24">
        <w:rPr>
          <w:rStyle w:val="Hyperlink"/>
          <w:color w:val="auto"/>
          <w:u w:val="none"/>
        </w:rPr>
        <w:t xml:space="preserve">IEA. (2022). </w:t>
      </w:r>
      <w:r w:rsidR="00590A7A" w:rsidRPr="00C66C24">
        <w:rPr>
          <w:rStyle w:val="Hyperlink"/>
          <w:color w:val="auto"/>
          <w:u w:val="none"/>
        </w:rPr>
        <w:t xml:space="preserve">World Energy Outlook 2022. International Energy Agency. </w:t>
      </w:r>
      <w:hyperlink r:id="rId176" w:history="1">
        <w:r w:rsidR="00590A7A" w:rsidRPr="00C66C24">
          <w:rPr>
            <w:rStyle w:val="Hyperlink"/>
          </w:rPr>
          <w:t>https://iea.blob.core.windows.net/assets/830fe099-5530-48f2-a7c1-11f35d510983/WorldEnergyOutlook2022.pdf</w:t>
        </w:r>
      </w:hyperlink>
    </w:p>
    <w:p w14:paraId="0C64311E" w14:textId="77777777" w:rsidR="00590A7A" w:rsidRPr="00C66C24" w:rsidRDefault="00590A7A" w:rsidP="008C6A9C">
      <w:pPr>
        <w:spacing w:before="120" w:after="120" w:line="257" w:lineRule="auto"/>
      </w:pPr>
      <w:r w:rsidRPr="00C66C24">
        <w:t xml:space="preserve">IEA. (2023). World Energy Outlook 2023. International Energy Agency. </w:t>
      </w:r>
      <w:hyperlink r:id="rId177" w:history="1">
        <w:r w:rsidRPr="00C66C24">
          <w:rPr>
            <w:rStyle w:val="Hyperlink"/>
          </w:rPr>
          <w:t>https://iea.blob.core.windows.net/assets/614bb748-dc5e-440b-966a-adae9ea022fe/WorldEnergyOutlook2023.pdf</w:t>
        </w:r>
      </w:hyperlink>
    </w:p>
    <w:p w14:paraId="7ABD0FEE" w14:textId="77777777" w:rsidR="00590A7A" w:rsidRPr="00C66C24" w:rsidRDefault="00590A7A" w:rsidP="008C6A9C">
      <w:pPr>
        <w:spacing w:before="120" w:after="120" w:line="257" w:lineRule="auto"/>
      </w:pPr>
      <w:r w:rsidRPr="00C66C24">
        <w:t>IMO. (</w:t>
      </w:r>
      <w:r w:rsidR="00B64508" w:rsidRPr="0007382B">
        <w:t xml:space="preserve">1983). MARPOL Annex I. International Maritime Organization. </w:t>
      </w:r>
    </w:p>
    <w:p w14:paraId="42191AF7" w14:textId="77777777" w:rsidR="00590A7A" w:rsidRPr="00C66C24" w:rsidRDefault="00590A7A" w:rsidP="008C6A9C">
      <w:pPr>
        <w:spacing w:before="120" w:after="120" w:line="257" w:lineRule="auto"/>
      </w:pPr>
      <w:r w:rsidRPr="00C66C24">
        <w:t>IMO. (2006). MARPOL Annex VI. International Maritime Organization.</w:t>
      </w:r>
    </w:p>
    <w:p w14:paraId="582C5929" w14:textId="77777777" w:rsidR="00590A7A" w:rsidRPr="00C66C24" w:rsidRDefault="00590A7A" w:rsidP="008C6A9C">
      <w:pPr>
        <w:spacing w:before="120" w:after="120" w:line="257" w:lineRule="auto"/>
      </w:pPr>
      <w:r w:rsidRPr="00C66C24">
        <w:t xml:space="preserve">IMO. (2007). 2007 Nairobi international Convention on the removal of wrecks. International Maritime Organization. </w:t>
      </w:r>
      <w:hyperlink r:id="rId178" w:history="1">
        <w:r w:rsidRPr="00C66C24">
          <w:rPr>
            <w:rStyle w:val="Hyperlink"/>
          </w:rPr>
          <w:t>https://legalaffairs.gov.ag/pdf/conventions/Nairobi_International_Convention_on_Removal_of_Wrecks-pdf.pdf</w:t>
        </w:r>
      </w:hyperlink>
    </w:p>
    <w:p w14:paraId="38655528" w14:textId="77777777" w:rsidR="00590A7A" w:rsidRPr="00C66C24" w:rsidRDefault="00590A7A" w:rsidP="008C6A9C">
      <w:pPr>
        <w:spacing w:before="120" w:after="120" w:line="257" w:lineRule="auto"/>
        <w:rPr>
          <w:rStyle w:val="Hyperlink"/>
          <w:color w:val="auto"/>
          <w:u w:val="none"/>
        </w:rPr>
      </w:pPr>
      <w:r w:rsidRPr="00C66C24">
        <w:t xml:space="preserve">IMO. (2008). Resolution MEPC.177(58). Amendments to the technical code on control of emission of nitrogen oxides from marine diesel engines. International Maritime Organization. </w:t>
      </w:r>
      <w:hyperlink r:id="rId179" w:history="1">
        <w:r w:rsidRPr="00C66C24">
          <w:rPr>
            <w:rStyle w:val="Hyperlink"/>
          </w:rPr>
          <w:t>https://wwwcdn.imo.org/localresources/en/OurWork/Environment/Documents/177(58).pdf</w:t>
        </w:r>
      </w:hyperlink>
    </w:p>
    <w:p w14:paraId="2280C283" w14:textId="77777777" w:rsidR="00590A7A" w:rsidRPr="00C66C24" w:rsidRDefault="00590A7A" w:rsidP="008C6A9C">
      <w:pPr>
        <w:spacing w:before="120" w:after="120" w:line="257" w:lineRule="auto"/>
      </w:pPr>
      <w:r w:rsidRPr="00C66C24">
        <w:t xml:space="preserve">IMO. (2016). Marine Environment Protection Committee (MEPC), 69th session. Retrieved 15 June 2023, from </w:t>
      </w:r>
      <w:hyperlink r:id="rId180" w:history="1">
        <w:r w:rsidRPr="00C66C24">
          <w:rPr>
            <w:rStyle w:val="Hyperlink"/>
          </w:rPr>
          <w:t>https://www.imo.org/en/MediaCentre/MeetingSummaries/Pages/MEPC-69th-session.aspx</w:t>
        </w:r>
      </w:hyperlink>
    </w:p>
    <w:p w14:paraId="40B2F368" w14:textId="77777777" w:rsidR="00590A7A" w:rsidRPr="00C66C24" w:rsidRDefault="00590A7A" w:rsidP="008C6A9C">
      <w:pPr>
        <w:spacing w:before="120" w:after="120" w:line="257" w:lineRule="auto"/>
      </w:pPr>
      <w:r w:rsidRPr="00C66C24">
        <w:t xml:space="preserve">IMO. (2017). International Convention for the control and management of ships’ ballast water and sediments (BWM). International Maritime Organization. </w:t>
      </w:r>
      <w:hyperlink r:id="rId181" w:history="1">
        <w:r w:rsidRPr="00C66C24">
          <w:rPr>
            <w:rStyle w:val="Hyperlink"/>
          </w:rPr>
          <w:t>https://www.imo.org/en/About/Conventions/Pages/International-Convention-for-the-Control-and-Management-of-Ships%27-Ballast-Water-and-Sediments-(BWM).aspx</w:t>
        </w:r>
      </w:hyperlink>
    </w:p>
    <w:p w14:paraId="2C30B220" w14:textId="77777777" w:rsidR="00590A7A" w:rsidRPr="00C66C24" w:rsidRDefault="00590A7A" w:rsidP="008C6A9C">
      <w:pPr>
        <w:spacing w:before="120" w:after="120" w:line="257" w:lineRule="auto"/>
      </w:pPr>
      <w:r w:rsidRPr="00C66C24">
        <w:t>IMO. (2018). Resolution MEPC.305(73). Amendments to the annex of the Protocol of 1997 to amend the International Convention for the prevention of pollution from ships, 1973, as modified by the Protocol of 1978 relating thereto amendments to MARPOL annex VI (prohibition on the carriage of non-compliant fuel oil for combustion purposes for propulsion or operation on board a ship). International Maritime Organization.</w:t>
      </w:r>
    </w:p>
    <w:p w14:paraId="632E4B31" w14:textId="77777777" w:rsidR="00CF03DF" w:rsidRPr="00C66C24" w:rsidRDefault="00590A7A" w:rsidP="00B64508">
      <w:pPr>
        <w:pStyle w:val="Bibliography"/>
        <w:spacing w:before="120" w:after="120"/>
      </w:pPr>
      <w:r w:rsidRPr="00C66C24">
        <w:t>IMO. (</w:t>
      </w:r>
      <w:r w:rsidR="00B64508" w:rsidRPr="00327C66">
        <w:t xml:space="preserve">2019a). </w:t>
      </w:r>
      <w:r w:rsidR="00B64508" w:rsidRPr="00327C66">
        <w:rPr>
          <w:iCs w:val="0"/>
        </w:rPr>
        <w:t>MEPC 74/14/1—WORK PROGRAMME OF THE COMMITTEE AND SUBSIDIARY BODIES. Proposal for evaluation and developing harmonized rules and guidance on the discharge of liquid effluents from exhaust gas cleaning systems.</w:t>
      </w:r>
      <w:r w:rsidR="00CF03DF" w:rsidRPr="00C66C24">
        <w:t xml:space="preserve"> International Maritime Organization.</w:t>
      </w:r>
    </w:p>
    <w:p w14:paraId="02078147" w14:textId="77777777" w:rsidR="00B64508" w:rsidRDefault="00B64508" w:rsidP="00B64508">
      <w:pPr>
        <w:spacing w:before="120" w:after="120" w:line="257" w:lineRule="auto"/>
      </w:pPr>
      <w:r w:rsidRPr="0007382B">
        <w:t>IMO. (2019</w:t>
      </w:r>
      <w:r>
        <w:t>b</w:t>
      </w:r>
      <w:r w:rsidRPr="0007382B">
        <w:t>). PPR 7/8. Initial results of black carbon measurement campaign with emphasis on the impact of the fuel oil quality on black carbon emissions. International Maritime Organization.</w:t>
      </w:r>
    </w:p>
    <w:p w14:paraId="74F73889" w14:textId="77777777" w:rsidR="00B64508" w:rsidRPr="0007382B" w:rsidRDefault="00B64508" w:rsidP="00B64508">
      <w:pPr>
        <w:pStyle w:val="Bibliography"/>
        <w:spacing w:before="120" w:after="120"/>
      </w:pPr>
      <w:r w:rsidRPr="00327C66">
        <w:t xml:space="preserve">IMO. (2019c). </w:t>
      </w:r>
      <w:r w:rsidRPr="00327C66">
        <w:rPr>
          <w:iCs w:val="0"/>
        </w:rPr>
        <w:t>PPR 7/12—</w:t>
      </w:r>
      <w:r>
        <w:t>E</w:t>
      </w:r>
      <w:r w:rsidRPr="00327C66">
        <w:t xml:space="preserve">valuation and harmonization of rules and guidance on the discharge of liquid effluents from </w:t>
      </w:r>
      <w:proofErr w:type="spellStart"/>
      <w:r w:rsidRPr="00327C66">
        <w:t>egcs</w:t>
      </w:r>
      <w:proofErr w:type="spellEnd"/>
      <w:r w:rsidRPr="00327C66">
        <w:t xml:space="preserve"> into waters, including conditions and areas.</w:t>
      </w:r>
      <w:r w:rsidRPr="00327C66">
        <w:rPr>
          <w:iCs w:val="0"/>
        </w:rPr>
        <w:t xml:space="preserve"> Aspects to consider for the evaluation and development of harmonized rules and guidance on discharge waters from exhaust gas cleaning systems. International Maritime Organization</w:t>
      </w:r>
      <w:r w:rsidRPr="00327C66">
        <w:t>.</w:t>
      </w:r>
    </w:p>
    <w:p w14:paraId="4B40E55E" w14:textId="77777777" w:rsidR="00CF03DF" w:rsidRPr="00C66C24" w:rsidRDefault="00CF03DF" w:rsidP="008C6A9C">
      <w:pPr>
        <w:spacing w:before="120" w:after="120" w:line="257" w:lineRule="auto"/>
        <w:rPr>
          <w:rStyle w:val="Hyperlink"/>
          <w:color w:val="auto"/>
          <w:u w:val="none"/>
        </w:rPr>
      </w:pPr>
      <w:r w:rsidRPr="00C66C24">
        <w:t xml:space="preserve">IMO. (2020a). Fourth IMO greenhouse gas study. International Maritime Organization. </w:t>
      </w:r>
      <w:hyperlink r:id="rId182" w:history="1">
        <w:r w:rsidRPr="00C66C24">
          <w:rPr>
            <w:rStyle w:val="Hyperlink"/>
          </w:rPr>
          <w:t>https://wwwcdn.imo.org/localresources/en/OurWork/Environment/Documents/Fourth%20IMO%20GHG%20Study%202020%20-%20Full%20report%20and%20annexes.pdf</w:t>
        </w:r>
      </w:hyperlink>
    </w:p>
    <w:p w14:paraId="13AC32D3" w14:textId="77777777" w:rsidR="00590A7A" w:rsidRPr="00FF6CA4" w:rsidRDefault="00CF03DF" w:rsidP="008C6A9C">
      <w:pPr>
        <w:spacing w:before="120" w:after="120" w:line="257" w:lineRule="auto"/>
        <w:rPr>
          <w:lang w:val="pt-PT"/>
        </w:rPr>
      </w:pPr>
      <w:r w:rsidRPr="00B64508">
        <w:rPr>
          <w:lang w:val="en-IE"/>
        </w:rPr>
        <w:t>IMO. (</w:t>
      </w:r>
      <w:r w:rsidR="00590A7A" w:rsidRPr="00B64508">
        <w:rPr>
          <w:lang w:val="en-IE"/>
        </w:rPr>
        <w:t>2020b). Global sulphur cap 2020. IMO 2020 – cutting sulphur oxide emissions. International Maritime Organization.</w:t>
      </w:r>
      <w:hyperlink r:id="rId183" w:history="1">
        <w:r w:rsidR="00590A7A" w:rsidRPr="00FF6CA4">
          <w:rPr>
            <w:rStyle w:val="Hyperlink"/>
            <w:lang w:val="pt-PT"/>
          </w:rPr>
          <w:t>https://www.imo.org/en/MediaCentre/HotTopics/Pages/Sulphur-2020.aspx</w:t>
        </w:r>
      </w:hyperlink>
      <w:r w:rsidR="006C1565" w:rsidRPr="00FF6CA4">
        <w:rPr>
          <w:lang w:val="pt-PT"/>
        </w:rPr>
        <w:t xml:space="preserve"> </w:t>
      </w:r>
    </w:p>
    <w:p w14:paraId="50267CCD" w14:textId="77777777" w:rsidR="00B64508" w:rsidRPr="00327C66" w:rsidRDefault="00590A7A" w:rsidP="00B64508">
      <w:pPr>
        <w:pStyle w:val="Bibliography"/>
        <w:spacing w:before="120" w:after="120"/>
      </w:pPr>
      <w:r w:rsidRPr="00FF6CA4">
        <w:rPr>
          <w:lang w:val="pt-PT"/>
        </w:rPr>
        <w:t>IMO. (</w:t>
      </w:r>
      <w:r w:rsidR="00B64508" w:rsidRPr="00B64508">
        <w:rPr>
          <w:lang w:val="pt-PT"/>
        </w:rPr>
        <w:t xml:space="preserve">2021a). </w:t>
      </w:r>
      <w:r w:rsidR="00B64508" w:rsidRPr="00B64508">
        <w:rPr>
          <w:iCs w:val="0"/>
          <w:lang w:val="en-IE"/>
        </w:rPr>
        <w:t>MEPC 76/5/5—</w:t>
      </w:r>
      <w:r w:rsidR="00B64508" w:rsidRPr="00B64508">
        <w:rPr>
          <w:lang w:val="en-IE"/>
        </w:rPr>
        <w:t>Air pollution prevention.</w:t>
      </w:r>
      <w:r w:rsidR="00B64508" w:rsidRPr="00B64508">
        <w:rPr>
          <w:iCs w:val="0"/>
          <w:lang w:val="en-IE"/>
        </w:rPr>
        <w:t xml:space="preserve"> </w:t>
      </w:r>
      <w:r w:rsidR="00B64508" w:rsidRPr="00327C66">
        <w:rPr>
          <w:iCs w:val="0"/>
        </w:rPr>
        <w:t>Comments on deferred document MEPC 75/5/3 (Republic of Korea) and suggested amendments to draft guidance outlined in revision of MEPC.1/Circ.883</w:t>
      </w:r>
      <w:r w:rsidR="00B64508" w:rsidRPr="00327C66">
        <w:t>. International Maritime Organization.</w:t>
      </w:r>
    </w:p>
    <w:p w14:paraId="6F8EAE7E" w14:textId="77777777" w:rsidR="00B64508" w:rsidRPr="00E80BCF" w:rsidRDefault="00B64508" w:rsidP="00B64508">
      <w:pPr>
        <w:pStyle w:val="Bibliography"/>
        <w:spacing w:before="120" w:after="120"/>
      </w:pPr>
      <w:r w:rsidRPr="00327C66">
        <w:t xml:space="preserve">IMO. (2021b). </w:t>
      </w:r>
      <w:r w:rsidRPr="00327C66">
        <w:rPr>
          <w:iCs w:val="0"/>
        </w:rPr>
        <w:t>Resolution MEPC.329(76). Amendments to the annex of the international convention for the prevention of pollution from ships, 1973, as modified by the protocol of 1978 relating thereto. International Maritime Organization.</w:t>
      </w:r>
      <w:r w:rsidRPr="00327C66">
        <w:t xml:space="preserve"> https://wwwcdn.imo.org/localresources/en/KnowledgeCentre/IndexofIMOResolutions/MEPCDocuments/MEPC.329(76).pdf</w:t>
      </w:r>
    </w:p>
    <w:p w14:paraId="4FC918CD" w14:textId="77777777" w:rsidR="00CF03DF" w:rsidRPr="00C66C24" w:rsidRDefault="00B64508" w:rsidP="008C6A9C">
      <w:pPr>
        <w:spacing w:before="120" w:after="120" w:line="257" w:lineRule="auto"/>
      </w:pPr>
      <w:r w:rsidRPr="00B64508">
        <w:rPr>
          <w:lang w:val="en-IE"/>
        </w:rPr>
        <w:t>IMO. (2021c).</w:t>
      </w:r>
      <w:r w:rsidR="00CF03DF" w:rsidRPr="00B64508">
        <w:rPr>
          <w:lang w:val="en-IE"/>
        </w:rPr>
        <w:t xml:space="preserve"> Resolution MEPC.340(77). </w:t>
      </w:r>
      <w:r w:rsidR="00590A7A" w:rsidRPr="00C66C24">
        <w:t>2021 guidelines for exhaust gas cleaning systems.</w:t>
      </w:r>
      <w:r w:rsidR="00CF03DF" w:rsidRPr="00C66C24">
        <w:t xml:space="preserve"> International Maritime Organization.</w:t>
      </w:r>
      <w:r w:rsidR="00330704" w:rsidRPr="00C66C24">
        <w:t xml:space="preserve"> </w:t>
      </w:r>
      <w:hyperlink r:id="rId184" w:history="1">
        <w:r w:rsidR="00F260D7" w:rsidRPr="00C66C24">
          <w:rPr>
            <w:rStyle w:val="Hyperlink"/>
          </w:rPr>
          <w:t>https://wwwcdn.imo.org/localresources/en/KnowledgeCentre/IndexofIMOResolutions/MEPCDocuments/MEPC.340(77).pdf</w:t>
        </w:r>
      </w:hyperlink>
      <w:r w:rsidR="00F260D7" w:rsidRPr="00C66C24">
        <w:t xml:space="preserve"> </w:t>
      </w:r>
    </w:p>
    <w:p w14:paraId="70C94237" w14:textId="77777777" w:rsidR="00CF03DF" w:rsidRPr="00C66C24" w:rsidRDefault="00CF03DF" w:rsidP="00B64508">
      <w:pPr>
        <w:pStyle w:val="Bibliography"/>
        <w:spacing w:before="120" w:after="120"/>
      </w:pPr>
      <w:r w:rsidRPr="00C66C24">
        <w:t xml:space="preserve">IMO. (2022a). </w:t>
      </w:r>
      <w:r w:rsidR="00B64508" w:rsidRPr="00327C66">
        <w:rPr>
          <w:iCs w:val="0"/>
        </w:rPr>
        <w:t>MEPC.1/Circ.899. 2022 guidelines for risk and impact assessments of the discharge water from exhaust gas cleaning systems.</w:t>
      </w:r>
      <w:r w:rsidR="00B64508" w:rsidRPr="00327C66">
        <w:t xml:space="preserve"> International Maritime Organization. https://wwwcdn.imo.org/localresources/en/OurWork/Environment/Documents/Air%20pollution/MEPC.1-Circ.899.pdf</w:t>
      </w:r>
    </w:p>
    <w:p w14:paraId="73FE3EB3" w14:textId="77777777" w:rsidR="00CF03DF" w:rsidRPr="00C66C24" w:rsidRDefault="00CF03DF" w:rsidP="008C6A9C">
      <w:pPr>
        <w:spacing w:before="120" w:after="120" w:line="257" w:lineRule="auto"/>
      </w:pPr>
      <w:r w:rsidRPr="00C66C24">
        <w:t xml:space="preserve">IMO. (2022b). MEPC.1/Circ.900. </w:t>
      </w:r>
      <w:r w:rsidR="00590A7A" w:rsidRPr="00C66C24">
        <w:t>2022 guidelines regarding the delivery of EGCS residues to port reception facilities.</w:t>
      </w:r>
      <w:r w:rsidRPr="00C66C24">
        <w:t xml:space="preserve"> International Maritime Organization.</w:t>
      </w:r>
    </w:p>
    <w:p w14:paraId="7BB849A4" w14:textId="77777777" w:rsidR="00CF03DF" w:rsidRPr="00C66C24" w:rsidRDefault="00590A7A" w:rsidP="008C6A9C">
      <w:pPr>
        <w:spacing w:before="120" w:after="120" w:line="257" w:lineRule="auto"/>
        <w:rPr>
          <w:rStyle w:val="Hyperlink"/>
          <w:color w:val="auto"/>
          <w:u w:val="none"/>
        </w:rPr>
      </w:pPr>
      <w:r w:rsidRPr="00C66C24">
        <w:t>IMO. (2022c). Resolution MEPC.361(79</w:t>
      </w:r>
      <w:r w:rsidR="00B64508" w:rsidRPr="0007382B">
        <w:t>)</w:t>
      </w:r>
      <w:r w:rsidR="00B64508">
        <w:t xml:space="preserve">. </w:t>
      </w:r>
      <w:r w:rsidRPr="00C66C24">
        <w:t xml:space="preserve">Mediterranean </w:t>
      </w:r>
      <w:r w:rsidR="00B64508" w:rsidRPr="0007382B">
        <w:t>Sea</w:t>
      </w:r>
      <w:r w:rsidRPr="00C66C24">
        <w:t xml:space="preserve"> emission control area for sulphur oxides and particulate </w:t>
      </w:r>
      <w:r w:rsidR="00B64508" w:rsidRPr="0007382B">
        <w:t>matter.</w:t>
      </w:r>
      <w:r w:rsidRPr="00C66C24">
        <w:t xml:space="preserve"> International Maritime Organization. </w:t>
      </w:r>
      <w:hyperlink r:id="rId185" w:history="1">
        <w:r w:rsidR="00CF03DF" w:rsidRPr="00C66C24">
          <w:rPr>
            <w:rStyle w:val="Hyperlink"/>
          </w:rPr>
          <w:t>https://wwwcdn.imo.org/localresources/en/OurWork/Environment/Documents/annex/resolution%20MEPC%20361(79).pdf</w:t>
        </w:r>
      </w:hyperlink>
    </w:p>
    <w:p w14:paraId="67EE1914" w14:textId="77777777" w:rsidR="00590A7A" w:rsidRPr="00C66C24" w:rsidRDefault="00590A7A" w:rsidP="008C6A9C">
      <w:pPr>
        <w:spacing w:before="120" w:after="120" w:line="257" w:lineRule="auto"/>
      </w:pPr>
      <w:r w:rsidRPr="00C66C24">
        <w:t xml:space="preserve">IMO. (2022d). Sub-Committee on carriage of cargoes and containers (CCC 8), 8th session, 14-23 </w:t>
      </w:r>
      <w:proofErr w:type="gramStart"/>
      <w:r w:rsidRPr="00C66C24">
        <w:t>September,</w:t>
      </w:r>
      <w:proofErr w:type="gramEnd"/>
      <w:r w:rsidRPr="00C66C24">
        <w:t xml:space="preserve"> 2022. International Maritime Organization. </w:t>
      </w:r>
      <w:hyperlink r:id="rId186" w:history="1">
        <w:r w:rsidRPr="00C66C24">
          <w:rPr>
            <w:rStyle w:val="Hyperlink"/>
          </w:rPr>
          <w:t>https://www.imo.org/en/MediaCentre/MeetingSummaries/Pages/CCC-8th-session.aspx</w:t>
        </w:r>
      </w:hyperlink>
    </w:p>
    <w:p w14:paraId="344501E3" w14:textId="77777777" w:rsidR="00590A7A" w:rsidRPr="00A753D7" w:rsidRDefault="00590A7A" w:rsidP="008C6A9C">
      <w:pPr>
        <w:spacing w:before="120" w:after="120" w:line="257" w:lineRule="auto"/>
        <w:rPr>
          <w:rStyle w:val="Hyperlink"/>
        </w:rPr>
      </w:pPr>
      <w:r w:rsidRPr="00C66C24">
        <w:t xml:space="preserve">IMO. (2023a). 2023 IMO Strategy on reduction of GHG emissions from ships. International Maritime Organization. </w:t>
      </w:r>
      <w:hyperlink r:id="rId187" w:history="1">
        <w:r w:rsidRPr="00C66C24">
          <w:rPr>
            <w:rStyle w:val="Hyperlink"/>
          </w:rPr>
          <w:t>https://wwwcdn.imo.org/localresources/en/OurWork/Environment/Documents/annex/MEPC%2080/Annex%2015.pdf</w:t>
        </w:r>
      </w:hyperlink>
    </w:p>
    <w:p w14:paraId="56663156" w14:textId="77777777" w:rsidR="00B64508" w:rsidRPr="00A753D7" w:rsidRDefault="00590A7A" w:rsidP="00B64508">
      <w:pPr>
        <w:pStyle w:val="Bibliography"/>
        <w:spacing w:before="120" w:after="120"/>
        <w:rPr>
          <w:rStyle w:val="Hyperlink"/>
          <w:color w:val="auto"/>
          <w:u w:val="none"/>
        </w:rPr>
      </w:pPr>
      <w:r w:rsidRPr="00A753D7">
        <w:t>IMO. (</w:t>
      </w:r>
      <w:r w:rsidR="00B64508" w:rsidRPr="00A753D7">
        <w:t xml:space="preserve">2023f). </w:t>
      </w:r>
      <w:proofErr w:type="spellStart"/>
      <w:r w:rsidR="00B64508" w:rsidRPr="00A753D7">
        <w:t>GloNoise</w:t>
      </w:r>
      <w:proofErr w:type="spellEnd"/>
      <w:r w:rsidR="00B64508" w:rsidRPr="00A753D7">
        <w:t xml:space="preserve"> Partnership. https://www.imo.org/en/OurWork/PartnershipsProjects/Pages/GloNoise-Partnership.aspx</w:t>
      </w:r>
    </w:p>
    <w:p w14:paraId="297FA236" w14:textId="77777777" w:rsidR="00590A7A" w:rsidRPr="00C66C24" w:rsidRDefault="00B64508" w:rsidP="008C6A9C">
      <w:pPr>
        <w:spacing w:before="120" w:after="120" w:line="257" w:lineRule="auto"/>
        <w:rPr>
          <w:rStyle w:val="Hyperlink"/>
          <w:color w:val="auto"/>
          <w:u w:val="none"/>
        </w:rPr>
      </w:pPr>
      <w:r w:rsidRPr="00A753D7">
        <w:rPr>
          <w:rStyle w:val="Hyperlink"/>
          <w:color w:val="auto"/>
          <w:u w:val="none"/>
        </w:rPr>
        <w:t>IMO. (</w:t>
      </w:r>
      <w:r w:rsidR="00590A7A" w:rsidRPr="00C66C24">
        <w:rPr>
          <w:rStyle w:val="Hyperlink"/>
          <w:color w:val="auto"/>
          <w:u w:val="none"/>
        </w:rPr>
        <w:t xml:space="preserve">2023b). Importance of Simulation. International Maritime Organization. </w:t>
      </w:r>
      <w:hyperlink r:id="rId188" w:history="1">
        <w:r w:rsidR="00590A7A" w:rsidRPr="00C66C24">
          <w:rPr>
            <w:rStyle w:val="Hyperlink"/>
          </w:rPr>
          <w:t>https://www.imo.org/en/MediaCentre/Pages/WhatsNew-740.aspx</w:t>
        </w:r>
      </w:hyperlink>
      <w:r w:rsidR="00590A7A" w:rsidRPr="00C66C24">
        <w:rPr>
          <w:rStyle w:val="Hyperlink"/>
          <w:color w:val="auto"/>
          <w:u w:val="none"/>
        </w:rPr>
        <w:t xml:space="preserve"> </w:t>
      </w:r>
    </w:p>
    <w:p w14:paraId="207EAFA9" w14:textId="77777777" w:rsidR="00590A7A" w:rsidRPr="00A753D7" w:rsidRDefault="00590A7A" w:rsidP="008C6A9C">
      <w:pPr>
        <w:spacing w:before="120" w:after="120" w:line="257" w:lineRule="auto"/>
        <w:rPr>
          <w:rStyle w:val="Hyperlink"/>
        </w:rPr>
      </w:pPr>
      <w:r w:rsidRPr="00C66C24">
        <w:t xml:space="preserve">IMO. (2023c). Marine litter. Media Centre, Hot Topics. International Maritime Organization. </w:t>
      </w:r>
      <w:hyperlink r:id="rId189" w:history="1">
        <w:r w:rsidRPr="00C66C24">
          <w:rPr>
            <w:rStyle w:val="Hyperlink"/>
          </w:rPr>
          <w:t>https://www.imo.org/en/MediaCentre/HotTopics/Pages/marinelitter-default.aspx?ref=marineregulations.news</w:t>
        </w:r>
      </w:hyperlink>
    </w:p>
    <w:p w14:paraId="3725A928" w14:textId="0488263D" w:rsidR="00B64508" w:rsidRPr="00A753D7" w:rsidRDefault="00590A7A" w:rsidP="00B64508">
      <w:pPr>
        <w:pStyle w:val="Bibliography"/>
        <w:spacing w:before="120" w:after="120"/>
      </w:pPr>
      <w:r w:rsidRPr="00C66C24">
        <w:t>IMO. (</w:t>
      </w:r>
      <w:r w:rsidR="00B64508" w:rsidRPr="00B64508">
        <w:t>2023b). MEPC 80/5/5—</w:t>
      </w:r>
      <w:r w:rsidR="00651116">
        <w:t>A</w:t>
      </w:r>
      <w:r w:rsidR="00651116" w:rsidRPr="00B64508">
        <w:t>ir pollution prevention</w:t>
      </w:r>
      <w:r w:rsidR="00B64508" w:rsidRPr="00B64508">
        <w:t xml:space="preserve">. </w:t>
      </w:r>
      <w:r w:rsidR="00B64508" w:rsidRPr="00A753D7">
        <w:t>Proposal to further develop part 3 (regulatory matters) on the scope of work for the evaluation and harmonisation of rules and guidance on the discharges and residues from EGCSs into the aquatic environment, including conditions and areas. International Maritime Organization.</w:t>
      </w:r>
    </w:p>
    <w:p w14:paraId="3AD7374D" w14:textId="77777777" w:rsidR="00B64508" w:rsidRPr="00A753D7" w:rsidRDefault="00B64508" w:rsidP="00B64508">
      <w:pPr>
        <w:pStyle w:val="Bibliography"/>
        <w:spacing w:before="120" w:after="120"/>
      </w:pPr>
      <w:r w:rsidRPr="00A753D7">
        <w:t>IMO. (2023c). PPR 10/18/Add.1. Attached are annexes 1, 2, and 4 to 19 to the report of the Sub-Committee on Pollution Prevention and Response on its tenth session (PPR 10/18). International Maritime Organization.</w:t>
      </w:r>
    </w:p>
    <w:p w14:paraId="6D7161A8" w14:textId="77777777" w:rsidR="00590A7A" w:rsidRPr="00C66C24" w:rsidRDefault="00B64508" w:rsidP="00B64508">
      <w:pPr>
        <w:pStyle w:val="Bibliography"/>
        <w:spacing w:before="120" w:after="120"/>
      </w:pPr>
      <w:r w:rsidRPr="00A753D7">
        <w:t>IMO. (</w:t>
      </w:r>
      <w:r w:rsidR="00590A7A" w:rsidRPr="00C66C24">
        <w:t xml:space="preserve">2023d). Resolution MEPC.376(80)—Guidelines on life cycle GHG intensity of marine fuels (LCA guidelines). International Maritime Organization. </w:t>
      </w:r>
      <w:hyperlink r:id="rId190" w:history="1">
        <w:r w:rsidR="00590A7A" w:rsidRPr="00C66C24">
          <w:rPr>
            <w:rStyle w:val="Hyperlink"/>
          </w:rPr>
          <w:t>https://wwwcdn.imo.org/localresources/en/OurWork/Environment/Documents/annex/MEPC%2080/Annex%2014.pdf</w:t>
        </w:r>
      </w:hyperlink>
    </w:p>
    <w:p w14:paraId="31BC5E52" w14:textId="77777777" w:rsidR="00590A7A" w:rsidRDefault="00590A7A" w:rsidP="008C6A9C">
      <w:pPr>
        <w:spacing w:before="120" w:after="120" w:line="257" w:lineRule="auto"/>
        <w:rPr>
          <w:rStyle w:val="Hyperlink"/>
          <w:lang w:val="fr-FR"/>
        </w:rPr>
      </w:pPr>
      <w:r w:rsidRPr="00C66C24">
        <w:t xml:space="preserve">IMO. (2023e). Revised guidelines for the reduction of underwater noise from commercial shipping to address adverse impacts on marine life. </w:t>
      </w:r>
      <w:r w:rsidRPr="00B64508">
        <w:rPr>
          <w:lang w:val="fr-FR"/>
        </w:rPr>
        <w:t xml:space="preserve">[Guideline </w:t>
      </w:r>
      <w:proofErr w:type="spellStart"/>
      <w:r w:rsidRPr="00B64508">
        <w:rPr>
          <w:lang w:val="fr-FR"/>
        </w:rPr>
        <w:t>revision</w:t>
      </w:r>
      <w:proofErr w:type="spellEnd"/>
      <w:r w:rsidRPr="00B64508">
        <w:rPr>
          <w:lang w:val="fr-FR"/>
        </w:rPr>
        <w:t xml:space="preserve">]. International Maritime Organisation. </w:t>
      </w:r>
      <w:hyperlink r:id="rId191" w:history="1">
        <w:r w:rsidRPr="00B64508">
          <w:rPr>
            <w:rStyle w:val="Hyperlink"/>
            <w:lang w:val="fr-FR"/>
          </w:rPr>
          <w:t>https://wwwcdn.imo.org/localresources/en/Documents/MEPC.1-Circ.906%20-%20Revised%20Guidelines%20For%20The%20Reduction%20Of%20Underwater%20Radiated%20NoiseFrom%20Shipping%20To%20Address...%20(Secretariat).pdf</w:t>
        </w:r>
      </w:hyperlink>
    </w:p>
    <w:p w14:paraId="227B4609" w14:textId="77777777" w:rsidR="00B64508" w:rsidRPr="0079176E" w:rsidRDefault="00B64508" w:rsidP="00B64508">
      <w:pPr>
        <w:pStyle w:val="Bibliography"/>
        <w:spacing w:before="120" w:after="120"/>
      </w:pPr>
      <w:r w:rsidRPr="00B156D3">
        <w:t>IMO. (2024). Resolution MEPC.81(9). PPR - Legal advice on exhaust gas cleaning systems. International Maritime Organization.</w:t>
      </w:r>
    </w:p>
    <w:p w14:paraId="6E3A7D5E" w14:textId="77777777" w:rsidR="00CF03DF" w:rsidRPr="00C66C24" w:rsidRDefault="00CF03DF" w:rsidP="008C6A9C">
      <w:pPr>
        <w:spacing w:before="120" w:after="120" w:line="257" w:lineRule="auto"/>
      </w:pPr>
      <w:r w:rsidRPr="00C66C24">
        <w:t xml:space="preserve">IPCC. (2006). 2006 IPCC guidelines for national greenhouse gas inventories. Institute for Global Environmental Strategies. Intergovernmental Panel on Climate Change. </w:t>
      </w:r>
      <w:hyperlink r:id="rId192" w:history="1">
        <w:r w:rsidRPr="00C66C24">
          <w:rPr>
            <w:rStyle w:val="Hyperlink"/>
          </w:rPr>
          <w:t>https://www.ipcc-nggip.iges.or.jp/public/2006gl/</w:t>
        </w:r>
      </w:hyperlink>
    </w:p>
    <w:p w14:paraId="54E85E88" w14:textId="77777777" w:rsidR="00CF03DF" w:rsidRPr="00C66C24" w:rsidRDefault="00CF03DF" w:rsidP="008C6A9C">
      <w:pPr>
        <w:spacing w:before="120" w:after="120" w:line="257" w:lineRule="auto"/>
      </w:pPr>
      <w:r w:rsidRPr="00C66C24">
        <w:t xml:space="preserve">IPCC. (2023). </w:t>
      </w:r>
      <w:r w:rsidR="00590A7A" w:rsidRPr="00C66C24">
        <w:t>Synthesis report</w:t>
      </w:r>
      <w:r w:rsidRPr="00C66C24">
        <w:t xml:space="preserve"> of the IPCC Sixth Assessment Report (AR6). Intergovernmental Panel on Climate Change. </w:t>
      </w:r>
      <w:hyperlink r:id="rId193" w:history="1">
        <w:r w:rsidRPr="00C66C24">
          <w:rPr>
            <w:rStyle w:val="Hyperlink"/>
          </w:rPr>
          <w:t>https://www.ipcc.ch/report/ar6/syr/</w:t>
        </w:r>
      </w:hyperlink>
    </w:p>
    <w:p w14:paraId="717F6A16" w14:textId="77777777" w:rsidR="00B64508" w:rsidRPr="00861AD7" w:rsidRDefault="00B64508" w:rsidP="00B64508">
      <w:pPr>
        <w:pStyle w:val="Bibliography"/>
        <w:spacing w:before="120" w:after="120"/>
        <w:rPr>
          <w:lang w:val="en-IE"/>
        </w:rPr>
      </w:pPr>
      <w:r w:rsidRPr="00B156D3">
        <w:t xml:space="preserve">IRENA. (2020). Renewable energy statistics 2020. </w:t>
      </w:r>
      <w:r w:rsidRPr="00861AD7">
        <w:rPr>
          <w:lang w:val="en-IE"/>
        </w:rPr>
        <w:t>International Renewable Energy Agency. https://www.irena.org/publications/2020/Jul/Renewable-energy-statistics-2020</w:t>
      </w:r>
    </w:p>
    <w:p w14:paraId="4015B04C" w14:textId="77777777" w:rsidR="00B64508" w:rsidRPr="00861AD7" w:rsidRDefault="00B64508" w:rsidP="00B64508">
      <w:pPr>
        <w:pStyle w:val="Bibliography"/>
        <w:spacing w:before="120" w:after="120"/>
        <w:rPr>
          <w:lang w:val="en-IE"/>
        </w:rPr>
      </w:pPr>
      <w:r w:rsidRPr="00BC57B2">
        <w:t xml:space="preserve">ITOPF. (2024). Oil Tanker Spill Statistics 2023. International Tanker Owners Pollution Federation Limited. </w:t>
      </w:r>
      <w:r w:rsidRPr="00BC57B2">
        <w:rPr>
          <w:lang w:val="en-IE"/>
        </w:rPr>
        <w:t>https://www.itopf.org/knowledge-resources/data-statistics/statistics/</w:t>
      </w:r>
    </w:p>
    <w:p w14:paraId="1B193971" w14:textId="77777777" w:rsidR="00CF03DF" w:rsidRPr="00C66C24" w:rsidRDefault="00590A7A" w:rsidP="008C6A9C">
      <w:pPr>
        <w:spacing w:before="120" w:after="120" w:line="257" w:lineRule="auto"/>
      </w:pPr>
      <w:r w:rsidRPr="00C66C24">
        <w:t>IWC. (2017). Strategic plan to mitigate the impacts of ship strikes on cetacean populations: 2017-2020.</w:t>
      </w:r>
      <w:r w:rsidR="00CF03DF" w:rsidRPr="00C66C24">
        <w:t xml:space="preserve"> International Whaling Commission. </w:t>
      </w:r>
      <w:hyperlink r:id="rId194" w:history="1">
        <w:r w:rsidR="00CF03DF" w:rsidRPr="00C66C24">
          <w:rPr>
            <w:rStyle w:val="Hyperlink"/>
          </w:rPr>
          <w:t>https://www.researchgate.net/profile/Gregory-Silber-2/publication/332539367_Strategic_Plan_to_Mitigate_the_Impacts_of_Ship_Strikes_on_Cetacean_Populations_2017-2020/links/5cbada314585156cd7a4844f/Strategic-Plan-to-Mitigate-the-Impacts-of-Ship-Strikes-on-Cetacean-Populations-2017-2020.pdf</w:t>
        </w:r>
      </w:hyperlink>
    </w:p>
    <w:p w14:paraId="31BD51C2" w14:textId="77777777" w:rsidR="00CF03DF" w:rsidRPr="00C66C24" w:rsidRDefault="00CF03DF" w:rsidP="008C6A9C">
      <w:pPr>
        <w:spacing w:before="120" w:after="120" w:line="257" w:lineRule="auto"/>
      </w:pPr>
      <w:proofErr w:type="spellStart"/>
      <w:r w:rsidRPr="00706101">
        <w:rPr>
          <w:lang w:val="en-IE"/>
        </w:rPr>
        <w:t>Janssens-Maenhout</w:t>
      </w:r>
      <w:proofErr w:type="spellEnd"/>
      <w:r w:rsidRPr="00706101">
        <w:rPr>
          <w:lang w:val="en-IE"/>
        </w:rPr>
        <w:t xml:space="preserve">, G., </w:t>
      </w:r>
      <w:proofErr w:type="spellStart"/>
      <w:r w:rsidRPr="00706101">
        <w:rPr>
          <w:lang w:val="en-IE"/>
        </w:rPr>
        <w:t>Guizzardi</w:t>
      </w:r>
      <w:proofErr w:type="spellEnd"/>
      <w:r w:rsidRPr="00706101">
        <w:rPr>
          <w:lang w:val="en-IE"/>
        </w:rPr>
        <w:t xml:space="preserve">, D., </w:t>
      </w:r>
      <w:proofErr w:type="spellStart"/>
      <w:r w:rsidRPr="00706101">
        <w:rPr>
          <w:lang w:val="en-IE"/>
        </w:rPr>
        <w:t>Crippa</w:t>
      </w:r>
      <w:proofErr w:type="spellEnd"/>
      <w:r w:rsidRPr="00706101">
        <w:rPr>
          <w:lang w:val="en-IE"/>
        </w:rPr>
        <w:t xml:space="preserve">, M., </w:t>
      </w:r>
      <w:proofErr w:type="spellStart"/>
      <w:r w:rsidRPr="00706101">
        <w:rPr>
          <w:lang w:val="en-IE"/>
        </w:rPr>
        <w:t>Dentener</w:t>
      </w:r>
      <w:proofErr w:type="spellEnd"/>
      <w:r w:rsidRPr="00706101">
        <w:rPr>
          <w:lang w:val="en-IE"/>
        </w:rPr>
        <w:t xml:space="preserve">, F., &amp; Van </w:t>
      </w:r>
      <w:proofErr w:type="spellStart"/>
      <w:r w:rsidRPr="00706101">
        <w:rPr>
          <w:lang w:val="en-IE"/>
        </w:rPr>
        <w:t>Dingenen</w:t>
      </w:r>
      <w:proofErr w:type="spellEnd"/>
      <w:r w:rsidRPr="00706101">
        <w:rPr>
          <w:lang w:val="en-IE"/>
        </w:rPr>
        <w:t xml:space="preserve">, R. (2018). </w:t>
      </w:r>
      <w:r w:rsidRPr="00C66C24">
        <w:t xml:space="preserve">Global trends of methane emissions and their impacts on ozone concentrations. Joint Research Centre (European Commission). </w:t>
      </w:r>
      <w:hyperlink r:id="rId195" w:history="1">
        <w:r w:rsidRPr="00C66C24">
          <w:rPr>
            <w:rStyle w:val="Hyperlink"/>
          </w:rPr>
          <w:t>https://doi.org/10.2760/820175</w:t>
        </w:r>
      </w:hyperlink>
    </w:p>
    <w:p w14:paraId="46F651AC" w14:textId="77777777" w:rsidR="00B64508" w:rsidRDefault="00B64508" w:rsidP="00B64508">
      <w:pPr>
        <w:pStyle w:val="Bibliography"/>
        <w:spacing w:before="120" w:after="120"/>
      </w:pPr>
      <w:r w:rsidRPr="00CC625F">
        <w:t xml:space="preserve">Ji, Z., Yang, Y., Zhu, Y., Ling, Y., Ren, D., Zhang, N., &amp; Huo, Z. (2023). Toxic effects of ship exhaust gas closed-loop scrubber wash water. </w:t>
      </w:r>
      <w:r w:rsidRPr="00CC625F">
        <w:rPr>
          <w:i/>
        </w:rPr>
        <w:t>Toxicology and Industrial Health</w:t>
      </w:r>
      <w:r w:rsidRPr="00CC625F">
        <w:t xml:space="preserve">, </w:t>
      </w:r>
      <w:r w:rsidRPr="00CC625F">
        <w:rPr>
          <w:i/>
        </w:rPr>
        <w:t>39</w:t>
      </w:r>
      <w:r w:rsidRPr="00CC625F">
        <w:t>(9), 491–503. https://doi.org/10.1177/07482337231176593</w:t>
      </w:r>
    </w:p>
    <w:p w14:paraId="72A81749" w14:textId="77777777" w:rsidR="00CF03DF" w:rsidRPr="00C66C24" w:rsidRDefault="00CF03DF" w:rsidP="008C6A9C">
      <w:pPr>
        <w:spacing w:before="120" w:after="120" w:line="257" w:lineRule="auto"/>
        <w:rPr>
          <w:rStyle w:val="Hyperlink"/>
          <w:color w:val="auto"/>
          <w:u w:val="none"/>
        </w:rPr>
      </w:pPr>
      <w:r w:rsidRPr="00C66C24">
        <w:t xml:space="preserve">Jo, G.-W. (2020). The need for international policy regarding lost containers at sea for reducing marine plastic litter. </w:t>
      </w:r>
      <w:r w:rsidRPr="00C66C24">
        <w:rPr>
          <w:i/>
        </w:rPr>
        <w:t>Journal of International Maritime Safety, Environmental Affairs, and Shipping</w:t>
      </w:r>
      <w:r w:rsidRPr="00C66C24">
        <w:t xml:space="preserve">, </w:t>
      </w:r>
      <w:r w:rsidRPr="00C66C24">
        <w:rPr>
          <w:i/>
          <w:iCs w:val="0"/>
        </w:rPr>
        <w:t>4</w:t>
      </w:r>
      <w:r w:rsidRPr="00C66C24">
        <w:t xml:space="preserve">(3), 80–83. </w:t>
      </w:r>
      <w:hyperlink r:id="rId196" w:history="1">
        <w:r w:rsidRPr="00C66C24">
          <w:rPr>
            <w:rStyle w:val="Hyperlink"/>
          </w:rPr>
          <w:t>https://doi.org/10.1080/25725084.2020.1792392</w:t>
        </w:r>
      </w:hyperlink>
    </w:p>
    <w:p w14:paraId="359249A0" w14:textId="77777777" w:rsidR="00B64508" w:rsidRPr="000B13FE" w:rsidRDefault="00B64508" w:rsidP="00B64508">
      <w:pPr>
        <w:pStyle w:val="Bibliography"/>
        <w:spacing w:before="120" w:after="120"/>
      </w:pPr>
      <w:proofErr w:type="spellStart"/>
      <w:r w:rsidRPr="000B13FE">
        <w:t>Jönander</w:t>
      </w:r>
      <w:proofErr w:type="spellEnd"/>
      <w:r w:rsidRPr="000B13FE">
        <w:t xml:space="preserve">, C., &amp; </w:t>
      </w:r>
      <w:proofErr w:type="spellStart"/>
      <w:r w:rsidRPr="000B13FE">
        <w:t>Dahllöf</w:t>
      </w:r>
      <w:proofErr w:type="spellEnd"/>
      <w:r w:rsidRPr="000B13FE">
        <w:t xml:space="preserve">, I. (2020). Short and long-term effects of low-sulphur fuels on marine zooplankton communities. </w:t>
      </w:r>
      <w:r w:rsidRPr="000B13FE">
        <w:rPr>
          <w:i/>
        </w:rPr>
        <w:t>Aquatic Toxicology</w:t>
      </w:r>
      <w:r w:rsidRPr="000B13FE">
        <w:t xml:space="preserve">, </w:t>
      </w:r>
      <w:r w:rsidRPr="000B13FE">
        <w:rPr>
          <w:i/>
        </w:rPr>
        <w:t>227</w:t>
      </w:r>
      <w:r w:rsidRPr="000B13FE">
        <w:t>, 105592. https://doi.org/10.1016/j.aquatox.2020.105592</w:t>
      </w:r>
    </w:p>
    <w:p w14:paraId="481F4D93" w14:textId="77777777" w:rsidR="00B64508" w:rsidRPr="000B13FE" w:rsidRDefault="00B64508" w:rsidP="00B64508">
      <w:pPr>
        <w:pStyle w:val="Bibliography"/>
        <w:spacing w:before="120" w:after="120"/>
      </w:pPr>
      <w:proofErr w:type="spellStart"/>
      <w:r w:rsidRPr="000B13FE">
        <w:t>Jönander</w:t>
      </w:r>
      <w:proofErr w:type="spellEnd"/>
      <w:r w:rsidRPr="000B13FE">
        <w:t xml:space="preserve">, C., </w:t>
      </w:r>
      <w:proofErr w:type="spellStart"/>
      <w:r w:rsidRPr="000B13FE">
        <w:t>Egardt</w:t>
      </w:r>
      <w:proofErr w:type="spellEnd"/>
      <w:r w:rsidRPr="000B13FE">
        <w:t xml:space="preserve">, J., Hassellöv, I.-M., Tiselius, P., Rasmussen, M., &amp; </w:t>
      </w:r>
      <w:proofErr w:type="spellStart"/>
      <w:r w:rsidRPr="000B13FE">
        <w:t>Dahllöf</w:t>
      </w:r>
      <w:proofErr w:type="spellEnd"/>
      <w:r w:rsidRPr="000B13FE">
        <w:t xml:space="preserve">, I. (2023). Exposure to closed-loop scrubber </w:t>
      </w:r>
      <w:proofErr w:type="spellStart"/>
      <w:r w:rsidRPr="000B13FE">
        <w:t>washwater</w:t>
      </w:r>
      <w:proofErr w:type="spellEnd"/>
      <w:r w:rsidRPr="000B13FE">
        <w:t xml:space="preserve"> alters biodiversity, reproduction, and grazing of marine zooplankton. </w:t>
      </w:r>
      <w:r w:rsidRPr="000B13FE">
        <w:rPr>
          <w:i/>
        </w:rPr>
        <w:t>Frontiers in Marine Science</w:t>
      </w:r>
      <w:r w:rsidRPr="000B13FE">
        <w:t xml:space="preserve">, </w:t>
      </w:r>
      <w:r w:rsidRPr="000B13FE">
        <w:rPr>
          <w:i/>
        </w:rPr>
        <w:t>10</w:t>
      </w:r>
      <w:r w:rsidRPr="000B13FE">
        <w:t>, 1249964. https://doi.org/10.3389/fmars.2023.1249964</w:t>
      </w:r>
    </w:p>
    <w:p w14:paraId="73EFE10F" w14:textId="77777777" w:rsidR="00B64508" w:rsidRDefault="00B64508" w:rsidP="00B64508">
      <w:pPr>
        <w:pStyle w:val="Bibliography"/>
        <w:spacing w:before="120" w:after="120"/>
      </w:pPr>
      <w:r w:rsidRPr="007B4AF4">
        <w:t>JRC. (2023). Setting EU threshold values for impulsive underwater sound. Joint Research Centre. https://data.europa.eu/doi/10.2760/60215</w:t>
      </w:r>
    </w:p>
    <w:p w14:paraId="5499E26D" w14:textId="77777777" w:rsidR="00CF03DF" w:rsidRPr="00A239F6" w:rsidRDefault="00CF03DF" w:rsidP="008C6A9C">
      <w:pPr>
        <w:spacing w:before="120" w:after="120" w:line="257" w:lineRule="auto"/>
      </w:pPr>
      <w:r w:rsidRPr="00C66C24">
        <w:t xml:space="preserve">KIMO. (2023). Fishing for Litter. Projects. </w:t>
      </w:r>
      <w:hyperlink r:id="rId197" w:history="1">
        <w:r w:rsidRPr="00A239F6">
          <w:rPr>
            <w:rStyle w:val="Hyperlink"/>
          </w:rPr>
          <w:t>https://www.kimointernational.org/fishing-for-litter/</w:t>
        </w:r>
      </w:hyperlink>
    </w:p>
    <w:p w14:paraId="2E9051AE" w14:textId="77777777" w:rsidR="00B64508" w:rsidRDefault="00B64508" w:rsidP="00B64508">
      <w:pPr>
        <w:pStyle w:val="Bibliography"/>
        <w:spacing w:before="120" w:after="120"/>
      </w:pPr>
      <w:r w:rsidRPr="007B4AF4">
        <w:t xml:space="preserve">Lack, D. A., &amp; Corbett, J. J. (2012). Black carbon from ships: A review of the effects of ship speed, fuel quality and exhaust gas scrubbing. </w:t>
      </w:r>
      <w:r w:rsidRPr="007B4AF4">
        <w:rPr>
          <w:i/>
        </w:rPr>
        <w:t>Atmospheric Chemistry and Physics</w:t>
      </w:r>
      <w:r w:rsidRPr="007B4AF4">
        <w:t xml:space="preserve">, </w:t>
      </w:r>
      <w:r w:rsidRPr="007B4AF4">
        <w:rPr>
          <w:i/>
        </w:rPr>
        <w:t>12</w:t>
      </w:r>
      <w:r w:rsidRPr="007B4AF4">
        <w:t>(9), 3985–4000. https://doi.org/10.5194/acp-12-3985-2012</w:t>
      </w:r>
    </w:p>
    <w:p w14:paraId="719A5121" w14:textId="77777777" w:rsidR="00CF03DF" w:rsidRPr="00B64508" w:rsidRDefault="00CF03DF" w:rsidP="008C6A9C">
      <w:pPr>
        <w:spacing w:before="120" w:after="120" w:line="257" w:lineRule="auto"/>
        <w:rPr>
          <w:lang w:val="fr-FR"/>
        </w:rPr>
      </w:pPr>
      <w:proofErr w:type="spellStart"/>
      <w:r w:rsidRPr="00A239F6">
        <w:t>Lehtoranta</w:t>
      </w:r>
      <w:proofErr w:type="spellEnd"/>
      <w:r w:rsidRPr="00A239F6">
        <w:t xml:space="preserve">, K., </w:t>
      </w:r>
      <w:proofErr w:type="spellStart"/>
      <w:r w:rsidRPr="00A239F6">
        <w:t>Aakko-Saksa</w:t>
      </w:r>
      <w:proofErr w:type="spellEnd"/>
      <w:r w:rsidRPr="00A239F6">
        <w:t xml:space="preserve">, P., </w:t>
      </w:r>
      <w:proofErr w:type="spellStart"/>
      <w:r w:rsidRPr="00A239F6">
        <w:t>Murtonen</w:t>
      </w:r>
      <w:proofErr w:type="spellEnd"/>
      <w:r w:rsidRPr="00A239F6">
        <w:t xml:space="preserve">, T., </w:t>
      </w:r>
      <w:proofErr w:type="spellStart"/>
      <w:r w:rsidRPr="00A239F6">
        <w:t>Vesala</w:t>
      </w:r>
      <w:proofErr w:type="spellEnd"/>
      <w:r w:rsidRPr="00A239F6">
        <w:t xml:space="preserve">, H., </w:t>
      </w:r>
      <w:proofErr w:type="spellStart"/>
      <w:r w:rsidRPr="00A239F6">
        <w:t>Ntziachristos</w:t>
      </w:r>
      <w:proofErr w:type="spellEnd"/>
      <w:r w:rsidRPr="00A239F6">
        <w:t xml:space="preserve">, L., </w:t>
      </w:r>
      <w:proofErr w:type="spellStart"/>
      <w:r w:rsidRPr="00A239F6">
        <w:t>Rönkkö</w:t>
      </w:r>
      <w:proofErr w:type="spellEnd"/>
      <w:r w:rsidRPr="00A239F6">
        <w:t xml:space="preserve">, T., Karjalainen, P., </w:t>
      </w:r>
      <w:proofErr w:type="spellStart"/>
      <w:r w:rsidRPr="00A239F6">
        <w:t>Kuittinen</w:t>
      </w:r>
      <w:proofErr w:type="spellEnd"/>
      <w:r w:rsidRPr="00A239F6">
        <w:t xml:space="preserve">, N., &amp; Timonen, H. (2019). </w:t>
      </w:r>
      <w:r w:rsidR="00301CEB" w:rsidRPr="00C66C24">
        <w:t>P</w:t>
      </w:r>
      <w:r w:rsidR="00590A7A" w:rsidRPr="00C66C24">
        <w:t xml:space="preserve">articulate mass and </w:t>
      </w:r>
      <w:proofErr w:type="spellStart"/>
      <w:r w:rsidR="00590A7A" w:rsidRPr="00C66C24">
        <w:t>nonvolatile</w:t>
      </w:r>
      <w:proofErr w:type="spellEnd"/>
      <w:r w:rsidR="00590A7A" w:rsidRPr="00C66C24">
        <w:t xml:space="preserve"> particle number emissions from marine engines using low-</w:t>
      </w:r>
      <w:proofErr w:type="spellStart"/>
      <w:r w:rsidR="00590A7A" w:rsidRPr="00C66C24">
        <w:t>sulfur</w:t>
      </w:r>
      <w:proofErr w:type="spellEnd"/>
      <w:r w:rsidR="00590A7A" w:rsidRPr="00C66C24">
        <w:t xml:space="preserve"> fuels, natural gas, or scrubbers.</w:t>
      </w:r>
      <w:r w:rsidRPr="00C66C24">
        <w:t xml:space="preserve"> </w:t>
      </w:r>
      <w:r w:rsidRPr="00B64508">
        <w:rPr>
          <w:i/>
          <w:lang w:val="fr-FR"/>
        </w:rPr>
        <w:t xml:space="preserve">Environmental Science &amp; </w:t>
      </w:r>
      <w:proofErr w:type="spellStart"/>
      <w:r w:rsidRPr="00B64508">
        <w:rPr>
          <w:i/>
          <w:lang w:val="fr-FR"/>
        </w:rPr>
        <w:t>Technology</w:t>
      </w:r>
      <w:proofErr w:type="spellEnd"/>
      <w:r w:rsidRPr="00B64508">
        <w:rPr>
          <w:lang w:val="fr-FR"/>
        </w:rPr>
        <w:t xml:space="preserve">, </w:t>
      </w:r>
      <w:r w:rsidRPr="00B64508">
        <w:rPr>
          <w:i/>
          <w:lang w:val="fr-FR"/>
        </w:rPr>
        <w:t>53</w:t>
      </w:r>
      <w:r w:rsidRPr="00B64508">
        <w:rPr>
          <w:lang w:val="fr-FR"/>
        </w:rPr>
        <w:t xml:space="preserve">(6), 3315–3322. </w:t>
      </w:r>
      <w:hyperlink r:id="rId198" w:history="1">
        <w:r w:rsidRPr="00B64508">
          <w:rPr>
            <w:rStyle w:val="Hyperlink"/>
            <w:lang w:val="fr-FR"/>
          </w:rPr>
          <w:t>https://doi.org/10.1021/acs.est.8b05555</w:t>
        </w:r>
      </w:hyperlink>
    </w:p>
    <w:p w14:paraId="482765C9" w14:textId="77777777" w:rsidR="00590A7A" w:rsidRPr="00C66C24" w:rsidRDefault="00590A7A" w:rsidP="008C6A9C">
      <w:pPr>
        <w:spacing w:before="120" w:after="120" w:line="257" w:lineRule="auto"/>
        <w:rPr>
          <w:rStyle w:val="Hyperlink"/>
          <w:color w:val="auto"/>
          <w:u w:val="none"/>
        </w:rPr>
      </w:pPr>
      <w:r w:rsidRPr="00B64508">
        <w:rPr>
          <w:lang w:val="fr-FR"/>
        </w:rPr>
        <w:t xml:space="preserve">Leone, G. (2021). </w:t>
      </w:r>
      <w:r w:rsidRPr="00C66C24">
        <w:t xml:space="preserve">Making peace with nature and delivering on the SDGs in the Mediterranean. </w:t>
      </w:r>
      <w:hyperlink r:id="rId199" w:history="1">
        <w:r w:rsidR="00CF03DF" w:rsidRPr="00C66C24">
          <w:rPr>
            <w:rStyle w:val="Hyperlink"/>
          </w:rPr>
          <w:t>https://www.genevaenvironmentnetwork.org/events/making-peace-with-nature-and-delivering-on-the-sdgs-in-the-mediterranean/</w:t>
        </w:r>
      </w:hyperlink>
    </w:p>
    <w:p w14:paraId="2A78A12B" w14:textId="77777777" w:rsidR="00590A7A" w:rsidRPr="00C66C24" w:rsidRDefault="00590A7A" w:rsidP="008C6A9C">
      <w:pPr>
        <w:spacing w:before="120" w:after="120" w:line="257" w:lineRule="auto"/>
      </w:pPr>
      <w:r w:rsidRPr="00C66C24">
        <w:t>Lloyds Register. (2023). Nuclear—Compare zero carbon fuels. Lloyds Register. https://www.lr.org/en/expertise/maritime-energy-transition/maritime-decarbonisation-hub/zcfm/Nuclear/</w:t>
      </w:r>
    </w:p>
    <w:p w14:paraId="70CBBD98" w14:textId="77777777" w:rsidR="00B64508" w:rsidRPr="008A5F2C" w:rsidRDefault="00CF03DF" w:rsidP="00B64508">
      <w:pPr>
        <w:pStyle w:val="Bibliography"/>
        <w:spacing w:before="120" w:after="120"/>
      </w:pPr>
      <w:r w:rsidRPr="00C66C24">
        <w:t xml:space="preserve">Lunde </w:t>
      </w:r>
      <w:proofErr w:type="spellStart"/>
      <w:r w:rsidRPr="00C66C24">
        <w:t>Hermansson</w:t>
      </w:r>
      <w:proofErr w:type="spellEnd"/>
      <w:r w:rsidRPr="00C66C24">
        <w:t xml:space="preserve">, A., </w:t>
      </w:r>
      <w:r w:rsidR="00B64508" w:rsidRPr="008A5F2C">
        <w:t xml:space="preserve">Gustavsson, M., Ytreberg, E., &amp; Hassellöv, I.-M. (2023a). </w:t>
      </w:r>
      <w:r w:rsidR="00B64508" w:rsidRPr="008A5F2C">
        <w:rPr>
          <w:i/>
        </w:rPr>
        <w:t>Deliverable 2.4—Multivariate prediction of scrubber water toxicity. H2020 EMERGE (Evaluation, control and mitigation of the environmental impacts of shipping emissions) Grant Agreement No. 874990.  47 pp.</w:t>
      </w:r>
      <w:r w:rsidR="00B64508" w:rsidRPr="008A5F2C">
        <w:t xml:space="preserve"> Community Research and Development Information Service. https://ec.europa.eu/research/participants/documents/downloadPublic?documentIds=080166e5fb3d9231&amp;appId=PPGMS</w:t>
      </w:r>
    </w:p>
    <w:p w14:paraId="53355B4A" w14:textId="77777777" w:rsidR="00B64508" w:rsidRDefault="00B64508" w:rsidP="00B64508">
      <w:pPr>
        <w:pStyle w:val="Bibliography"/>
        <w:spacing w:before="120" w:after="120"/>
      </w:pPr>
      <w:r w:rsidRPr="008A5F2C">
        <w:t xml:space="preserve">Lunde </w:t>
      </w:r>
      <w:proofErr w:type="spellStart"/>
      <w:r w:rsidRPr="008A5F2C">
        <w:t>Hermansson</w:t>
      </w:r>
      <w:proofErr w:type="spellEnd"/>
      <w:r w:rsidRPr="008A5F2C">
        <w:t xml:space="preserve">, A., Hassellöv, I.-M., Jalkanen, J.-P., &amp; Ytreberg, E. (2023b). Cumulative environmental risk assessment of metals and polycyclic aromatic hydrocarbons from ship activities in ports. </w:t>
      </w:r>
      <w:r w:rsidRPr="008A5F2C">
        <w:rPr>
          <w:i/>
        </w:rPr>
        <w:t>Marine Pollution Bulletin</w:t>
      </w:r>
      <w:r w:rsidRPr="008A5F2C">
        <w:t xml:space="preserve">, </w:t>
      </w:r>
      <w:r w:rsidRPr="008A5F2C">
        <w:rPr>
          <w:i/>
        </w:rPr>
        <w:t>189</w:t>
      </w:r>
      <w:r w:rsidRPr="008A5F2C">
        <w:t>, 114805. https://doi.org/10.1016/j.marpolbul.2023.114805</w:t>
      </w:r>
    </w:p>
    <w:p w14:paraId="40FC1574" w14:textId="77777777" w:rsidR="00CF03DF" w:rsidRPr="00C66C24" w:rsidRDefault="00B64508" w:rsidP="008C6A9C">
      <w:pPr>
        <w:spacing w:before="120" w:after="120" w:line="257" w:lineRule="auto"/>
      </w:pPr>
      <w:r w:rsidRPr="0007382B">
        <w:t xml:space="preserve">Lunde </w:t>
      </w:r>
      <w:proofErr w:type="spellStart"/>
      <w:r w:rsidRPr="0007382B">
        <w:t>Hermansson</w:t>
      </w:r>
      <w:proofErr w:type="spellEnd"/>
      <w:r w:rsidRPr="0007382B">
        <w:t xml:space="preserve">, A., </w:t>
      </w:r>
      <w:r w:rsidR="00CF03DF" w:rsidRPr="00C66C24">
        <w:t xml:space="preserve">Hassellöv, I.-M., </w:t>
      </w:r>
      <w:proofErr w:type="spellStart"/>
      <w:r w:rsidR="00CF03DF" w:rsidRPr="00C66C24">
        <w:t>Moldanová</w:t>
      </w:r>
      <w:proofErr w:type="spellEnd"/>
      <w:r w:rsidR="00CF03DF" w:rsidRPr="00C66C24">
        <w:t xml:space="preserve">, J., &amp; Ytreberg, E. (2021). Comparing emissions of polyaromatic hydrocarbons and metals from marine fuels and scrubbers. Transportation Research Part D: </w:t>
      </w:r>
      <w:r w:rsidR="00CF03DF" w:rsidRPr="00C66C24">
        <w:rPr>
          <w:i/>
        </w:rPr>
        <w:t>Transport and Environment</w:t>
      </w:r>
      <w:r w:rsidR="00CF03DF" w:rsidRPr="00C66C24">
        <w:t xml:space="preserve">, </w:t>
      </w:r>
      <w:r w:rsidR="00CF03DF" w:rsidRPr="00C66C24">
        <w:rPr>
          <w:i/>
          <w:iCs w:val="0"/>
        </w:rPr>
        <w:t>97</w:t>
      </w:r>
      <w:r w:rsidR="00CF03DF" w:rsidRPr="00C66C24">
        <w:t xml:space="preserve">, 102912. </w:t>
      </w:r>
      <w:hyperlink r:id="rId200" w:history="1">
        <w:r w:rsidR="00CF03DF" w:rsidRPr="00C66C24">
          <w:rPr>
            <w:rStyle w:val="Hyperlink"/>
          </w:rPr>
          <w:t>https://doi.org/10.1016/j.trd.2021.102912</w:t>
        </w:r>
      </w:hyperlink>
    </w:p>
    <w:p w14:paraId="21CFC860" w14:textId="77777777" w:rsidR="00CF03DF" w:rsidRDefault="00CF03DF" w:rsidP="008C6A9C">
      <w:pPr>
        <w:spacing w:before="120" w:after="120" w:line="257" w:lineRule="auto"/>
      </w:pPr>
      <w:proofErr w:type="spellStart"/>
      <w:r w:rsidRPr="003137A8">
        <w:rPr>
          <w:lang w:val="it-IT"/>
        </w:rPr>
        <w:t>Lv</w:t>
      </w:r>
      <w:proofErr w:type="spellEnd"/>
      <w:r w:rsidRPr="003137A8">
        <w:rPr>
          <w:lang w:val="it-IT"/>
        </w:rPr>
        <w:t xml:space="preserve">, B., Shi, J., Li, T., </w:t>
      </w:r>
      <w:proofErr w:type="spellStart"/>
      <w:r w:rsidRPr="003137A8">
        <w:rPr>
          <w:lang w:val="it-IT"/>
        </w:rPr>
        <w:t>Ren</w:t>
      </w:r>
      <w:proofErr w:type="spellEnd"/>
      <w:r w:rsidRPr="003137A8">
        <w:rPr>
          <w:lang w:val="it-IT"/>
        </w:rPr>
        <w:t xml:space="preserve">, L., </w:t>
      </w:r>
      <w:proofErr w:type="spellStart"/>
      <w:r w:rsidRPr="003137A8">
        <w:rPr>
          <w:lang w:val="it-IT"/>
        </w:rPr>
        <w:t>Tian</w:t>
      </w:r>
      <w:proofErr w:type="spellEnd"/>
      <w:r w:rsidRPr="003137A8">
        <w:rPr>
          <w:lang w:val="it-IT"/>
        </w:rPr>
        <w:t xml:space="preserve">, W., Lu, X., Han, Y., Cui, Y., &amp; Jiang, T. (2022). </w:t>
      </w:r>
      <w:r w:rsidRPr="00C66C24">
        <w:t xml:space="preserve">Deciphering the characterization, ecological function and assembly processes of bacterial communities in ship ballast water and sediments. </w:t>
      </w:r>
      <w:r w:rsidRPr="00C66C24">
        <w:rPr>
          <w:i/>
        </w:rPr>
        <w:t>Science of The Total Environment</w:t>
      </w:r>
      <w:r w:rsidRPr="00C66C24">
        <w:t xml:space="preserve">, </w:t>
      </w:r>
      <w:r w:rsidRPr="00C66C24">
        <w:rPr>
          <w:i/>
          <w:iCs w:val="0"/>
        </w:rPr>
        <w:t>816</w:t>
      </w:r>
      <w:r w:rsidRPr="00C66C24">
        <w:t xml:space="preserve">, 152721. </w:t>
      </w:r>
      <w:hyperlink r:id="rId201" w:history="1">
        <w:r w:rsidRPr="00C66C24">
          <w:rPr>
            <w:rStyle w:val="Hyperlink"/>
          </w:rPr>
          <w:t>https://doi.org/10.1016/j.scitotenv.2021.152721</w:t>
        </w:r>
      </w:hyperlink>
    </w:p>
    <w:p w14:paraId="3B46DE6C" w14:textId="77777777" w:rsidR="00B64508" w:rsidRPr="006F232F" w:rsidRDefault="00B64508" w:rsidP="00B64508">
      <w:pPr>
        <w:pStyle w:val="Bibliography"/>
        <w:spacing w:before="120" w:after="120"/>
      </w:pPr>
      <w:r w:rsidRPr="006F232F">
        <w:rPr>
          <w:iCs w:val="0"/>
        </w:rPr>
        <w:t xml:space="preserve">Marin-Enriquez, O., </w:t>
      </w:r>
      <w:proofErr w:type="spellStart"/>
      <w:r w:rsidRPr="006F232F">
        <w:rPr>
          <w:iCs w:val="0"/>
        </w:rPr>
        <w:t>Krutwa</w:t>
      </w:r>
      <w:proofErr w:type="spellEnd"/>
      <w:r w:rsidRPr="006F232F">
        <w:rPr>
          <w:iCs w:val="0"/>
        </w:rPr>
        <w:t xml:space="preserve">, A., </w:t>
      </w:r>
      <w:proofErr w:type="spellStart"/>
      <w:r w:rsidRPr="006F232F">
        <w:rPr>
          <w:iCs w:val="0"/>
        </w:rPr>
        <w:t>Behrends</w:t>
      </w:r>
      <w:proofErr w:type="spellEnd"/>
      <w:r w:rsidRPr="006F232F">
        <w:rPr>
          <w:iCs w:val="0"/>
        </w:rPr>
        <w:t xml:space="preserve">, B., Fenske, M., </w:t>
      </w:r>
      <w:proofErr w:type="spellStart"/>
      <w:r w:rsidRPr="006F232F">
        <w:rPr>
          <w:iCs w:val="0"/>
        </w:rPr>
        <w:t>Spira</w:t>
      </w:r>
      <w:proofErr w:type="spellEnd"/>
      <w:r w:rsidRPr="006F232F">
        <w:rPr>
          <w:iCs w:val="0"/>
        </w:rPr>
        <w:t xml:space="preserve">, D., </w:t>
      </w:r>
      <w:proofErr w:type="spellStart"/>
      <w:r w:rsidRPr="006F232F">
        <w:rPr>
          <w:iCs w:val="0"/>
        </w:rPr>
        <w:t>Reifferscheid</w:t>
      </w:r>
      <w:proofErr w:type="spellEnd"/>
      <w:r w:rsidRPr="006F232F">
        <w:rPr>
          <w:iCs w:val="0"/>
        </w:rPr>
        <w:t xml:space="preserve">, G., Lukas, M., </w:t>
      </w:r>
      <w:proofErr w:type="spellStart"/>
      <w:r w:rsidRPr="006F232F">
        <w:rPr>
          <w:iCs w:val="0"/>
        </w:rPr>
        <w:t>Achten</w:t>
      </w:r>
      <w:proofErr w:type="spellEnd"/>
      <w:r w:rsidRPr="006F232F">
        <w:rPr>
          <w:iCs w:val="0"/>
        </w:rPr>
        <w:t xml:space="preserve">, C., &amp; </w:t>
      </w:r>
      <w:proofErr w:type="spellStart"/>
      <w:r w:rsidRPr="006F232F">
        <w:rPr>
          <w:iCs w:val="0"/>
        </w:rPr>
        <w:t>Holz</w:t>
      </w:r>
      <w:proofErr w:type="spellEnd"/>
      <w:r w:rsidRPr="006F232F">
        <w:rPr>
          <w:iCs w:val="0"/>
        </w:rPr>
        <w:t>, I. (2023). Environmental impacts of discharge water from exhaust gas cleaning systems on ships</w:t>
      </w:r>
      <w:r w:rsidRPr="006F232F">
        <w:t>. German Environmental Agency. http://www.umweltbundesamt.de/publikationen</w:t>
      </w:r>
    </w:p>
    <w:p w14:paraId="28CF9D04" w14:textId="77777777" w:rsidR="00B64508" w:rsidRDefault="00B64508" w:rsidP="00B64508">
      <w:pPr>
        <w:pStyle w:val="Bibliography"/>
        <w:spacing w:before="120" w:after="120"/>
      </w:pPr>
      <w:r w:rsidRPr="006F232F">
        <w:t xml:space="preserve">Minton, G., </w:t>
      </w:r>
      <w:proofErr w:type="spellStart"/>
      <w:r w:rsidRPr="006F232F">
        <w:t>Folegot</w:t>
      </w:r>
      <w:proofErr w:type="spellEnd"/>
      <w:r w:rsidRPr="006F232F">
        <w:t xml:space="preserve">, T., Cosandey-Godin, A., Jacob, T., Lancaster, M., &amp; Ushio, M. (2021). Shipping and cetaceans: A review of impacts and mitigation options for policymakers 2021. </w:t>
      </w:r>
      <w:proofErr w:type="gramStart"/>
      <w:r w:rsidRPr="006F232F">
        <w:t>World Wide</w:t>
      </w:r>
      <w:proofErr w:type="gramEnd"/>
      <w:r w:rsidRPr="006F232F">
        <w:t xml:space="preserve"> Fund For Nature. https://static1.squarespace.com/static/5fb210d07f71d5494d254bb9/t/60bee13c0281ed6eb1215253/1623122300235/WWF_Shipping_Cetaceans_Report_2021.pdf</w:t>
      </w:r>
    </w:p>
    <w:p w14:paraId="3FC77CBE" w14:textId="77777777" w:rsidR="00590A7A" w:rsidRPr="00C66C24" w:rsidRDefault="00590A7A" w:rsidP="008C6A9C">
      <w:pPr>
        <w:spacing w:before="120" w:after="120" w:line="257" w:lineRule="auto"/>
        <w:rPr>
          <w:rStyle w:val="Hyperlink"/>
          <w:color w:val="auto"/>
          <w:u w:val="none"/>
        </w:rPr>
      </w:pPr>
      <w:r w:rsidRPr="00C66C24">
        <w:t xml:space="preserve">MMMCZCS. (2022). Maritime decarbonization strategy 2022. Maersk Mc-Kinney Moller </w:t>
      </w:r>
      <w:proofErr w:type="spellStart"/>
      <w:r w:rsidRPr="00C66C24">
        <w:t>Center</w:t>
      </w:r>
      <w:proofErr w:type="spellEnd"/>
      <w:r w:rsidRPr="00C66C24">
        <w:t xml:space="preserve"> for Zero Carbon Shipping. </w:t>
      </w:r>
      <w:hyperlink r:id="rId202" w:history="1">
        <w:r w:rsidR="00CF03DF" w:rsidRPr="00C66C24">
          <w:rPr>
            <w:rStyle w:val="Hyperlink"/>
          </w:rPr>
          <w:t>https://cms.zerocarbonshipping.com/media/uploads/publications/Maritime-Decarbonization-Strategy-2022.pdf</w:t>
        </w:r>
      </w:hyperlink>
    </w:p>
    <w:p w14:paraId="63095A24" w14:textId="77777777" w:rsidR="00CF03DF" w:rsidRPr="00C66C24" w:rsidRDefault="00CF03DF" w:rsidP="008C6A9C">
      <w:pPr>
        <w:spacing w:before="120" w:after="120" w:line="257" w:lineRule="auto"/>
      </w:pPr>
      <w:proofErr w:type="spellStart"/>
      <w:r w:rsidRPr="00C66C24">
        <w:t>Nylund</w:t>
      </w:r>
      <w:proofErr w:type="spellEnd"/>
      <w:r w:rsidRPr="00C66C24">
        <w:t xml:space="preserve">, A. T., </w:t>
      </w:r>
      <w:proofErr w:type="spellStart"/>
      <w:r w:rsidRPr="00C66C24">
        <w:t>Arneborg</w:t>
      </w:r>
      <w:proofErr w:type="spellEnd"/>
      <w:r w:rsidRPr="00C66C24">
        <w:t xml:space="preserve">, L., </w:t>
      </w:r>
      <w:proofErr w:type="spellStart"/>
      <w:r w:rsidRPr="00C66C24">
        <w:t>Tengberg</w:t>
      </w:r>
      <w:proofErr w:type="spellEnd"/>
      <w:r w:rsidRPr="00C66C24">
        <w:t xml:space="preserve">, A., </w:t>
      </w:r>
      <w:proofErr w:type="spellStart"/>
      <w:r w:rsidRPr="00C66C24">
        <w:t>Mallast</w:t>
      </w:r>
      <w:proofErr w:type="spellEnd"/>
      <w:r w:rsidRPr="00C66C24">
        <w:t xml:space="preserve">, U., &amp; Hassellöv, I.-M. (2021). In situ observations of turbulent ship wakes and their spatiotemporal extent. </w:t>
      </w:r>
      <w:r w:rsidRPr="00C66C24">
        <w:rPr>
          <w:i/>
        </w:rPr>
        <w:t>Ocean Science</w:t>
      </w:r>
      <w:r w:rsidRPr="00C66C24">
        <w:t xml:space="preserve">, </w:t>
      </w:r>
      <w:r w:rsidRPr="00C66C24">
        <w:rPr>
          <w:i/>
          <w:iCs w:val="0"/>
        </w:rPr>
        <w:t>17</w:t>
      </w:r>
      <w:r w:rsidRPr="00C66C24">
        <w:t xml:space="preserve">(5), 1285–1302. </w:t>
      </w:r>
      <w:hyperlink r:id="rId203" w:history="1">
        <w:r w:rsidRPr="00C66C24">
          <w:rPr>
            <w:rStyle w:val="Hyperlink"/>
          </w:rPr>
          <w:t>https://doi.org/10.5194/os-17-1285-2021</w:t>
        </w:r>
      </w:hyperlink>
    </w:p>
    <w:p w14:paraId="78D3FE1A" w14:textId="77777777" w:rsidR="00CF03DF" w:rsidRPr="00B64508" w:rsidRDefault="00CF03DF" w:rsidP="008C6A9C">
      <w:pPr>
        <w:spacing w:before="120" w:after="120" w:line="257" w:lineRule="auto"/>
      </w:pPr>
      <w:r w:rsidRPr="00C66C24">
        <w:t xml:space="preserve">OSPAR. (2022). </w:t>
      </w:r>
      <w:r w:rsidR="00590A7A" w:rsidRPr="00C66C24">
        <w:t xml:space="preserve">OSPAR quality </w:t>
      </w:r>
      <w:r w:rsidRPr="00C66C24">
        <w:t xml:space="preserve">status </w:t>
      </w:r>
      <w:r w:rsidR="00590A7A" w:rsidRPr="00C66C24">
        <w:t>report</w:t>
      </w:r>
      <w:r w:rsidRPr="00C66C24">
        <w:t xml:space="preserve"> 2023: Modelling of discharges to the marine environment from open circuit flue gas scrubbers on ships in the OSPAR Maritime Area. </w:t>
      </w:r>
      <w:r w:rsidRPr="00B64508">
        <w:t xml:space="preserve">OSPAR Commission. </w:t>
      </w:r>
      <w:hyperlink r:id="rId204" w:history="1">
        <w:r w:rsidRPr="00B64508">
          <w:rPr>
            <w:rStyle w:val="Hyperlink"/>
          </w:rPr>
          <w:t>https://oap-cloudfront.ospar.org/media/filer_public/fe/78/fe78b829-5ba5-47e3-805c-09315c16c29c/p00890_modelling_flue_gas_exhaust_scrubber_report_.pdf</w:t>
        </w:r>
      </w:hyperlink>
      <w:r w:rsidR="00394404" w:rsidRPr="00B64508">
        <w:t xml:space="preserve"> </w:t>
      </w:r>
    </w:p>
    <w:p w14:paraId="77C82247" w14:textId="77777777" w:rsidR="00B64508" w:rsidRDefault="00B64508" w:rsidP="00B64508">
      <w:pPr>
        <w:pStyle w:val="Bibliography"/>
        <w:spacing w:before="120" w:after="120"/>
      </w:pPr>
      <w:r w:rsidRPr="006F232F">
        <w:t xml:space="preserve">Paolo, F., </w:t>
      </w:r>
      <w:proofErr w:type="spellStart"/>
      <w:r w:rsidRPr="006F232F">
        <w:t>Kroodsma</w:t>
      </w:r>
      <w:proofErr w:type="spellEnd"/>
      <w:r w:rsidRPr="006F232F">
        <w:t xml:space="preserve">, D., Raynor, J., Hochberg, T., Davis, P., Cleary, J., </w:t>
      </w:r>
      <w:proofErr w:type="spellStart"/>
      <w:r w:rsidRPr="006F232F">
        <w:t>Marsaglia</w:t>
      </w:r>
      <w:proofErr w:type="spellEnd"/>
      <w:r w:rsidRPr="006F232F">
        <w:t xml:space="preserve">, L., Orofino, S., Thomas, C., &amp; Halpin, P. (2024). Satellite mapping reveals extensive industrial activity at sea. </w:t>
      </w:r>
      <w:r w:rsidRPr="006F232F">
        <w:rPr>
          <w:i/>
        </w:rPr>
        <w:t>Nature</w:t>
      </w:r>
      <w:r w:rsidRPr="006F232F">
        <w:t xml:space="preserve">, </w:t>
      </w:r>
      <w:r w:rsidRPr="006F232F">
        <w:rPr>
          <w:i/>
        </w:rPr>
        <w:t>625</w:t>
      </w:r>
      <w:r w:rsidRPr="006F232F">
        <w:t>(7993), 85–91. https://doi.org/10.1038/s41586-023-06825-8</w:t>
      </w:r>
    </w:p>
    <w:p w14:paraId="53D8014B" w14:textId="77777777" w:rsidR="00B64508" w:rsidRDefault="00B64508" w:rsidP="00B64508">
      <w:pPr>
        <w:spacing w:before="120" w:after="120" w:line="257" w:lineRule="auto"/>
        <w:rPr>
          <w:rStyle w:val="eop"/>
          <w:rFonts w:ascii="Calibri" w:hAnsi="Calibri" w:cs="Calibri"/>
          <w:color w:val="000000"/>
          <w:szCs w:val="22"/>
          <w:shd w:val="clear" w:color="auto" w:fill="FFFFFF"/>
        </w:rPr>
      </w:pPr>
      <w:r>
        <w:rPr>
          <w:rStyle w:val="normaltextrun"/>
          <w:rFonts w:ascii="Calibri" w:hAnsi="Calibri" w:cs="Calibri"/>
          <w:color w:val="000000"/>
          <w:szCs w:val="22"/>
          <w:shd w:val="clear" w:color="auto" w:fill="FFFFFF"/>
        </w:rPr>
        <w:t xml:space="preserve">PAME. (2020). Arctic Shipping Status Report (ASSR) #2 20 October 2020. 2, 35. Protection of the Artic Marine Environment. </w:t>
      </w:r>
      <w:hyperlink r:id="rId205" w:tgtFrame="_blank" w:history="1">
        <w:r>
          <w:rPr>
            <w:rStyle w:val="normaltextrun"/>
            <w:rFonts w:ascii="Calibri" w:hAnsi="Calibri" w:cs="Calibri"/>
            <w:color w:val="0563C1"/>
            <w:szCs w:val="22"/>
            <w:u w:val="single"/>
            <w:shd w:val="clear" w:color="auto" w:fill="FFFFFF"/>
          </w:rPr>
          <w:t>https://oaarchive.arctic-council.org/bitstream/handle/11374/2735/ASSR%202%20-%20October%2020.pdf</w:t>
        </w:r>
      </w:hyperlink>
      <w:r>
        <w:rPr>
          <w:rStyle w:val="normaltextrun"/>
          <w:rFonts w:ascii="Calibri" w:hAnsi="Calibri" w:cs="Calibri"/>
          <w:color w:val="000000"/>
          <w:szCs w:val="22"/>
          <w:shd w:val="clear" w:color="auto" w:fill="FFFFFF"/>
        </w:rPr>
        <w:t>?</w:t>
      </w:r>
    </w:p>
    <w:p w14:paraId="20B66BB2" w14:textId="77777777" w:rsidR="00CF03DF" w:rsidRPr="00C66C24" w:rsidRDefault="00CF03DF" w:rsidP="008C6A9C">
      <w:pPr>
        <w:spacing w:before="120" w:after="120" w:line="257" w:lineRule="auto"/>
      </w:pPr>
      <w:r w:rsidRPr="00EC6535">
        <w:t xml:space="preserve">Peltier, H., </w:t>
      </w:r>
      <w:proofErr w:type="spellStart"/>
      <w:r w:rsidRPr="00EC6535">
        <w:t>Beaufils</w:t>
      </w:r>
      <w:proofErr w:type="spellEnd"/>
      <w:r w:rsidRPr="00EC6535">
        <w:t xml:space="preserve">, A., </w:t>
      </w:r>
      <w:proofErr w:type="spellStart"/>
      <w:r w:rsidRPr="00EC6535">
        <w:t>Cesarini</w:t>
      </w:r>
      <w:proofErr w:type="spellEnd"/>
      <w:r w:rsidRPr="00EC6535">
        <w:t xml:space="preserve">, C., </w:t>
      </w:r>
      <w:proofErr w:type="spellStart"/>
      <w:r w:rsidRPr="00EC6535">
        <w:t>Dabin</w:t>
      </w:r>
      <w:proofErr w:type="spellEnd"/>
      <w:r w:rsidRPr="00EC6535">
        <w:t xml:space="preserve">, W., </w:t>
      </w:r>
      <w:proofErr w:type="spellStart"/>
      <w:r w:rsidRPr="00EC6535">
        <w:t>Dars</w:t>
      </w:r>
      <w:proofErr w:type="spellEnd"/>
      <w:r w:rsidRPr="00EC6535">
        <w:t xml:space="preserve">, C., </w:t>
      </w:r>
      <w:proofErr w:type="spellStart"/>
      <w:r w:rsidRPr="00EC6535">
        <w:t>Demaret</w:t>
      </w:r>
      <w:proofErr w:type="spellEnd"/>
      <w:r w:rsidRPr="00EC6535">
        <w:t xml:space="preserve">, F., </w:t>
      </w:r>
      <w:proofErr w:type="spellStart"/>
      <w:r w:rsidRPr="00EC6535">
        <w:t>Dhermain</w:t>
      </w:r>
      <w:proofErr w:type="spellEnd"/>
      <w:r w:rsidRPr="00EC6535">
        <w:t xml:space="preserve">, F., </w:t>
      </w:r>
      <w:proofErr w:type="spellStart"/>
      <w:r w:rsidRPr="00EC6535">
        <w:t>Doremus</w:t>
      </w:r>
      <w:proofErr w:type="spellEnd"/>
      <w:r w:rsidRPr="00EC6535">
        <w:t xml:space="preserve">, G., </w:t>
      </w:r>
      <w:proofErr w:type="spellStart"/>
      <w:r w:rsidRPr="00EC6535">
        <w:t>Labach</w:t>
      </w:r>
      <w:proofErr w:type="spellEnd"/>
      <w:r w:rsidRPr="00EC6535">
        <w:t xml:space="preserve">, H., Van </w:t>
      </w:r>
      <w:proofErr w:type="spellStart"/>
      <w:r w:rsidRPr="00EC6535">
        <w:t>Canneyt</w:t>
      </w:r>
      <w:proofErr w:type="spellEnd"/>
      <w:r w:rsidRPr="00EC6535">
        <w:t xml:space="preserve">, O., &amp; Spitz, J. (2019). </w:t>
      </w:r>
      <w:r w:rsidR="00590A7A" w:rsidRPr="00C66C24">
        <w:t xml:space="preserve">Monitoring of marine mammal strandings along </w:t>
      </w:r>
      <w:proofErr w:type="spellStart"/>
      <w:r w:rsidR="00590A7A" w:rsidRPr="00C66C24">
        <w:t>french</w:t>
      </w:r>
      <w:proofErr w:type="spellEnd"/>
      <w:r w:rsidR="00590A7A" w:rsidRPr="00C66C24">
        <w:t xml:space="preserve"> coasts reveals the importance of ship strikes on large cetaceans: a challenge for the European Marine Strategy Framework Directive. </w:t>
      </w:r>
      <w:r w:rsidRPr="00C66C24">
        <w:rPr>
          <w:i/>
        </w:rPr>
        <w:t>Frontiers in Marine Science</w:t>
      </w:r>
      <w:r w:rsidRPr="00C66C24">
        <w:t xml:space="preserve">, </w:t>
      </w:r>
      <w:r w:rsidRPr="00C66C24">
        <w:rPr>
          <w:i/>
        </w:rPr>
        <w:t>6</w:t>
      </w:r>
      <w:r w:rsidRPr="00C66C24">
        <w:t xml:space="preserve">, 486. </w:t>
      </w:r>
      <w:hyperlink r:id="rId206" w:history="1">
        <w:r w:rsidRPr="00C66C24">
          <w:rPr>
            <w:rStyle w:val="Hyperlink"/>
          </w:rPr>
          <w:t>https://doi.org/10.3389/fmars.2019.00486</w:t>
        </w:r>
      </w:hyperlink>
    </w:p>
    <w:p w14:paraId="114E5027" w14:textId="77777777" w:rsidR="00B64508" w:rsidRPr="006F232F" w:rsidRDefault="00B64508" w:rsidP="00B64508">
      <w:pPr>
        <w:pStyle w:val="Bibliography"/>
        <w:spacing w:before="120" w:after="120"/>
      </w:pPr>
      <w:r w:rsidRPr="00B64508">
        <w:rPr>
          <w:lang w:val="en-IE"/>
        </w:rPr>
        <w:t xml:space="preserve">Peng, G., Xu, B., &amp; Li, D. (2022). </w:t>
      </w:r>
      <w:r w:rsidRPr="006F232F">
        <w:t xml:space="preserve">Gray water from ships: A significant sea-based source of microplastics? </w:t>
      </w:r>
      <w:r w:rsidRPr="006F232F">
        <w:rPr>
          <w:i/>
        </w:rPr>
        <w:t>Environmental Science &amp; Technology</w:t>
      </w:r>
      <w:r w:rsidRPr="006F232F">
        <w:t xml:space="preserve">, </w:t>
      </w:r>
      <w:r w:rsidRPr="006F232F">
        <w:rPr>
          <w:i/>
        </w:rPr>
        <w:t>56</w:t>
      </w:r>
      <w:r w:rsidRPr="006F232F">
        <w:t>(1), 4–7. https://doi.org/10.1021/acs.est.1c05446</w:t>
      </w:r>
    </w:p>
    <w:p w14:paraId="04659C66" w14:textId="77777777" w:rsidR="00B64508" w:rsidRDefault="00B64508" w:rsidP="00B64508">
      <w:pPr>
        <w:pStyle w:val="Bibliography"/>
        <w:spacing w:before="120" w:after="120"/>
      </w:pPr>
      <w:proofErr w:type="spellStart"/>
      <w:r w:rsidRPr="00D220A9">
        <w:t>Petrović</w:t>
      </w:r>
      <w:proofErr w:type="spellEnd"/>
      <w:r w:rsidRPr="00D220A9">
        <w:t xml:space="preserve">, M., Gros, M., García, E., Hassellöv, M., &amp; </w:t>
      </w:r>
      <w:proofErr w:type="spellStart"/>
      <w:r w:rsidRPr="00D220A9">
        <w:t>Gondikas</w:t>
      </w:r>
      <w:proofErr w:type="spellEnd"/>
      <w:r w:rsidRPr="00D220A9">
        <w:t xml:space="preserve">, A. (2022). Deliverable 2.2—Report on measurements of dissolved and particulate contaminants in case study regions. H2020 EMERGE (Evaluation, control and Mitigation of the Environmental impacts of shipping Emissions). Grant agreement No. 874990.  56 pp. European Commission. </w:t>
      </w:r>
      <w:hyperlink r:id="rId207" w:history="1">
        <w:r w:rsidRPr="00D220A9">
          <w:rPr>
            <w:rStyle w:val="Hyperlink"/>
          </w:rPr>
          <w:t>https://ec.europa.eu/research/participants/documents/downloadPublic?documentIds=080166e5ef78dda7&amp;appId=PPGMS</w:t>
        </w:r>
      </w:hyperlink>
    </w:p>
    <w:p w14:paraId="492D9952" w14:textId="77777777" w:rsidR="00B64508" w:rsidRPr="00F521A9" w:rsidRDefault="00B64508" w:rsidP="00B64508">
      <w:pPr>
        <w:pStyle w:val="Bibliography"/>
        <w:spacing w:before="120" w:after="120"/>
      </w:pPr>
      <w:r w:rsidRPr="00D220A9">
        <w:t xml:space="preserve">PIAQUO. (2021). </w:t>
      </w:r>
      <w:r w:rsidRPr="00D220A9">
        <w:rPr>
          <w:iCs w:val="0"/>
        </w:rPr>
        <w:t>Protect marine life from noise pollution</w:t>
      </w:r>
      <w:r w:rsidRPr="00D220A9">
        <w:t>. http://lifepiaquo-urn.eu/en/home/</w:t>
      </w:r>
    </w:p>
    <w:p w14:paraId="755FB554" w14:textId="77777777" w:rsidR="00CF03DF" w:rsidRPr="00C66C24" w:rsidRDefault="00CF03DF" w:rsidP="008C6A9C">
      <w:pPr>
        <w:spacing w:before="120" w:after="120" w:line="257" w:lineRule="auto"/>
      </w:pPr>
      <w:r w:rsidRPr="00C66C24">
        <w:t xml:space="preserve">Prather, M., </w:t>
      </w:r>
      <w:proofErr w:type="spellStart"/>
      <w:r w:rsidRPr="00C66C24">
        <w:t>Ehhalt</w:t>
      </w:r>
      <w:proofErr w:type="spellEnd"/>
      <w:r w:rsidRPr="00C66C24">
        <w:t xml:space="preserve">, D., </w:t>
      </w:r>
      <w:proofErr w:type="spellStart"/>
      <w:r w:rsidRPr="00C66C24">
        <w:t>Dentener</w:t>
      </w:r>
      <w:proofErr w:type="spellEnd"/>
      <w:r w:rsidRPr="00C66C24">
        <w:t xml:space="preserve">, F., Derwent, R., </w:t>
      </w:r>
      <w:proofErr w:type="spellStart"/>
      <w:r w:rsidRPr="00C66C24">
        <w:t>Dlugokencky</w:t>
      </w:r>
      <w:proofErr w:type="spellEnd"/>
      <w:r w:rsidRPr="00C66C24">
        <w:t xml:space="preserve">, E., Holland, E., Isaksen, I., </w:t>
      </w:r>
      <w:proofErr w:type="spellStart"/>
      <w:r w:rsidRPr="00C66C24">
        <w:t>Katima</w:t>
      </w:r>
      <w:proofErr w:type="spellEnd"/>
      <w:r w:rsidRPr="00C66C24">
        <w:t xml:space="preserve">, J., Kirchhoff, V., Matson, P., Midgley, P., &amp; Wang, M. (2001). Atmospheric Chemistry and Greenhouse Gases. </w:t>
      </w:r>
      <w:hyperlink r:id="rId208" w:history="1">
        <w:r w:rsidRPr="00C66C24">
          <w:rPr>
            <w:rStyle w:val="Hyperlink"/>
          </w:rPr>
          <w:t>https://www.ipcc.ch/site/assets/uploads/2018/03/TAR-04.pdf</w:t>
        </w:r>
      </w:hyperlink>
    </w:p>
    <w:p w14:paraId="73BC4FD9" w14:textId="77777777" w:rsidR="00B64508" w:rsidRDefault="00B64508" w:rsidP="00B64508">
      <w:pPr>
        <w:pStyle w:val="Bibliography"/>
        <w:spacing w:before="120" w:after="120"/>
      </w:pPr>
      <w:r w:rsidRPr="00D220A9">
        <w:t>quietMED2. (2019). Joint programme for GES assessment on D11- noise in the Mediterranean Marine Region. https://quietmed2.eu/</w:t>
      </w:r>
    </w:p>
    <w:p w14:paraId="1A502D3F" w14:textId="77777777" w:rsidR="00CF03DF" w:rsidRPr="00C66C24" w:rsidRDefault="00CF03DF" w:rsidP="008C6A9C">
      <w:pPr>
        <w:spacing w:before="120" w:after="120" w:line="257" w:lineRule="auto"/>
        <w:rPr>
          <w:rStyle w:val="Hyperlink"/>
          <w:color w:val="auto"/>
          <w:u w:val="none"/>
        </w:rPr>
      </w:pPr>
      <w:proofErr w:type="spellStart"/>
      <w:r w:rsidRPr="00C66C24">
        <w:t>Ravishankara</w:t>
      </w:r>
      <w:proofErr w:type="spellEnd"/>
      <w:r w:rsidRPr="00C66C24">
        <w:t xml:space="preserve">, A. R., Daniel, J. S., &amp; </w:t>
      </w:r>
      <w:proofErr w:type="spellStart"/>
      <w:r w:rsidRPr="00C66C24">
        <w:t>Portmann</w:t>
      </w:r>
      <w:proofErr w:type="spellEnd"/>
      <w:r w:rsidRPr="00C66C24">
        <w:t xml:space="preserve">, R. W. (2009). </w:t>
      </w:r>
      <w:r w:rsidR="00590A7A" w:rsidRPr="00C66C24">
        <w:t>Nitrous Oxide (N2O): The dominant ozone-depleting substance emitted in the 21st century</w:t>
      </w:r>
      <w:r w:rsidR="00590A7A" w:rsidRPr="00C66C24">
        <w:rPr>
          <w:i/>
        </w:rPr>
        <w:t>.</w:t>
      </w:r>
      <w:r w:rsidRPr="00C66C24">
        <w:rPr>
          <w:i/>
        </w:rPr>
        <w:t xml:space="preserve"> Science</w:t>
      </w:r>
      <w:r w:rsidRPr="00C66C24">
        <w:t xml:space="preserve">, </w:t>
      </w:r>
      <w:r w:rsidRPr="00C66C24">
        <w:rPr>
          <w:i/>
        </w:rPr>
        <w:t>326</w:t>
      </w:r>
      <w:r w:rsidRPr="00C66C24">
        <w:t xml:space="preserve">(5949), 123–125. </w:t>
      </w:r>
      <w:hyperlink r:id="rId209" w:history="1">
        <w:r w:rsidRPr="00C66C24">
          <w:rPr>
            <w:rStyle w:val="Hyperlink"/>
          </w:rPr>
          <w:t>https://doi.org/10.1126/science.1176985</w:t>
        </w:r>
      </w:hyperlink>
    </w:p>
    <w:p w14:paraId="10E495A4" w14:textId="77777777" w:rsidR="00B64508" w:rsidRDefault="00B64508" w:rsidP="00B64508">
      <w:pPr>
        <w:pStyle w:val="Bibliography"/>
        <w:spacing w:before="120" w:after="120"/>
      </w:pPr>
      <w:r w:rsidRPr="00D220A9">
        <w:t xml:space="preserve">Raymond A.K., Henning </w:t>
      </w:r>
      <w:proofErr w:type="spellStart"/>
      <w:r w:rsidRPr="00D220A9">
        <w:t>Ødeby</w:t>
      </w:r>
      <w:proofErr w:type="spellEnd"/>
      <w:r w:rsidRPr="00D220A9">
        <w:t xml:space="preserve"> Karlsen, Henrik </w:t>
      </w:r>
      <w:proofErr w:type="spellStart"/>
      <w:r w:rsidRPr="00D220A9">
        <w:t>Helgesen</w:t>
      </w:r>
      <w:proofErr w:type="spellEnd"/>
      <w:r w:rsidRPr="00D220A9">
        <w:t xml:space="preserve">, Georg </w:t>
      </w:r>
      <w:proofErr w:type="spellStart"/>
      <w:r w:rsidRPr="00D220A9">
        <w:t>Giskegjerde</w:t>
      </w:r>
      <w:proofErr w:type="spellEnd"/>
      <w:r w:rsidRPr="00D220A9">
        <w:t xml:space="preserve">, Christine </w:t>
      </w:r>
      <w:proofErr w:type="spellStart"/>
      <w:r w:rsidRPr="00D220A9">
        <w:t>Lagerstedt</w:t>
      </w:r>
      <w:proofErr w:type="spellEnd"/>
      <w:r w:rsidRPr="00D220A9">
        <w:t xml:space="preserve">, &amp; </w:t>
      </w:r>
      <w:proofErr w:type="spellStart"/>
      <w:r w:rsidRPr="00D220A9">
        <w:t>Krugerud</w:t>
      </w:r>
      <w:proofErr w:type="spellEnd"/>
      <w:r w:rsidRPr="00D220A9">
        <w:t xml:space="preserve"> &amp; Peter </w:t>
      </w:r>
      <w:proofErr w:type="spellStart"/>
      <w:r w:rsidRPr="00D220A9">
        <w:t>Nyegaard</w:t>
      </w:r>
      <w:proofErr w:type="spellEnd"/>
      <w:r w:rsidRPr="00D220A9">
        <w:t xml:space="preserve"> Hoffmann. (2022). </w:t>
      </w:r>
      <w:proofErr w:type="spellStart"/>
      <w:r w:rsidRPr="00D220A9">
        <w:t>DNV_study_Training_of_seafarers_double_highres_digital</w:t>
      </w:r>
      <w:proofErr w:type="spellEnd"/>
      <w:r w:rsidRPr="00D220A9">
        <w:t xml:space="preserve"> </w:t>
      </w:r>
      <w:r w:rsidRPr="00D220A9">
        <w:rPr>
          <w:iCs w:val="0"/>
        </w:rPr>
        <w:t>.</w:t>
      </w:r>
      <w:r w:rsidRPr="00D220A9">
        <w:t>pdf.</w:t>
      </w:r>
    </w:p>
    <w:p w14:paraId="2C4D808F" w14:textId="77777777" w:rsidR="00590A7A" w:rsidRPr="00C66C24" w:rsidRDefault="00590A7A" w:rsidP="008C6A9C">
      <w:pPr>
        <w:spacing w:before="120" w:after="120" w:line="257" w:lineRule="auto"/>
      </w:pPr>
      <w:r w:rsidRPr="00C66C24">
        <w:t xml:space="preserve">Roper, R., </w:t>
      </w:r>
      <w:proofErr w:type="spellStart"/>
      <w:r w:rsidRPr="00C66C24">
        <w:t>Harkema</w:t>
      </w:r>
      <w:proofErr w:type="spellEnd"/>
      <w:r w:rsidRPr="00C66C24">
        <w:t xml:space="preserve">, M., </w:t>
      </w:r>
      <w:proofErr w:type="spellStart"/>
      <w:r w:rsidRPr="00C66C24">
        <w:t>Sabharwall</w:t>
      </w:r>
      <w:proofErr w:type="spellEnd"/>
      <w:r w:rsidRPr="00C66C24">
        <w:t xml:space="preserve">, P., Riddle, C., Chisholm, B., Day, B., &amp; Marotta, P. (2022). Molten salt for advanced energy applications: A review. </w:t>
      </w:r>
      <w:r w:rsidRPr="00C66C24">
        <w:rPr>
          <w:i/>
        </w:rPr>
        <w:t>Annals of Nuclear Energy, 169</w:t>
      </w:r>
      <w:r w:rsidRPr="00C66C24">
        <w:t>, 108924. https://doi.org/10.1016/j.anucene.2021.108924</w:t>
      </w:r>
    </w:p>
    <w:p w14:paraId="3449A878" w14:textId="77777777" w:rsidR="00B64508" w:rsidRDefault="00B64508" w:rsidP="00B64508">
      <w:pPr>
        <w:pStyle w:val="Bibliography"/>
        <w:spacing w:before="120" w:after="120"/>
      </w:pPr>
      <w:r w:rsidRPr="00D220A9">
        <w:t>SATURN. (2020). Developing solutions to underwater radiated noise. https://www.saturnh2020.eu/</w:t>
      </w:r>
    </w:p>
    <w:p w14:paraId="08D0D81E" w14:textId="77777777" w:rsidR="00590A7A" w:rsidRPr="00B05FF1" w:rsidRDefault="00590A7A" w:rsidP="008C6A9C">
      <w:pPr>
        <w:spacing w:before="120" w:after="120" w:line="257" w:lineRule="auto"/>
        <w:rPr>
          <w:rStyle w:val="Hyperlink"/>
          <w:color w:val="auto"/>
          <w:u w:val="none"/>
        </w:rPr>
      </w:pPr>
      <w:r w:rsidRPr="00C66C24">
        <w:t>Schoeman, R. P., Patterson-</w:t>
      </w:r>
      <w:proofErr w:type="spellStart"/>
      <w:r w:rsidRPr="00C66C24">
        <w:t>Abrolat</w:t>
      </w:r>
      <w:proofErr w:type="spellEnd"/>
      <w:r w:rsidRPr="00C66C24">
        <w:t xml:space="preserve">, C., &amp; </w:t>
      </w:r>
      <w:proofErr w:type="spellStart"/>
      <w:r w:rsidRPr="00C66C24">
        <w:t>Plön</w:t>
      </w:r>
      <w:proofErr w:type="spellEnd"/>
      <w:r w:rsidRPr="00C66C24">
        <w:t xml:space="preserve">, S. (2020). A global review of vessel collisions with marine animals. </w:t>
      </w:r>
      <w:r w:rsidRPr="00B05FF1">
        <w:rPr>
          <w:i/>
        </w:rPr>
        <w:t>Frontiers in Marine Science</w:t>
      </w:r>
      <w:r w:rsidRPr="00B05FF1">
        <w:t xml:space="preserve">, </w:t>
      </w:r>
      <w:r w:rsidRPr="00B05FF1">
        <w:rPr>
          <w:i/>
        </w:rPr>
        <w:t>7</w:t>
      </w:r>
      <w:r w:rsidRPr="00B05FF1">
        <w:t xml:space="preserve">, 292. </w:t>
      </w:r>
      <w:hyperlink r:id="rId210" w:history="1">
        <w:r w:rsidR="00CF03DF" w:rsidRPr="00B05FF1">
          <w:rPr>
            <w:rStyle w:val="Hyperlink"/>
          </w:rPr>
          <w:t>https://doi.org/10.3389/fmars.2020.00292</w:t>
        </w:r>
      </w:hyperlink>
    </w:p>
    <w:p w14:paraId="4EFFA62D" w14:textId="77777777" w:rsidR="00590A7A" w:rsidRPr="00787C91" w:rsidRDefault="00590A7A" w:rsidP="008C6A9C">
      <w:pPr>
        <w:spacing w:before="120" w:after="120" w:line="257" w:lineRule="auto"/>
        <w:rPr>
          <w:lang w:val="en-IE"/>
        </w:rPr>
      </w:pPr>
      <w:r w:rsidRPr="00EE5994">
        <w:rPr>
          <w:lang w:val="en-IE"/>
        </w:rPr>
        <w:t xml:space="preserve">Schwarz, W., &amp; </w:t>
      </w:r>
      <w:proofErr w:type="spellStart"/>
      <w:r w:rsidRPr="00EE5994">
        <w:rPr>
          <w:lang w:val="en-IE"/>
        </w:rPr>
        <w:t>Rhiemeier</w:t>
      </w:r>
      <w:proofErr w:type="spellEnd"/>
      <w:r w:rsidRPr="00EE5994">
        <w:rPr>
          <w:lang w:val="en-IE"/>
        </w:rPr>
        <w:t xml:space="preserve">, J.-M. (2007). </w:t>
      </w:r>
      <w:r w:rsidRPr="00C66C24">
        <w:t>The analysis of the emissions of fluorinated greenhouse gases from refrigeration and air conditioning equipment  used in the transport sector other than road transport and  options for reducing these emissions.</w:t>
      </w:r>
      <w:r w:rsidRPr="00C66C24">
        <w:rPr>
          <w:i/>
        </w:rPr>
        <w:t xml:space="preserve"> </w:t>
      </w:r>
      <w:proofErr w:type="spellStart"/>
      <w:r w:rsidRPr="00787C91">
        <w:rPr>
          <w:i/>
          <w:lang w:val="en-IE"/>
        </w:rPr>
        <w:t>Öko</w:t>
      </w:r>
      <w:proofErr w:type="spellEnd"/>
      <w:r w:rsidRPr="00787C91">
        <w:rPr>
          <w:i/>
          <w:lang w:val="en-IE"/>
        </w:rPr>
        <w:t xml:space="preserve">-Recherche &amp; </w:t>
      </w:r>
      <w:proofErr w:type="spellStart"/>
      <w:r w:rsidRPr="00787C91">
        <w:rPr>
          <w:i/>
          <w:lang w:val="en-IE"/>
        </w:rPr>
        <w:t>Ecofys</w:t>
      </w:r>
      <w:proofErr w:type="spellEnd"/>
      <w:r w:rsidRPr="00787C91">
        <w:rPr>
          <w:lang w:val="en-IE"/>
        </w:rPr>
        <w:t>. https://climate.ec.europa.eu/system/files/2016-11/2_maritime_rail_aircraft_en.pdf</w:t>
      </w:r>
    </w:p>
    <w:p w14:paraId="4096FDCA" w14:textId="77777777" w:rsidR="00B64508" w:rsidRPr="00D220A9" w:rsidRDefault="00B64508" w:rsidP="00B64508">
      <w:pPr>
        <w:pStyle w:val="Bibliography"/>
        <w:spacing w:before="120" w:after="120"/>
      </w:pPr>
      <w:r w:rsidRPr="00D220A9">
        <w:t xml:space="preserve">SCIPPER. (2022). </w:t>
      </w:r>
      <w:r w:rsidRPr="00D220A9">
        <w:rPr>
          <w:iCs w:val="0"/>
        </w:rPr>
        <w:t>The</w:t>
      </w:r>
      <w:r w:rsidRPr="00D220A9">
        <w:t xml:space="preserve"> SCIPPER </w:t>
      </w:r>
      <w:r w:rsidRPr="00D220A9">
        <w:rPr>
          <w:iCs w:val="0"/>
        </w:rPr>
        <w:t>Project</w:t>
      </w:r>
      <w:r w:rsidRPr="00D220A9">
        <w:t xml:space="preserve">: Shipping </w:t>
      </w:r>
      <w:r w:rsidRPr="00D220A9">
        <w:rPr>
          <w:iCs w:val="0"/>
        </w:rPr>
        <w:t>contributions</w:t>
      </w:r>
      <w:r w:rsidRPr="00D220A9">
        <w:t xml:space="preserve"> to </w:t>
      </w:r>
      <w:r w:rsidRPr="00D220A9">
        <w:rPr>
          <w:iCs w:val="0"/>
        </w:rPr>
        <w:t>inland pollution push</w:t>
      </w:r>
      <w:r w:rsidRPr="00D220A9">
        <w:t xml:space="preserve"> for the </w:t>
      </w:r>
      <w:r w:rsidRPr="00D220A9">
        <w:rPr>
          <w:iCs w:val="0"/>
        </w:rPr>
        <w:t>enforcement</w:t>
      </w:r>
      <w:r w:rsidRPr="00D220A9">
        <w:t xml:space="preserve"> of </w:t>
      </w:r>
      <w:r w:rsidRPr="00D220A9">
        <w:rPr>
          <w:iCs w:val="0"/>
        </w:rPr>
        <w:t>regulations.</w:t>
      </w:r>
      <w:r w:rsidRPr="00D220A9">
        <w:t xml:space="preserve"> European Commission. https://www.scipper-project.eu/wp-content/uploads/2023/02/scipper-d2.3_s.pdf</w:t>
      </w:r>
    </w:p>
    <w:p w14:paraId="7B93085E" w14:textId="77777777" w:rsidR="00B64508" w:rsidRPr="00D220A9" w:rsidRDefault="00B64508" w:rsidP="00B64508">
      <w:pPr>
        <w:pStyle w:val="Bibliography"/>
        <w:spacing w:before="120" w:after="120"/>
      </w:pPr>
      <w:r w:rsidRPr="00D220A9">
        <w:t>SCIPPER. (2023). SCIPPER project finds high nitrogen oxides emissions of Tier III vessels from remote measurements in North European seas—Press release. https://www.scipper-project.eu/wp-content/uploads/2023/03/press-release_march-2023_f.pdf</w:t>
      </w:r>
    </w:p>
    <w:p w14:paraId="52B5041F" w14:textId="77777777" w:rsidR="00CF03DF" w:rsidRPr="00787C91" w:rsidRDefault="00CF03DF" w:rsidP="008C6A9C">
      <w:pPr>
        <w:spacing w:before="120" w:after="120" w:line="257" w:lineRule="auto"/>
        <w:rPr>
          <w:lang w:val="en-IE"/>
        </w:rPr>
      </w:pPr>
      <w:r w:rsidRPr="00E20A3B">
        <w:rPr>
          <w:lang w:val="pt-PT"/>
        </w:rPr>
        <w:t xml:space="preserve">Selleri, T., Melas, A. D., </w:t>
      </w:r>
      <w:proofErr w:type="spellStart"/>
      <w:r w:rsidRPr="00E20A3B">
        <w:rPr>
          <w:lang w:val="pt-PT"/>
        </w:rPr>
        <w:t>Joshi</w:t>
      </w:r>
      <w:proofErr w:type="spellEnd"/>
      <w:r w:rsidRPr="00E20A3B">
        <w:rPr>
          <w:lang w:val="pt-PT"/>
        </w:rPr>
        <w:t xml:space="preserve">, A., Manara, D., </w:t>
      </w:r>
      <w:proofErr w:type="spellStart"/>
      <w:r w:rsidRPr="00E20A3B">
        <w:rPr>
          <w:lang w:val="pt-PT"/>
        </w:rPr>
        <w:t>Perujo</w:t>
      </w:r>
      <w:proofErr w:type="spellEnd"/>
      <w:r w:rsidRPr="00E20A3B">
        <w:rPr>
          <w:lang w:val="pt-PT"/>
        </w:rPr>
        <w:t>, A., &amp; Suarez-</w:t>
      </w:r>
      <w:proofErr w:type="spellStart"/>
      <w:r w:rsidRPr="00E20A3B">
        <w:rPr>
          <w:lang w:val="pt-PT"/>
        </w:rPr>
        <w:t>Bertoa</w:t>
      </w:r>
      <w:proofErr w:type="spellEnd"/>
      <w:r w:rsidRPr="00E20A3B">
        <w:rPr>
          <w:lang w:val="pt-PT"/>
        </w:rPr>
        <w:t xml:space="preserve">, R. (2021). </w:t>
      </w:r>
      <w:r w:rsidR="00590A7A" w:rsidRPr="00C66C24">
        <w:t xml:space="preserve">An overview of lean exhaust </w:t>
      </w:r>
      <w:proofErr w:type="spellStart"/>
      <w:r w:rsidR="00590A7A" w:rsidRPr="00C66C24">
        <w:t>deNOx</w:t>
      </w:r>
      <w:proofErr w:type="spellEnd"/>
      <w:r w:rsidR="00590A7A" w:rsidRPr="00C66C24">
        <w:t xml:space="preserve"> aftertreatment technologies and NOx emission regulations in the European Union.</w:t>
      </w:r>
      <w:r w:rsidRPr="00C66C24">
        <w:t xml:space="preserve"> </w:t>
      </w:r>
      <w:r w:rsidRPr="00787C91">
        <w:rPr>
          <w:i/>
          <w:lang w:val="en-IE"/>
        </w:rPr>
        <w:t>Catalysts</w:t>
      </w:r>
      <w:r w:rsidRPr="00787C91">
        <w:rPr>
          <w:lang w:val="en-IE"/>
        </w:rPr>
        <w:t>,</w:t>
      </w:r>
      <w:r w:rsidRPr="00787C91">
        <w:rPr>
          <w:i/>
          <w:lang w:val="en-IE"/>
        </w:rPr>
        <w:t xml:space="preserve"> 11</w:t>
      </w:r>
      <w:r w:rsidRPr="00787C91">
        <w:rPr>
          <w:lang w:val="en-IE"/>
        </w:rPr>
        <w:t xml:space="preserve">(3), Article 3. </w:t>
      </w:r>
      <w:hyperlink r:id="rId211" w:history="1">
        <w:r w:rsidRPr="00787C91">
          <w:rPr>
            <w:rStyle w:val="Hyperlink"/>
            <w:lang w:val="en-IE"/>
          </w:rPr>
          <w:t>https://doi.org/10.3390/catal11030404</w:t>
        </w:r>
      </w:hyperlink>
    </w:p>
    <w:p w14:paraId="056BEA6A" w14:textId="77777777" w:rsidR="00B64508" w:rsidRPr="00D220A9" w:rsidRDefault="00B64508" w:rsidP="00B64508">
      <w:pPr>
        <w:pStyle w:val="Bibliography"/>
        <w:spacing w:before="120" w:after="120"/>
      </w:pPr>
      <w:proofErr w:type="spellStart"/>
      <w:r w:rsidRPr="00D220A9">
        <w:t>Seo</w:t>
      </w:r>
      <w:proofErr w:type="spellEnd"/>
      <w:r w:rsidRPr="00D220A9">
        <w:t>, Y., Huh, C., Lee, S., &amp; Chang, D. (2016). Comparison of CO</w:t>
      </w:r>
      <w:r w:rsidRPr="00D220A9">
        <w:rPr>
          <w:vertAlign w:val="subscript"/>
        </w:rPr>
        <w:t>2</w:t>
      </w:r>
      <w:r w:rsidRPr="00D220A9">
        <w:t xml:space="preserve"> liquefaction pressures for ship-based carbon capture and storage (CCS) chain. </w:t>
      </w:r>
      <w:r w:rsidRPr="00D220A9">
        <w:rPr>
          <w:i/>
        </w:rPr>
        <w:t>International Journal of Greenhouse Gas Control</w:t>
      </w:r>
      <w:r w:rsidRPr="00D220A9">
        <w:t xml:space="preserve">, </w:t>
      </w:r>
      <w:r w:rsidRPr="00D220A9">
        <w:rPr>
          <w:i/>
        </w:rPr>
        <w:t>52</w:t>
      </w:r>
      <w:r w:rsidRPr="00D220A9">
        <w:t>, 1–12. https://doi.org/10.1016/j.ijggc.2016.06.011</w:t>
      </w:r>
    </w:p>
    <w:p w14:paraId="73AF80AB" w14:textId="30A88E55" w:rsidR="00E20A3B" w:rsidRDefault="00E20A3B" w:rsidP="00B64508">
      <w:pPr>
        <w:pStyle w:val="Bibliography"/>
        <w:spacing w:before="120" w:after="120"/>
      </w:pPr>
      <w:r>
        <w:rPr>
          <w:rStyle w:val="ui-provider"/>
        </w:rPr>
        <w:t xml:space="preserve">Sertlek, H. Ö., </w:t>
      </w:r>
      <w:proofErr w:type="spellStart"/>
      <w:r>
        <w:rPr>
          <w:rStyle w:val="ui-provider"/>
        </w:rPr>
        <w:t>Slabbekoorn</w:t>
      </w:r>
      <w:proofErr w:type="spellEnd"/>
      <w:r>
        <w:rPr>
          <w:rStyle w:val="ui-provider"/>
        </w:rPr>
        <w:t xml:space="preserve">, H., Ten Cate, C., &amp; Ainslie, M. A. (2019). Source specific sound mapping: Spatial, temporal and spectral distribution of sound in the Dutch North Sea. </w:t>
      </w:r>
      <w:r w:rsidRPr="00E20A3B">
        <w:rPr>
          <w:rStyle w:val="ui-provider"/>
          <w:i/>
          <w:iCs w:val="0"/>
        </w:rPr>
        <w:t>Environmental pollution,</w:t>
      </w:r>
      <w:r>
        <w:rPr>
          <w:rStyle w:val="ui-provider"/>
          <w:i/>
          <w:iCs w:val="0"/>
        </w:rPr>
        <w:t xml:space="preserve"> </w:t>
      </w:r>
      <w:r w:rsidRPr="00E20A3B">
        <w:rPr>
          <w:rStyle w:val="ui-provider"/>
          <w:i/>
          <w:iCs w:val="0"/>
        </w:rPr>
        <w:t>247</w:t>
      </w:r>
      <w:r>
        <w:rPr>
          <w:rStyle w:val="ui-provider"/>
        </w:rPr>
        <w:t>, 1143-1157.</w:t>
      </w:r>
    </w:p>
    <w:p w14:paraId="180C8D1F" w14:textId="77777777" w:rsidR="00B64508" w:rsidRPr="00D220A9" w:rsidRDefault="00B64508" w:rsidP="00B64508">
      <w:pPr>
        <w:pStyle w:val="Bibliography"/>
        <w:spacing w:before="120" w:after="120"/>
      </w:pPr>
      <w:r w:rsidRPr="00D220A9">
        <w:t xml:space="preserve">Song, C. (2002). Fuel processing for low-temperature and high-temperature fuel cells challenges, and opportunities for sustainable development in the 21st century. </w:t>
      </w:r>
      <w:r w:rsidRPr="00D220A9">
        <w:rPr>
          <w:i/>
        </w:rPr>
        <w:t>Catalysis Today</w:t>
      </w:r>
      <w:r w:rsidRPr="00D220A9">
        <w:t xml:space="preserve">, </w:t>
      </w:r>
      <w:r w:rsidRPr="00D220A9">
        <w:rPr>
          <w:i/>
        </w:rPr>
        <w:t>77</w:t>
      </w:r>
      <w:r w:rsidRPr="00D220A9">
        <w:t>(1–2), 17–49. https://doi.org/10.1016/S0920-5861(02)00231-6</w:t>
      </w:r>
    </w:p>
    <w:p w14:paraId="348EA2F9" w14:textId="77777777" w:rsidR="00B64508" w:rsidRPr="00D220A9" w:rsidRDefault="00B64508" w:rsidP="00B64508">
      <w:pPr>
        <w:pStyle w:val="Bibliography"/>
        <w:spacing w:before="120" w:after="120"/>
      </w:pPr>
      <w:proofErr w:type="spellStart"/>
      <w:r w:rsidRPr="00D220A9">
        <w:t>Suaria</w:t>
      </w:r>
      <w:proofErr w:type="spellEnd"/>
      <w:r w:rsidRPr="00D220A9">
        <w:t xml:space="preserve">, G., </w:t>
      </w:r>
      <w:proofErr w:type="spellStart"/>
      <w:r w:rsidRPr="00D220A9">
        <w:t>Aliani</w:t>
      </w:r>
      <w:proofErr w:type="spellEnd"/>
      <w:r w:rsidRPr="00D220A9">
        <w:t xml:space="preserve">, S., </w:t>
      </w:r>
      <w:proofErr w:type="spellStart"/>
      <w:r w:rsidRPr="00D220A9">
        <w:t>Merlino</w:t>
      </w:r>
      <w:proofErr w:type="spellEnd"/>
      <w:r w:rsidRPr="00D220A9">
        <w:t xml:space="preserve">, S., &amp; Abbate, M. (2018). The occurrence of paraffin and other petroleum waxes in the marine environment: a review of the current legislative framework and shipping operational practices. </w:t>
      </w:r>
      <w:r w:rsidRPr="00D220A9">
        <w:rPr>
          <w:i/>
        </w:rPr>
        <w:t>Frontiers in Marine Science</w:t>
      </w:r>
      <w:r w:rsidRPr="00D220A9">
        <w:t xml:space="preserve">, </w:t>
      </w:r>
      <w:r w:rsidRPr="00D220A9">
        <w:rPr>
          <w:i/>
        </w:rPr>
        <w:t>5</w:t>
      </w:r>
      <w:r w:rsidRPr="00D220A9">
        <w:t xml:space="preserve">. </w:t>
      </w:r>
      <w:hyperlink r:id="rId212" w:history="1">
        <w:r w:rsidRPr="00D220A9">
          <w:rPr>
            <w:rStyle w:val="Hyperlink"/>
          </w:rPr>
          <w:t>https://www.frontiersin.org/articles/10.3389/fmars.2018.00094</w:t>
        </w:r>
      </w:hyperlink>
    </w:p>
    <w:p w14:paraId="5F0EF396" w14:textId="77777777" w:rsidR="00B64508" w:rsidRPr="00D220A9" w:rsidRDefault="00B64508" w:rsidP="00B64508">
      <w:pPr>
        <w:pStyle w:val="Bibliography"/>
        <w:spacing w:before="120" w:after="120"/>
      </w:pPr>
      <w:r w:rsidRPr="00D220A9">
        <w:t>SYNERGETICS. (2023). SYNERGETICS project—Synergies for green transformation of inland and coastal shipping. https://www.synergetics-project.eu/</w:t>
      </w:r>
      <w:r w:rsidRPr="00D220A9">
        <w:fldChar w:fldCharType="begin"/>
      </w:r>
      <w:r w:rsidRPr="00D220A9">
        <w:fldChar w:fldCharType="separate"/>
      </w:r>
      <w:r w:rsidRPr="00D220A9">
        <w:rPr>
          <w:rStyle w:val="Hyperlink"/>
        </w:rPr>
        <w:t>https://doi.org/10.3390/catal12020184</w:t>
      </w:r>
      <w:r w:rsidRPr="00D220A9">
        <w:rPr>
          <w:rStyle w:val="Hyperlink"/>
        </w:rPr>
        <w:fldChar w:fldCharType="end"/>
      </w:r>
    </w:p>
    <w:p w14:paraId="5BA3A61F" w14:textId="77777777" w:rsidR="00B64508" w:rsidRPr="00D220A9" w:rsidRDefault="00B64508" w:rsidP="00B64508">
      <w:pPr>
        <w:pStyle w:val="Bibliography"/>
        <w:spacing w:before="120" w:after="120"/>
      </w:pPr>
      <w:r w:rsidRPr="00D220A9">
        <w:t xml:space="preserve">TG NOISE. (2022). Setting of EU </w:t>
      </w:r>
      <w:r w:rsidRPr="00D220A9">
        <w:rPr>
          <w:iCs w:val="0"/>
        </w:rPr>
        <w:t>threshold values</w:t>
      </w:r>
      <w:r w:rsidRPr="00D220A9">
        <w:t xml:space="preserve"> for continuous underwater sound. </w:t>
      </w:r>
      <w:r w:rsidRPr="00D220A9">
        <w:rPr>
          <w:iCs w:val="0"/>
        </w:rPr>
        <w:t>recommendations</w:t>
      </w:r>
      <w:r w:rsidRPr="00D220A9">
        <w:t xml:space="preserve"> from the Technical Group on </w:t>
      </w:r>
      <w:r w:rsidRPr="00D220A9">
        <w:rPr>
          <w:iCs w:val="0"/>
        </w:rPr>
        <w:t>underwater noise.</w:t>
      </w:r>
      <w:r w:rsidRPr="00D220A9">
        <w:t xml:space="preserve"> https://circabc.europa.eu/ui/group/326ae5ac-0419-4167-83ca-e3c210534a69/library/bc3ed92d-4c77-4d61-b92a-b906278236a9/details</w:t>
      </w:r>
    </w:p>
    <w:p w14:paraId="3028CAEE" w14:textId="77777777" w:rsidR="00B64508" w:rsidRPr="00D220A9" w:rsidRDefault="00B64508" w:rsidP="00B64508">
      <w:pPr>
        <w:pStyle w:val="Bibliography"/>
        <w:spacing w:before="120" w:after="120"/>
      </w:pPr>
      <w:r w:rsidRPr="00D220A9">
        <w:t xml:space="preserve">Thomsen, F., Mendes, S., </w:t>
      </w:r>
      <w:proofErr w:type="spellStart"/>
      <w:r w:rsidRPr="00D220A9">
        <w:t>Bertucci</w:t>
      </w:r>
      <w:proofErr w:type="spellEnd"/>
      <w:r w:rsidRPr="00D220A9">
        <w:t xml:space="preserve">, F., </w:t>
      </w:r>
      <w:proofErr w:type="spellStart"/>
      <w:r w:rsidRPr="00D220A9">
        <w:t>Breitzke</w:t>
      </w:r>
      <w:proofErr w:type="spellEnd"/>
      <w:r w:rsidRPr="00D220A9">
        <w:t xml:space="preserve">, M., </w:t>
      </w:r>
      <w:proofErr w:type="spellStart"/>
      <w:r w:rsidRPr="00D220A9">
        <w:t>Ciappi</w:t>
      </w:r>
      <w:proofErr w:type="spellEnd"/>
      <w:r w:rsidRPr="00D220A9">
        <w:t xml:space="preserve">, E., </w:t>
      </w:r>
      <w:proofErr w:type="spellStart"/>
      <w:r w:rsidRPr="00D220A9">
        <w:t>Cresci</w:t>
      </w:r>
      <w:proofErr w:type="spellEnd"/>
      <w:r w:rsidRPr="00D220A9">
        <w:t xml:space="preserve">, A., </w:t>
      </w:r>
      <w:proofErr w:type="spellStart"/>
      <w:r w:rsidRPr="00D220A9">
        <w:t>Debusschere</w:t>
      </w:r>
      <w:proofErr w:type="spellEnd"/>
      <w:r w:rsidRPr="00D220A9">
        <w:t xml:space="preserve">, E., </w:t>
      </w:r>
      <w:proofErr w:type="spellStart"/>
      <w:r w:rsidRPr="00D220A9">
        <w:t>Ducatel</w:t>
      </w:r>
      <w:proofErr w:type="spellEnd"/>
      <w:r w:rsidRPr="00D220A9">
        <w:t xml:space="preserve">, C., </w:t>
      </w:r>
      <w:proofErr w:type="spellStart"/>
      <w:r w:rsidRPr="00D220A9">
        <w:t>Folegot</w:t>
      </w:r>
      <w:proofErr w:type="spellEnd"/>
      <w:r w:rsidRPr="00D220A9">
        <w:t xml:space="preserve">, T., </w:t>
      </w:r>
      <w:proofErr w:type="spellStart"/>
      <w:r w:rsidRPr="00D220A9">
        <w:t>Juretzek</w:t>
      </w:r>
      <w:proofErr w:type="spellEnd"/>
      <w:r w:rsidRPr="00D220A9">
        <w:t xml:space="preserve">, C., Frans-Peter Lam, O’Brien, J., &amp; Santos, M. E. D. (2021). Addressing underwater noise in Europe: Current state of knowledge and future priorities. </w:t>
      </w:r>
      <w:proofErr w:type="spellStart"/>
      <w:r w:rsidRPr="00D220A9">
        <w:rPr>
          <w:i/>
        </w:rPr>
        <w:t>Zenodo</w:t>
      </w:r>
      <w:proofErr w:type="spellEnd"/>
      <w:r w:rsidRPr="00D220A9">
        <w:rPr>
          <w:i/>
        </w:rPr>
        <w:t>.</w:t>
      </w:r>
      <w:r w:rsidRPr="00D220A9">
        <w:t xml:space="preserve"> https://doi.org/10.5281/ZENODO.5534224</w:t>
      </w:r>
    </w:p>
    <w:p w14:paraId="27FDD3DF" w14:textId="77777777" w:rsidR="00B64508" w:rsidRPr="00D220A9" w:rsidRDefault="00B64508" w:rsidP="00B64508">
      <w:pPr>
        <w:pStyle w:val="Bibliography"/>
        <w:spacing w:before="120" w:after="120"/>
      </w:pPr>
      <w:proofErr w:type="spellStart"/>
      <w:r w:rsidRPr="00D220A9">
        <w:t>TrAM</w:t>
      </w:r>
      <w:proofErr w:type="spellEnd"/>
      <w:r w:rsidRPr="00D220A9">
        <w:t xml:space="preserve">. (2020). </w:t>
      </w:r>
      <w:proofErr w:type="spellStart"/>
      <w:r w:rsidRPr="00D220A9">
        <w:t>TrAM</w:t>
      </w:r>
      <w:proofErr w:type="spellEnd"/>
      <w:r w:rsidRPr="00D220A9">
        <w:t xml:space="preserve"> - Transport: Advanced and modular. https://tramproject.eu/</w:t>
      </w:r>
    </w:p>
    <w:p w14:paraId="4FB5C975" w14:textId="77777777" w:rsidR="00CF03DF" w:rsidRPr="00C66C24" w:rsidRDefault="00590A7A" w:rsidP="008C6A9C">
      <w:pPr>
        <w:spacing w:before="120" w:after="120" w:line="257" w:lineRule="auto"/>
      </w:pPr>
      <w:r w:rsidRPr="00C66C24">
        <w:t xml:space="preserve">UNCLOS. (1982). United Nations Convention on the law of the sea. United Nations. </w:t>
      </w:r>
      <w:hyperlink r:id="rId213" w:history="1">
        <w:r w:rsidR="00CF03DF" w:rsidRPr="00C66C24">
          <w:rPr>
            <w:rStyle w:val="Hyperlink"/>
          </w:rPr>
          <w:t>https://www.un.org/depts/los/convention_agreements/texts/unclos/unclos_e.pdf</w:t>
        </w:r>
      </w:hyperlink>
    </w:p>
    <w:p w14:paraId="0BFE773B" w14:textId="77777777" w:rsidR="00CF03DF" w:rsidRPr="00C66C24" w:rsidRDefault="00590A7A" w:rsidP="008C6A9C">
      <w:pPr>
        <w:spacing w:before="120" w:after="120" w:line="257" w:lineRule="auto"/>
      </w:pPr>
      <w:r w:rsidRPr="00C66C24">
        <w:t>UNCTAD. (2011). Review of maritime transport 2011 (UNCTAD/RMT/2011). United Nations</w:t>
      </w:r>
      <w:r w:rsidR="009C0B7B" w:rsidRPr="00C66C24">
        <w:t xml:space="preserve"> Conference on Trade and Development</w:t>
      </w:r>
      <w:r w:rsidRPr="00C66C24">
        <w:t xml:space="preserve">. </w:t>
      </w:r>
      <w:hyperlink r:id="rId214" w:history="1">
        <w:r w:rsidR="00CF03DF" w:rsidRPr="00C66C24">
          <w:rPr>
            <w:rStyle w:val="Hyperlink"/>
          </w:rPr>
          <w:t>https://unctad.org/system/files/official-document/rmt2011_en.pdf</w:t>
        </w:r>
      </w:hyperlink>
    </w:p>
    <w:p w14:paraId="3C30D139" w14:textId="77777777" w:rsidR="00CF03DF" w:rsidRPr="00C66C24" w:rsidRDefault="00590A7A" w:rsidP="008C6A9C">
      <w:pPr>
        <w:spacing w:before="120" w:after="120" w:line="257" w:lineRule="auto"/>
      </w:pPr>
      <w:r w:rsidRPr="00C66C24">
        <w:t>UNCTAD. (2020). Review of maritime transport 2019. United Nations</w:t>
      </w:r>
      <w:r w:rsidR="009C0B7B" w:rsidRPr="00C66C24">
        <w:t xml:space="preserve"> Conference on Trade and Development</w:t>
      </w:r>
      <w:r w:rsidRPr="00C66C24">
        <w:t xml:space="preserve">. </w:t>
      </w:r>
      <w:hyperlink r:id="rId215" w:history="1">
        <w:r w:rsidR="00CF03DF" w:rsidRPr="00C66C24">
          <w:rPr>
            <w:rStyle w:val="Hyperlink"/>
          </w:rPr>
          <w:t>https://unctad.org/system/files/official-document/rmt2019_en.pdf</w:t>
        </w:r>
      </w:hyperlink>
    </w:p>
    <w:p w14:paraId="37D759CA" w14:textId="77777777" w:rsidR="00CF03DF" w:rsidRPr="00C66C24" w:rsidRDefault="00590A7A" w:rsidP="00B64508">
      <w:pPr>
        <w:pStyle w:val="Bibliography"/>
        <w:spacing w:before="120" w:after="120"/>
      </w:pPr>
      <w:r w:rsidRPr="00C66C24">
        <w:t>UNCTAD. (</w:t>
      </w:r>
      <w:r w:rsidR="00B64508" w:rsidRPr="00D220A9">
        <w:t>2022). Review of maritime transport 2022. United Nations Conference on Trade and Development. https://unctad.org/system/files/official-document/rmt2022_en.pdf</w:t>
      </w:r>
    </w:p>
    <w:p w14:paraId="5B9C6B4E" w14:textId="77777777" w:rsidR="00B64508" w:rsidRPr="0007382B" w:rsidRDefault="00B64508" w:rsidP="00B64508">
      <w:pPr>
        <w:spacing w:before="120" w:after="120" w:line="257" w:lineRule="auto"/>
      </w:pPr>
      <w:r w:rsidRPr="0007382B">
        <w:t xml:space="preserve">UNCTAD. (2023). Review of maritime transport 2023. United Nations Conference on Trade and Development. </w:t>
      </w:r>
      <w:hyperlink r:id="rId216" w:history="1">
        <w:r w:rsidRPr="0007382B">
          <w:rPr>
            <w:rStyle w:val="Hyperlink"/>
          </w:rPr>
          <w:t>https://unctad.org/system/files/official-document/rmt2023_en.pdf</w:t>
        </w:r>
      </w:hyperlink>
    </w:p>
    <w:p w14:paraId="1ACD6FC5" w14:textId="77777777" w:rsidR="00CF03DF" w:rsidRPr="00C66C24" w:rsidRDefault="00CF03DF" w:rsidP="008C6A9C">
      <w:pPr>
        <w:spacing w:before="120" w:after="120" w:line="257" w:lineRule="auto"/>
      </w:pPr>
      <w:r w:rsidRPr="00C66C24">
        <w:t xml:space="preserve">UNEP. (1985). The Vienna Convention for the </w:t>
      </w:r>
      <w:r w:rsidR="00590A7A" w:rsidRPr="00C66C24">
        <w:t>protection of the ozone layer.</w:t>
      </w:r>
      <w:r w:rsidRPr="00C66C24">
        <w:t xml:space="preserve"> United Nations Environment Programme. </w:t>
      </w:r>
      <w:hyperlink r:id="rId217" w:history="1">
        <w:r w:rsidRPr="00C66C24">
          <w:rPr>
            <w:rStyle w:val="Hyperlink"/>
          </w:rPr>
          <w:t>https://ozone.unep.org/treaties/vienna-convention</w:t>
        </w:r>
      </w:hyperlink>
    </w:p>
    <w:p w14:paraId="5645A9A3" w14:textId="77777777" w:rsidR="00CF03DF" w:rsidRPr="00C66C24" w:rsidRDefault="00CF03DF" w:rsidP="008C6A9C">
      <w:pPr>
        <w:spacing w:before="120" w:after="120" w:line="257" w:lineRule="auto"/>
      </w:pPr>
      <w:r w:rsidRPr="00C66C24">
        <w:t xml:space="preserve">UNEP. (1987). The Montreal Protocol on </w:t>
      </w:r>
      <w:r w:rsidR="00590A7A" w:rsidRPr="00C66C24">
        <w:t>substances</w:t>
      </w:r>
      <w:r w:rsidRPr="00C66C24">
        <w:t xml:space="preserve"> that </w:t>
      </w:r>
      <w:r w:rsidR="00590A7A" w:rsidRPr="00C66C24">
        <w:t>deplete the ozone layer.</w:t>
      </w:r>
      <w:r w:rsidRPr="00C66C24">
        <w:t xml:space="preserve"> United Nations Environment Programme. </w:t>
      </w:r>
      <w:hyperlink r:id="rId218" w:history="1">
        <w:r w:rsidRPr="00C66C24">
          <w:rPr>
            <w:rStyle w:val="Hyperlink"/>
          </w:rPr>
          <w:t>https://ozone.unep.org/treaties/montreal-protocol</w:t>
        </w:r>
      </w:hyperlink>
    </w:p>
    <w:p w14:paraId="4989C095" w14:textId="77777777" w:rsidR="00CF03DF" w:rsidRPr="00C66C24" w:rsidRDefault="00CF03DF" w:rsidP="008C6A9C">
      <w:pPr>
        <w:spacing w:before="120" w:after="120" w:line="257" w:lineRule="auto"/>
      </w:pPr>
      <w:r w:rsidRPr="00C66C24">
        <w:t xml:space="preserve">UNEP. (2005). Marine litter, an analytical overview | UNEP - UN Environment Programme. </w:t>
      </w:r>
      <w:hyperlink r:id="rId219" w:history="1">
        <w:r w:rsidRPr="00C66C24">
          <w:rPr>
            <w:rStyle w:val="Hyperlink"/>
          </w:rPr>
          <w:t>https://www.unep.org/resources/report/marine-litter-analytical-overview</w:t>
        </w:r>
      </w:hyperlink>
    </w:p>
    <w:p w14:paraId="44AE0353" w14:textId="77777777" w:rsidR="00CF03DF" w:rsidRPr="00C66C24" w:rsidRDefault="00CF03DF" w:rsidP="00B64508">
      <w:pPr>
        <w:pStyle w:val="Bibliography"/>
        <w:spacing w:before="120" w:after="120"/>
      </w:pPr>
      <w:r w:rsidRPr="00C66C24">
        <w:t>UNEP. (</w:t>
      </w:r>
      <w:r w:rsidR="00B64508" w:rsidRPr="00D220A9">
        <w:t xml:space="preserve">2011). Report of the </w:t>
      </w:r>
      <w:r w:rsidR="00B64508" w:rsidRPr="00D220A9">
        <w:rPr>
          <w:iCs w:val="0"/>
        </w:rPr>
        <w:t>technology</w:t>
      </w:r>
      <w:r w:rsidR="00B64508" w:rsidRPr="00D220A9">
        <w:t xml:space="preserve"> and </w:t>
      </w:r>
      <w:r w:rsidR="00B64508" w:rsidRPr="00D220A9">
        <w:rPr>
          <w:iCs w:val="0"/>
        </w:rPr>
        <w:t>economic assessment panel.</w:t>
      </w:r>
      <w:r w:rsidR="00B64508" w:rsidRPr="00D220A9">
        <w:t xml:space="preserve"> United Nations Environment Programme. https://ozone.unep.org/sites/default/files/2019-05/TEAP_Progress_Report_May_2011.pdf</w:t>
      </w:r>
    </w:p>
    <w:p w14:paraId="62C24FE8" w14:textId="77777777" w:rsidR="00B64508" w:rsidRPr="00D220A9" w:rsidRDefault="00B64508" w:rsidP="00B64508">
      <w:pPr>
        <w:spacing w:before="120" w:after="120" w:line="257" w:lineRule="auto"/>
        <w:rPr>
          <w:rStyle w:val="Hyperlink"/>
        </w:rPr>
      </w:pPr>
      <w:r w:rsidRPr="00D220A9">
        <w:t xml:space="preserve">UNEP. (2018). EU ratifies Kigali Amendment to the Montreal Protocol. </w:t>
      </w:r>
      <w:hyperlink r:id="rId220" w:history="1">
        <w:r w:rsidRPr="00D220A9">
          <w:rPr>
            <w:rStyle w:val="Hyperlink"/>
          </w:rPr>
          <w:t>https://ec.europa.eu/clima/news/eu-ratifies-kigali-amendment-montreal-protocol_en</w:t>
        </w:r>
      </w:hyperlink>
    </w:p>
    <w:p w14:paraId="53805F6E" w14:textId="77777777" w:rsidR="00B64508" w:rsidRPr="00D220A9" w:rsidRDefault="00B64508" w:rsidP="00B64508">
      <w:pPr>
        <w:pStyle w:val="Bibliography"/>
        <w:spacing w:before="120" w:after="120"/>
      </w:pPr>
      <w:r w:rsidRPr="00D220A9">
        <w:t>UNEP. (2022). Refrigeration, air conditioning and heat pumps technical options committee 2022 assessment report. United Nations Environment Programme. https://ozone.unep.org/system/files/documents/RTOC-assessment%20-report-2022.pdf</w:t>
      </w:r>
    </w:p>
    <w:p w14:paraId="7ED9EB3B" w14:textId="77777777" w:rsidR="00B64508" w:rsidRPr="00D220A9" w:rsidRDefault="00B64508" w:rsidP="00B64508">
      <w:pPr>
        <w:spacing w:before="120" w:after="120" w:line="257" w:lineRule="auto"/>
      </w:pPr>
      <w:r w:rsidRPr="00D220A9">
        <w:t xml:space="preserve">UNFCCC. (2022). COP 26: Clydebank Declaration for green shipping corridors. GOV.UK. </w:t>
      </w:r>
      <w:hyperlink r:id="rId221" w:history="1">
        <w:r w:rsidRPr="00D220A9">
          <w:rPr>
            <w:rStyle w:val="Hyperlink"/>
          </w:rPr>
          <w:t>https://www.gov.uk/government/publications/cop-26-clydebank-declaration-for-green-shipping-corridors</w:t>
        </w:r>
      </w:hyperlink>
    </w:p>
    <w:p w14:paraId="09222256" w14:textId="77777777" w:rsidR="00B64508" w:rsidRPr="00D220A9" w:rsidRDefault="00B64508" w:rsidP="00B64508">
      <w:pPr>
        <w:pStyle w:val="Bibliography"/>
        <w:spacing w:before="120" w:after="120"/>
      </w:pPr>
      <w:r w:rsidRPr="00D220A9">
        <w:t xml:space="preserve">Van Roy, W., </w:t>
      </w:r>
      <w:proofErr w:type="spellStart"/>
      <w:r w:rsidRPr="00D220A9">
        <w:t>Merveille</w:t>
      </w:r>
      <w:proofErr w:type="spellEnd"/>
      <w:r w:rsidRPr="00D220A9">
        <w:t xml:space="preserve">, J. B., Van </w:t>
      </w:r>
      <w:proofErr w:type="spellStart"/>
      <w:r w:rsidRPr="00D220A9">
        <w:t>Nieuwenhove</w:t>
      </w:r>
      <w:proofErr w:type="spellEnd"/>
      <w:r w:rsidRPr="00D220A9">
        <w:t xml:space="preserve">, A., </w:t>
      </w:r>
      <w:proofErr w:type="spellStart"/>
      <w:r w:rsidRPr="00D220A9">
        <w:t>Scheldeman</w:t>
      </w:r>
      <w:proofErr w:type="spellEnd"/>
      <w:r w:rsidRPr="00D220A9">
        <w:t xml:space="preserve">, K., &amp; </w:t>
      </w:r>
      <w:proofErr w:type="spellStart"/>
      <w:r w:rsidRPr="00D220A9">
        <w:t>Maes</w:t>
      </w:r>
      <w:proofErr w:type="spellEnd"/>
      <w:r w:rsidRPr="00D220A9">
        <w:t xml:space="preserve">, F. (2023b). Policy recommendations for international regulations addressing air pollution from ships. </w:t>
      </w:r>
      <w:r w:rsidRPr="00D220A9">
        <w:rPr>
          <w:i/>
        </w:rPr>
        <w:t>SSRN Electronic Journal</w:t>
      </w:r>
      <w:r w:rsidRPr="00D220A9">
        <w:t>. https://doi.org/10.2139/ssrn.4485463</w:t>
      </w:r>
    </w:p>
    <w:p w14:paraId="7D8BDFEE" w14:textId="77777777" w:rsidR="00B64508" w:rsidRPr="00D220A9" w:rsidRDefault="00B64508" w:rsidP="00B64508">
      <w:pPr>
        <w:pStyle w:val="Bibliography"/>
        <w:spacing w:before="120" w:after="120"/>
      </w:pPr>
      <w:r w:rsidRPr="00D220A9">
        <w:t xml:space="preserve">Van Roy, W., </w:t>
      </w:r>
      <w:proofErr w:type="spellStart"/>
      <w:r w:rsidRPr="00D220A9">
        <w:t>Scheldeman</w:t>
      </w:r>
      <w:proofErr w:type="spellEnd"/>
      <w:r w:rsidRPr="00D220A9">
        <w:t xml:space="preserve">, K., Van </w:t>
      </w:r>
      <w:proofErr w:type="spellStart"/>
      <w:r w:rsidRPr="00D220A9">
        <w:t>Roozendael</w:t>
      </w:r>
      <w:proofErr w:type="spellEnd"/>
      <w:r w:rsidRPr="00D220A9">
        <w:t xml:space="preserve">, B., Van </w:t>
      </w:r>
      <w:proofErr w:type="spellStart"/>
      <w:r w:rsidRPr="00D220A9">
        <w:t>Nieuwenhove</w:t>
      </w:r>
      <w:proofErr w:type="spellEnd"/>
      <w:r w:rsidRPr="00D220A9">
        <w:t xml:space="preserve">, A., </w:t>
      </w:r>
      <w:proofErr w:type="spellStart"/>
      <w:r w:rsidRPr="00D220A9">
        <w:t>Schallier</w:t>
      </w:r>
      <w:proofErr w:type="spellEnd"/>
      <w:r w:rsidRPr="00D220A9">
        <w:t xml:space="preserve">, R., </w:t>
      </w:r>
      <w:proofErr w:type="spellStart"/>
      <w:r w:rsidRPr="00D220A9">
        <w:t>Vigin</w:t>
      </w:r>
      <w:proofErr w:type="spellEnd"/>
      <w:r w:rsidRPr="00D220A9">
        <w:t xml:space="preserve">, L., &amp; </w:t>
      </w:r>
      <w:proofErr w:type="spellStart"/>
      <w:r w:rsidRPr="00D220A9">
        <w:t>Maes</w:t>
      </w:r>
      <w:proofErr w:type="spellEnd"/>
      <w:r w:rsidRPr="00D220A9">
        <w:t xml:space="preserve">, F. (2022). Airborne monitoring of compliance to NOx emission regulations from ocean-going vessels in the Belgian North Sea. </w:t>
      </w:r>
      <w:r w:rsidRPr="00D220A9">
        <w:rPr>
          <w:i/>
        </w:rPr>
        <w:t>Atmospheric Pollution Research</w:t>
      </w:r>
      <w:r w:rsidRPr="00D220A9">
        <w:t xml:space="preserve">, </w:t>
      </w:r>
      <w:r w:rsidRPr="00D220A9">
        <w:rPr>
          <w:i/>
        </w:rPr>
        <w:t>13</w:t>
      </w:r>
      <w:r w:rsidRPr="00D220A9">
        <w:t>(9), 101518. https://doi.org/10.1016/j.apr.2022.101518</w:t>
      </w:r>
    </w:p>
    <w:p w14:paraId="7A1AB17B" w14:textId="77777777" w:rsidR="00B64508" w:rsidRPr="00D220A9" w:rsidRDefault="00B64508" w:rsidP="00B64508">
      <w:pPr>
        <w:pStyle w:val="Bibliography"/>
        <w:spacing w:before="120" w:after="120"/>
      </w:pPr>
      <w:r w:rsidRPr="00D220A9">
        <w:t xml:space="preserve">Van Roy, W., Van </w:t>
      </w:r>
      <w:proofErr w:type="spellStart"/>
      <w:r w:rsidRPr="00D220A9">
        <w:t>Roozendael</w:t>
      </w:r>
      <w:proofErr w:type="spellEnd"/>
      <w:r w:rsidRPr="00D220A9">
        <w:t xml:space="preserve">, B., </w:t>
      </w:r>
      <w:proofErr w:type="spellStart"/>
      <w:r w:rsidRPr="00D220A9">
        <w:t>Vigin</w:t>
      </w:r>
      <w:proofErr w:type="spellEnd"/>
      <w:r w:rsidRPr="00D220A9">
        <w:t xml:space="preserve">, L., Van </w:t>
      </w:r>
      <w:proofErr w:type="spellStart"/>
      <w:r w:rsidRPr="00D220A9">
        <w:t>Nieuwenhove</w:t>
      </w:r>
      <w:proofErr w:type="spellEnd"/>
      <w:r w:rsidRPr="00D220A9">
        <w:t xml:space="preserve">, A., </w:t>
      </w:r>
      <w:proofErr w:type="spellStart"/>
      <w:r w:rsidRPr="00D220A9">
        <w:t>Scheldeman</w:t>
      </w:r>
      <w:proofErr w:type="spellEnd"/>
      <w:r w:rsidRPr="00D220A9">
        <w:t xml:space="preserve">, K., </w:t>
      </w:r>
      <w:proofErr w:type="spellStart"/>
      <w:r w:rsidRPr="00D220A9">
        <w:t>Merveille</w:t>
      </w:r>
      <w:proofErr w:type="spellEnd"/>
      <w:r w:rsidRPr="00D220A9">
        <w:t xml:space="preserve">, J.-B., </w:t>
      </w:r>
      <w:proofErr w:type="spellStart"/>
      <w:r w:rsidRPr="00D220A9">
        <w:t>Weigelt</w:t>
      </w:r>
      <w:proofErr w:type="spellEnd"/>
      <w:r w:rsidRPr="00D220A9">
        <w:t xml:space="preserve">, A., </w:t>
      </w:r>
      <w:proofErr w:type="spellStart"/>
      <w:r w:rsidRPr="00D220A9">
        <w:t>Mellqvist</w:t>
      </w:r>
      <w:proofErr w:type="spellEnd"/>
      <w:r w:rsidRPr="00D220A9">
        <w:t xml:space="preserve">, J., Van Vliet, J., Van Dinther, D., </w:t>
      </w:r>
      <w:proofErr w:type="spellStart"/>
      <w:r w:rsidRPr="00D220A9">
        <w:t>Beecken</w:t>
      </w:r>
      <w:proofErr w:type="spellEnd"/>
      <w:r w:rsidRPr="00D220A9">
        <w:t xml:space="preserve">, J., Tack, F., </w:t>
      </w:r>
      <w:proofErr w:type="spellStart"/>
      <w:r w:rsidRPr="00D220A9">
        <w:t>Theys</w:t>
      </w:r>
      <w:proofErr w:type="spellEnd"/>
      <w:r w:rsidRPr="00D220A9">
        <w:t xml:space="preserve">, N., &amp; </w:t>
      </w:r>
      <w:proofErr w:type="spellStart"/>
      <w:r w:rsidRPr="00D220A9">
        <w:t>Maes</w:t>
      </w:r>
      <w:proofErr w:type="spellEnd"/>
      <w:r w:rsidRPr="00D220A9">
        <w:t xml:space="preserve">, F. (2023a). International maritime regulation decreases </w:t>
      </w:r>
      <w:proofErr w:type="spellStart"/>
      <w:r w:rsidRPr="00D220A9">
        <w:t>sulfur</w:t>
      </w:r>
      <w:proofErr w:type="spellEnd"/>
      <w:r w:rsidRPr="00D220A9">
        <w:t xml:space="preserve"> dioxide but increases nitrogen oxide emissions in the North and Baltic Sea. </w:t>
      </w:r>
      <w:r w:rsidRPr="00D220A9">
        <w:rPr>
          <w:i/>
        </w:rPr>
        <w:t>Communications Earth &amp; Environment</w:t>
      </w:r>
      <w:r w:rsidRPr="00D220A9">
        <w:t xml:space="preserve">, </w:t>
      </w:r>
      <w:r w:rsidRPr="00D220A9">
        <w:rPr>
          <w:i/>
        </w:rPr>
        <w:t>4</w:t>
      </w:r>
      <w:r w:rsidRPr="00D220A9">
        <w:t>(1), 391. https://doi.org/10.1038/s43247-023-01050-7</w:t>
      </w:r>
    </w:p>
    <w:p w14:paraId="6D17BDFB" w14:textId="77777777" w:rsidR="00B64508" w:rsidRPr="00D220A9" w:rsidRDefault="00B64508" w:rsidP="00B64508">
      <w:pPr>
        <w:pStyle w:val="Bibliography"/>
        <w:spacing w:before="120" w:after="120"/>
      </w:pPr>
      <w:proofErr w:type="spellStart"/>
      <w:r w:rsidRPr="00D220A9">
        <w:t>Wallenius</w:t>
      </w:r>
      <w:proofErr w:type="spellEnd"/>
      <w:r w:rsidRPr="00D220A9">
        <w:t xml:space="preserve"> Wilhelmsen. (2022). </w:t>
      </w:r>
      <w:proofErr w:type="spellStart"/>
      <w:r w:rsidRPr="00D220A9">
        <w:t>Orcelle</w:t>
      </w:r>
      <w:proofErr w:type="spellEnd"/>
      <w:r w:rsidRPr="00D220A9">
        <w:t xml:space="preserve"> Wind – introducing the world’s first wind-powered </w:t>
      </w:r>
      <w:proofErr w:type="spellStart"/>
      <w:r w:rsidRPr="00D220A9">
        <w:t>RoRo</w:t>
      </w:r>
      <w:proofErr w:type="spellEnd"/>
      <w:r w:rsidRPr="00D220A9">
        <w:t xml:space="preserve"> vessel. https://www.walleniuswilhelmsen.com/news-and-insights/highlighted-topics/orcelle</w:t>
      </w:r>
    </w:p>
    <w:p w14:paraId="42E04197" w14:textId="77777777" w:rsidR="00B64508" w:rsidRDefault="00B64508" w:rsidP="00B64508">
      <w:pPr>
        <w:pStyle w:val="Bibliography"/>
        <w:spacing w:before="120" w:after="120"/>
      </w:pPr>
      <w:r w:rsidRPr="00D220A9">
        <w:t xml:space="preserve">Wang, H., Yan, J., Song, W., Jiang, C., Wang, Y., &amp; Xu, T. (2022). Ion exchange membrane related processes towards carbon capture, utilization and storage: Current trends and perspectives. </w:t>
      </w:r>
      <w:r w:rsidRPr="00D220A9">
        <w:rPr>
          <w:i/>
        </w:rPr>
        <w:t>Separation and Purification Technology</w:t>
      </w:r>
      <w:r w:rsidRPr="00D220A9">
        <w:t xml:space="preserve">, </w:t>
      </w:r>
      <w:r w:rsidRPr="00D220A9">
        <w:rPr>
          <w:i/>
        </w:rPr>
        <w:t>296</w:t>
      </w:r>
      <w:r w:rsidRPr="00D220A9">
        <w:t>, 121390. https://doi.org/10.1016/j.seppur.2022.121390</w:t>
      </w:r>
    </w:p>
    <w:p w14:paraId="30411DFD" w14:textId="77777777" w:rsidR="00CF03DF" w:rsidRDefault="00CF03DF" w:rsidP="008C6A9C">
      <w:pPr>
        <w:spacing w:before="120" w:after="120" w:line="257" w:lineRule="auto"/>
        <w:rPr>
          <w:rStyle w:val="Hyperlink"/>
        </w:rPr>
      </w:pPr>
      <w:r w:rsidRPr="00C66C24">
        <w:t xml:space="preserve">WEF. (2021). </w:t>
      </w:r>
      <w:r w:rsidR="00590A7A" w:rsidRPr="00C66C24">
        <w:t>A strategy for the transition to zero-emission shipping.</w:t>
      </w:r>
      <w:r w:rsidRPr="00C66C24">
        <w:t xml:space="preserve"> World Economic Forum. </w:t>
      </w:r>
      <w:hyperlink r:id="rId222" w:history="1">
        <w:r w:rsidRPr="00C66C24">
          <w:rPr>
            <w:rStyle w:val="Hyperlink"/>
          </w:rPr>
          <w:t>https://www3.weforum.org/docs/WEF_A%20Strategy_for_the_Transition_to_Zero_Emission_Shipping_2021.pdf</w:t>
        </w:r>
      </w:hyperlink>
    </w:p>
    <w:p w14:paraId="4D284E79" w14:textId="77777777" w:rsidR="00B64508" w:rsidRPr="0007382B" w:rsidRDefault="00B64508" w:rsidP="00B64508">
      <w:pPr>
        <w:spacing w:before="120" w:after="120" w:line="257" w:lineRule="auto"/>
      </w:pPr>
      <w:r w:rsidRPr="00EE652E">
        <w:t>WHISPER. (2023). Whisper energy. https://www.whisperenergy.eu</w:t>
      </w:r>
    </w:p>
    <w:p w14:paraId="1E575073" w14:textId="77777777" w:rsidR="00CF03DF" w:rsidRPr="00C66C24" w:rsidRDefault="00CF03DF" w:rsidP="008C6A9C">
      <w:pPr>
        <w:spacing w:before="120" w:after="120" w:line="257" w:lineRule="auto"/>
        <w:rPr>
          <w:rStyle w:val="Hyperlink"/>
          <w:color w:val="auto"/>
          <w:u w:val="none"/>
        </w:rPr>
      </w:pPr>
      <w:r w:rsidRPr="00C66C24">
        <w:t xml:space="preserve">WHO. (2021). Global air quality guidelines. Particulate matter (PM2.5 and PM10), </w:t>
      </w:r>
      <w:r w:rsidR="00F534C3" w:rsidRPr="00C66C24">
        <w:t>ozone, nitrogen</w:t>
      </w:r>
      <w:r w:rsidRPr="00C66C24">
        <w:t xml:space="preserve"> dioxide, </w:t>
      </w:r>
      <w:proofErr w:type="spellStart"/>
      <w:r w:rsidRPr="00C66C24">
        <w:t>sulfur</w:t>
      </w:r>
      <w:proofErr w:type="spellEnd"/>
      <w:r w:rsidRPr="00C66C24">
        <w:t xml:space="preserve"> dioxide and carbon monoxide (p. 300). </w:t>
      </w:r>
      <w:hyperlink r:id="rId223" w:history="1">
        <w:r w:rsidRPr="00C66C24">
          <w:rPr>
            <w:rStyle w:val="Hyperlink"/>
          </w:rPr>
          <w:t>https://apps.who.int/iris/bitstream/handle/10665/345329/9789240034228-eng.pdf</w:t>
        </w:r>
      </w:hyperlink>
    </w:p>
    <w:p w14:paraId="16B6131D" w14:textId="77777777" w:rsidR="00B64508" w:rsidRPr="0007382B" w:rsidRDefault="00B64508" w:rsidP="00B64508">
      <w:pPr>
        <w:pStyle w:val="Bibliography"/>
        <w:spacing w:before="120" w:after="120"/>
      </w:pPr>
      <w:r w:rsidRPr="00EE652E">
        <w:t>World Ocean Review. (2014). World Ocean Review 3. https://worldoceanreview.com/en/wor-3/oil-and-gas/oiling-the-oceans/</w:t>
      </w:r>
    </w:p>
    <w:p w14:paraId="6207F003" w14:textId="77777777" w:rsidR="00CF03DF" w:rsidRPr="00C66C24" w:rsidRDefault="00CF03DF" w:rsidP="008C6A9C">
      <w:pPr>
        <w:spacing w:before="120" w:after="120" w:line="257" w:lineRule="auto"/>
      </w:pPr>
      <w:r w:rsidRPr="00C66C24">
        <w:t xml:space="preserve">WSC. (2023). </w:t>
      </w:r>
      <w:r w:rsidR="00590A7A" w:rsidRPr="00C66C24">
        <w:t>Containers lost</w:t>
      </w:r>
      <w:r w:rsidRPr="00C66C24">
        <w:t xml:space="preserve"> at </w:t>
      </w:r>
      <w:r w:rsidR="00590A7A" w:rsidRPr="00C66C24">
        <w:t>sea – 2023 update.</w:t>
      </w:r>
      <w:r w:rsidRPr="00C66C24">
        <w:t xml:space="preserve"> World Shipping Council. </w:t>
      </w:r>
      <w:hyperlink r:id="rId224" w:history="1">
        <w:r w:rsidRPr="00C66C24">
          <w:rPr>
            <w:rStyle w:val="Hyperlink"/>
          </w:rPr>
          <w:t>https://static1.squarespace.com/static/5ff6c5336c885a268148bdcc/t/646cf5b50ba5a260052b1b66/1684862389529/Containers_Lost_at_Sea_2023_FINAL.pdf</w:t>
        </w:r>
      </w:hyperlink>
    </w:p>
    <w:p w14:paraId="658F90EF" w14:textId="77777777" w:rsidR="00590A7A" w:rsidRDefault="00CF03DF" w:rsidP="008C6A9C">
      <w:pPr>
        <w:spacing w:before="120" w:after="120" w:line="257" w:lineRule="auto"/>
        <w:rPr>
          <w:rStyle w:val="Hyperlink"/>
        </w:rPr>
      </w:pPr>
      <w:proofErr w:type="spellStart"/>
      <w:r w:rsidRPr="00C66C24">
        <w:t>Zetterdahl</w:t>
      </w:r>
      <w:proofErr w:type="spellEnd"/>
      <w:r w:rsidRPr="00C66C24">
        <w:t xml:space="preserve">, M., </w:t>
      </w:r>
      <w:proofErr w:type="spellStart"/>
      <w:r w:rsidRPr="00C66C24">
        <w:t>Moldanová</w:t>
      </w:r>
      <w:proofErr w:type="spellEnd"/>
      <w:r w:rsidRPr="00C66C24">
        <w:t xml:space="preserve">, J., Pei, X., Pathak, R. K., &amp; </w:t>
      </w:r>
      <w:proofErr w:type="spellStart"/>
      <w:r w:rsidRPr="00C66C24">
        <w:t>Demirdjian</w:t>
      </w:r>
      <w:proofErr w:type="spellEnd"/>
      <w:r w:rsidRPr="00C66C24">
        <w:t xml:space="preserve">, B. (2016). Impact of the 0.1% fuel </w:t>
      </w:r>
      <w:proofErr w:type="spellStart"/>
      <w:r w:rsidRPr="00C66C24">
        <w:t>sulfur</w:t>
      </w:r>
      <w:proofErr w:type="spellEnd"/>
      <w:r w:rsidRPr="00C66C24">
        <w:t xml:space="preserve"> content limit in SECA on particle and gaseous emissions from marine vessels. </w:t>
      </w:r>
      <w:r w:rsidRPr="00C66C24">
        <w:rPr>
          <w:i/>
        </w:rPr>
        <w:t>Atmospheric Environment</w:t>
      </w:r>
      <w:r w:rsidRPr="00C66C24">
        <w:t xml:space="preserve">, </w:t>
      </w:r>
      <w:r w:rsidRPr="00C66C24">
        <w:rPr>
          <w:i/>
          <w:iCs w:val="0"/>
        </w:rPr>
        <w:t>145</w:t>
      </w:r>
      <w:r w:rsidRPr="00C66C24">
        <w:t xml:space="preserve">, 338–345. </w:t>
      </w:r>
      <w:hyperlink r:id="rId225" w:history="1">
        <w:r w:rsidRPr="00C66C24">
          <w:rPr>
            <w:rStyle w:val="Hyperlink"/>
          </w:rPr>
          <w:t>https://doi.org/10.1016/j.atmosenv.2016.09.022</w:t>
        </w:r>
      </w:hyperlink>
    </w:p>
    <w:p w14:paraId="4FB8059A" w14:textId="77777777" w:rsidR="00B64508" w:rsidRDefault="00B64508" w:rsidP="00B64508">
      <w:pPr>
        <w:pStyle w:val="Bibliography"/>
        <w:spacing w:before="120" w:after="120"/>
      </w:pPr>
      <w:r w:rsidRPr="00EE652E">
        <w:t>ZEWT. (2021). Waterborne — Zero-emission waterborne transport. https://www.waterborne.eu/partnership/partnership</w:t>
      </w:r>
    </w:p>
    <w:p w14:paraId="5E1455DF" w14:textId="367693A0" w:rsidR="007B66E0" w:rsidRPr="00C66C24" w:rsidRDefault="007B66E0" w:rsidP="008C6A9C">
      <w:pPr>
        <w:spacing w:before="120" w:after="120" w:line="257" w:lineRule="auto"/>
      </w:pPr>
      <w:r w:rsidRPr="00C66C24">
        <w:br w:type="page"/>
      </w:r>
    </w:p>
    <w:p w14:paraId="530BE50D" w14:textId="37D58BEB" w:rsidR="002E7FCA" w:rsidRPr="00C66C24" w:rsidRDefault="007B66E0" w:rsidP="008C6A9C">
      <w:pPr>
        <w:pStyle w:val="Heading1"/>
        <w:numPr>
          <w:ilvl w:val="0"/>
          <w:numId w:val="0"/>
        </w:numPr>
        <w:spacing w:line="257" w:lineRule="auto"/>
        <w:ind w:left="142"/>
      </w:pPr>
      <w:bookmarkStart w:id="266" w:name="_Toc156316367"/>
      <w:bookmarkStart w:id="267" w:name="_Toc157762111"/>
      <w:r w:rsidRPr="00C66C24">
        <w:t>Annex 1</w:t>
      </w:r>
      <w:r w:rsidR="000843FE" w:rsidRPr="00C66C24">
        <w:t xml:space="preserve"> </w:t>
      </w:r>
      <w:r w:rsidR="009B186D" w:rsidRPr="00C66C24">
        <w:t>Regulatory and monitoring frameworks</w:t>
      </w:r>
      <w:bookmarkEnd w:id="267"/>
    </w:p>
    <w:p w14:paraId="53C4F81A" w14:textId="77777777" w:rsidR="0066097B" w:rsidRPr="00C66C24" w:rsidRDefault="0066097B" w:rsidP="0066097B">
      <w:pPr>
        <w:spacing w:before="0" w:after="0" w:line="259" w:lineRule="auto"/>
      </w:pPr>
      <w:r w:rsidRPr="00C66C24">
        <w:t>This Chapter provides a summary of the environmental EU regulatory frameworks for the maritime transport, policy targets, and monitoring tools aimed at protecting both the atmosphere and marine ecosystems. It highlights the monitoring framework as a necessary condition for the effective implementation of regulatory measures and fundamental to track progress and ensure sustainable transition.</w:t>
      </w:r>
    </w:p>
    <w:p w14:paraId="466EE54C" w14:textId="77777777" w:rsidR="0066097B" w:rsidRPr="00C66C24" w:rsidRDefault="0066097B" w:rsidP="0066097B">
      <w:pPr>
        <w:spacing w:before="0" w:after="0" w:line="259" w:lineRule="auto"/>
      </w:pPr>
    </w:p>
    <w:p w14:paraId="275F6502" w14:textId="77777777" w:rsidR="0066097B" w:rsidRPr="00C66C24" w:rsidRDefault="0066097B" w:rsidP="000B0AE4">
      <w:pPr>
        <w:pStyle w:val="Heading6"/>
        <w:spacing w:before="0" w:after="120"/>
        <w:ind w:left="714" w:hanging="357"/>
      </w:pPr>
      <w:bookmarkStart w:id="268" w:name="_Toc152054887"/>
      <w:bookmarkStart w:id="269" w:name="_Ref157689795"/>
      <w:r w:rsidRPr="00C66C24">
        <w:t>Emissions to the Atmosphere</w:t>
      </w:r>
      <w:bookmarkEnd w:id="268"/>
      <w:bookmarkEnd w:id="269"/>
    </w:p>
    <w:p w14:paraId="11B2D3BF" w14:textId="3DE5C17A" w:rsidR="0066097B" w:rsidRPr="00C66C24" w:rsidRDefault="0066097B" w:rsidP="0066097B">
      <w:pPr>
        <w:spacing w:before="0" w:after="0" w:line="259" w:lineRule="auto"/>
      </w:pPr>
      <w:r w:rsidRPr="00C66C24">
        <w:t>Air emissions can be categorized into two main groups: greenhouse gases and air pollutants. Greenhouse gases produce global warming effects, while air pollutants impact air quality, human health and, through their deposition, ecosystems. It is important to note that some compounds belong to both categories, having at the same time an impact on air quality and a warming effect on the atmosphere. For example, methane (</w:t>
      </w:r>
      <w:r w:rsidRPr="00C66C24">
        <w:rPr>
          <w:lang w:eastAsia="en-IE"/>
        </w:rPr>
        <w:t>CH</w:t>
      </w:r>
      <w:r w:rsidRPr="00C66C24">
        <w:rPr>
          <w:vertAlign w:val="subscript"/>
          <w:lang w:eastAsia="en-IE"/>
        </w:rPr>
        <w:t>4</w:t>
      </w:r>
      <w:r w:rsidRPr="00C66C24">
        <w:rPr>
          <w:lang w:eastAsia="en-IE"/>
        </w:rPr>
        <w:t>) and nitrous oxide (N</w:t>
      </w:r>
      <w:r w:rsidRPr="00C66C24">
        <w:rPr>
          <w:vertAlign w:val="subscript"/>
          <w:lang w:eastAsia="en-IE"/>
        </w:rPr>
        <w:t>2</w:t>
      </w:r>
      <w:r w:rsidRPr="00C66C24">
        <w:rPr>
          <w:lang w:eastAsia="en-IE"/>
        </w:rPr>
        <w:t xml:space="preserve">O) are usually considered potent greenhouse gasses, however, </w:t>
      </w:r>
      <w:r w:rsidRPr="00C66C24">
        <w:t>methane</w:t>
      </w:r>
      <w:r w:rsidRPr="00C66C24">
        <w:rPr>
          <w:lang w:eastAsia="en-IE"/>
        </w:rPr>
        <w:t xml:space="preserve"> is known for its impact on air quality as an ozone precursor </w:t>
      </w:r>
      <w:r w:rsidRPr="00C66C24">
        <w:rPr>
          <w:lang w:eastAsia="en-IE"/>
        </w:rPr>
        <w:fldChar w:fldCharType="begin"/>
      </w:r>
      <w:r w:rsidRPr="00C66C24">
        <w:rPr>
          <w:lang w:eastAsia="en-IE"/>
        </w:rPr>
        <w:instrText xml:space="preserve"> ADDIN ZOTERO_ITEM CSL_CITATION {"citationID":"jBnatXva","properties":{"formattedCitation":"(Janssens-Maenhout, G. et al., 2018)","plainCitation":"(Janssens-Maenhout, G. et al., 2018)","dontUpdate":true,"noteIndex":0},"citationItems":[{"id":52152,"uris":["http://zotero.org/groups/122386/items/QN8TE7EE"],"itemData":{"id":52152,"type":"article-journal","abstract":"Methane is a greenhouse gas and air pollutant producing health damaging tropospheric ozone. By 2050 in Europe 6,000 to 11,000 ozone-related premature deaths can be avoided per year (worldwide 70,000 to 130,000) when implementing ambitious methane reduction strategies worldwide. This works informs Europe’s forthcoming methane strategy.","DOI":"10.2760/820175","ISSN":"1831-9424","language":"EN","title":"Global trends of methane emissions and their impacts on ozone concentrations","URL":"https://op.europa.eu/en/publication-detail/-/publication/c40e6fc4-dbf9-11e8-afb3-01aa75ed71a1/language-en","author":[{"literal":"Janssens-Maenhout, G."},{"literal":"Guizzardi, D."},{"literal":"Crippa, M."},{"literal":"Dentener, F."},{"literal":"Van Dingenen, R."}],"issued":{"date-parts":[["2018"]]}}}],"schema":"https://github.com/citation-style-language/schema/raw/master/csl-citation.json"} </w:instrText>
      </w:r>
      <w:r w:rsidRPr="00C66C24">
        <w:rPr>
          <w:lang w:eastAsia="en-IE"/>
        </w:rPr>
        <w:fldChar w:fldCharType="separate"/>
      </w:r>
      <w:r w:rsidRPr="00C66C24">
        <w:rPr>
          <w:rFonts w:ascii="Calibri" w:hAnsi="Calibri" w:cs="Calibri"/>
        </w:rPr>
        <w:t>(</w:t>
      </w:r>
      <w:proofErr w:type="spellStart"/>
      <w:r w:rsidRPr="00C66C24">
        <w:rPr>
          <w:rFonts w:ascii="Calibri" w:hAnsi="Calibri" w:cs="Calibri"/>
        </w:rPr>
        <w:t>Janssens-Maenhout</w:t>
      </w:r>
      <w:proofErr w:type="spellEnd"/>
      <w:r w:rsidRPr="00C66C24">
        <w:rPr>
          <w:rFonts w:ascii="Calibri" w:hAnsi="Calibri" w:cs="Calibri"/>
        </w:rPr>
        <w:t xml:space="preserve">  et al., 2018)</w:t>
      </w:r>
      <w:r w:rsidRPr="00C66C24">
        <w:rPr>
          <w:lang w:eastAsia="en-IE"/>
        </w:rPr>
        <w:fldChar w:fldCharType="end"/>
      </w:r>
      <w:r w:rsidRPr="00C66C24">
        <w:rPr>
          <w:lang w:eastAsia="en-IE"/>
        </w:rPr>
        <w:t xml:space="preserve"> and literature studies have demonstrated that nitrous oxide is an important ozone depleting substance </w:t>
      </w:r>
      <w:r w:rsidRPr="00C66C24">
        <w:rPr>
          <w:lang w:eastAsia="en-IE"/>
        </w:rPr>
        <w:fldChar w:fldCharType="begin"/>
      </w:r>
      <w:r w:rsidRPr="00C66C24">
        <w:rPr>
          <w:lang w:eastAsia="en-IE"/>
        </w:rPr>
        <w:instrText xml:space="preserve"> ADDIN ZOTERO_ITEM CSL_CITATION {"citationID":"KQsLrUik","properties":{"formattedCitation":"(Ravishankara et al., 2009)","plainCitation":"(Ravishankara et al., 2009)","noteIndex":0},"citationItems":[{"id":549,"uris":["http://zotero.org/groups/122386/items/ALBHAK53"],"itemData":{"id":549,"type":"article-journal","abstract":"Stratospheric ozone is depleted by many different chemicals; most prominently, chlorofluorocarbons (CFCs) responsible for causing the Antarctic ozone hole. Nitrous oxide is also an ozone-depleting substance that has natural sources in addition to anthropogenic ones. Moreover, unlike CFCs, its use and emission are not regulated by the Montreal Protocol, which has helped to reverse the rate of growth of the ozone hole. Surprisingly, Ravishankara et al. (p. 123, published online 27 August; see the Perspective by Wuebbles) now show that nitrous oxide is the single greatest ozone-depleting substance that, if its emissions are not controlled, is expected to remain the dominant ozone-depleting substance throughout the 21st century. Reducing nitrous oxide emissions would thus enhance the rate of recovery of the ozone hole and reduce the anthropogenic forcing of climate. Nitrous oxide causes more stratospheric ozone destruction than any other ozone-depleting substance. By comparing the ozone depletion potential?weighted anthropogenic emissions of N2O with those of other ozone-depleting substances, we show that N2O emission currently is the single most important ozone-depleting emission and is expected to remain the largest throughout the 21st century. N2O is unregulated by the Montreal Protocol. Limiting future N2O emissions would enhance the recovery of the ozone layer from its depleted state and would also reduce the anthropogenic forcing of the climate system, representing a win-win for both ozone and climate.","container-title":"Science","DOI":"10.1126/science.1176985","issue":"5949","journalAbbreviation":"Science","note":"publisher: American Association for the Advancement of Science","page":"123-125","title":"Nitrous Oxide (N2O): The Dominant Ozone-Depleting Substance Emitted in the 21st Century","volume":"326","author":[{"family":"Ravishankara","given":"A. R."},{"family":"Daniel","given":"John S."},{"family":"Portmann","given":"Robert W."}],"issued":{"date-parts":[["2009",10,2]]}}}],"schema":"https://github.com/citation-style-language/schema/raw/master/csl-citation.json"} </w:instrText>
      </w:r>
      <w:r w:rsidRPr="00C66C24">
        <w:rPr>
          <w:lang w:eastAsia="en-IE"/>
        </w:rPr>
        <w:fldChar w:fldCharType="separate"/>
      </w:r>
      <w:r w:rsidRPr="00C66C24">
        <w:rPr>
          <w:rFonts w:ascii="Calibri" w:hAnsi="Calibri" w:cs="Calibri"/>
        </w:rPr>
        <w:t>(</w:t>
      </w:r>
      <w:proofErr w:type="spellStart"/>
      <w:r w:rsidRPr="00C66C24">
        <w:rPr>
          <w:rFonts w:ascii="Calibri" w:hAnsi="Calibri" w:cs="Calibri"/>
        </w:rPr>
        <w:t>Ravishankara</w:t>
      </w:r>
      <w:proofErr w:type="spellEnd"/>
      <w:r w:rsidRPr="00C66C24">
        <w:rPr>
          <w:rFonts w:ascii="Calibri" w:hAnsi="Calibri" w:cs="Calibri"/>
        </w:rPr>
        <w:t xml:space="preserve"> et al., 2009)</w:t>
      </w:r>
      <w:r w:rsidRPr="00C66C24">
        <w:rPr>
          <w:lang w:eastAsia="en-IE"/>
        </w:rPr>
        <w:fldChar w:fldCharType="end"/>
      </w:r>
      <w:r w:rsidRPr="00C66C24">
        <w:rPr>
          <w:lang w:eastAsia="en-IE"/>
        </w:rPr>
        <w:t>. Other pollutants from the maritime transport activities, such as carbon monoxide (CO), nitrogen oxide (NOx), non-methane volatile organic compounds (NMVOCs), particulate matter (PM) and black carbon (BC) are also relevant.</w:t>
      </w:r>
      <w:r w:rsidRPr="00C66C24">
        <w:rPr>
          <w:rFonts w:ascii="Calibri" w:eastAsia="Calibri" w:hAnsi="Calibri" w:cs="Calibri"/>
          <w:color w:val="000000" w:themeColor="text1"/>
        </w:rPr>
        <w:t xml:space="preserve"> Estimates included in the Fourth IMO GHG Study indicate that BC, a potent climate pollutant included under particulate matter, was responsible for 6.85 % of the global warming contribution from shipping in 2018 </w:t>
      </w:r>
      <w:r w:rsidR="00C17C85"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{"citationID":"a12fqkp1ue1","properties":{"formattedCitation":"(IMO, 2020a)","plainCitation":"(IMO, 2020a)","noteIndex":0},"citationItems":[{"id":1068,"uris":["http://zotero.org/groups/122386/items/HJNG5DQJ"],"itemData":{"id":1068,"type":"report","event-place":"London, UK","publisher":"International Maritime Organization","publisher-place":"London, UK","title":"Fourth IMO greenhouse gas study","URL":"https://wwwcdn.imo.org/localresources/en/OurWork/Environment/Documents/Fourth%20IMO%20GHG%20Study%202020%20-%20Full%20report%20and%20annexes.pdf","author":[{"literal":"IMO"}],"accessed":{"date-parts":[["2020",12,20]]},"issued":{"date-parts":[["2020"]]}}}],"schema":"https://github.com/citation-style-language/schema/raw/master/csl-citation.json"} </w:instrText>
      </w:r>
      <w:r w:rsidR="00C17C85" w:rsidRPr="00C66C24">
        <w:rPr>
          <w:rFonts w:ascii="Calibri" w:eastAsia="Calibri" w:hAnsi="Calibri" w:cs="Calibri"/>
          <w:color w:val="000000" w:themeColor="text1"/>
        </w:rPr>
        <w:fldChar w:fldCharType="separate"/>
      </w:r>
      <w:r w:rsidR="001855E3" w:rsidRPr="00C66C24">
        <w:rPr>
          <w:rFonts w:ascii="Calibri" w:hAnsi="Calibri" w:cs="Calibri"/>
        </w:rPr>
        <w:t>(IMO, 2020a)</w:t>
      </w:r>
      <w:r w:rsidR="00C17C85"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in fact in the report BC is shown as the second most emitted greenhouse gas on a voyage-based comparison after CO</w:t>
      </w:r>
      <w:r w:rsidRPr="00C66C24">
        <w:rPr>
          <w:rFonts w:ascii="Calibri" w:eastAsia="Calibri" w:hAnsi="Calibri" w:cs="Calibri"/>
          <w:color w:val="000000" w:themeColor="text1"/>
          <w:vertAlign w:val="subscript"/>
        </w:rPr>
        <w:t>2</w:t>
      </w:r>
      <w:r w:rsidRPr="00C66C24">
        <w:rPr>
          <w:rFonts w:ascii="Calibri" w:eastAsia="Calibri" w:hAnsi="Calibri" w:cs="Calibri"/>
          <w:color w:val="000000" w:themeColor="text1"/>
        </w:rPr>
        <w:t xml:space="preserve"> </w:t>
      </w:r>
      <w:r w:rsidR="001F104D" w:rsidRPr="00C66C24">
        <w:rPr>
          <w:rFonts w:ascii="Calibri" w:eastAsia="Calibri" w:hAnsi="Calibri" w:cs="Calibri"/>
          <w:color w:val="000000" w:themeColor="text1"/>
        </w:rPr>
        <w:t>(</w:t>
      </w:r>
      <w:r w:rsidRPr="00C66C24">
        <w:rPr>
          <w:rFonts w:ascii="Calibri" w:eastAsia="Calibri" w:hAnsi="Calibri" w:cs="Calibri"/>
          <w:color w:val="000000" w:themeColor="text1"/>
        </w:rPr>
        <w:t>analysed in CO</w:t>
      </w:r>
      <w:r w:rsidRPr="00C66C24">
        <w:rPr>
          <w:rFonts w:ascii="Calibri" w:eastAsia="Calibri" w:hAnsi="Calibri" w:cs="Calibri"/>
          <w:color w:val="000000" w:themeColor="text1"/>
          <w:vertAlign w:val="subscript"/>
        </w:rPr>
        <w:t>2eq</w:t>
      </w:r>
      <w:r w:rsidR="001F104D" w:rsidRPr="00C66C24">
        <w:rPr>
          <w:rFonts w:ascii="Calibri" w:eastAsia="Calibri" w:hAnsi="Calibri" w:cs="Calibri"/>
          <w:color w:val="000000" w:themeColor="text1"/>
        </w:rPr>
        <w:t>).</w:t>
      </w:r>
      <w:r w:rsidRPr="00C66C24">
        <w:rPr>
          <w:lang w:eastAsia="en-IE"/>
        </w:rPr>
        <w:t xml:space="preserve">Therefore, greenhouse gases and air pollutants should be analysed in a complementary way. </w:t>
      </w:r>
    </w:p>
    <w:p w14:paraId="14720DF2" w14:textId="77777777" w:rsidR="0066097B" w:rsidRPr="00C66C24" w:rsidRDefault="0066097B" w:rsidP="0066097B">
      <w:pPr>
        <w:spacing w:before="0" w:after="120" w:line="259" w:lineRule="auto"/>
        <w:rPr>
          <w:rFonts w:ascii="Calibri" w:eastAsia="Calibri" w:hAnsi="Calibri" w:cs="Calibri"/>
          <w:color w:val="000000" w:themeColor="text1"/>
        </w:rPr>
      </w:pPr>
      <w:r w:rsidRPr="00C66C24">
        <w:t>Some ship emissions</w:t>
      </w:r>
      <w:r w:rsidRPr="00C66C24">
        <w:rPr>
          <w:rFonts w:ascii="Calibri" w:eastAsia="Calibri" w:hAnsi="Calibri" w:cs="Calibri"/>
        </w:rPr>
        <w:t xml:space="preserve"> are directly controlled through specific regulations, while others are regulated under wider EU directives and global initiatives, which are not specific to the shipping sector, as detailed below.</w:t>
      </w:r>
      <w:r w:rsidRPr="00C66C24">
        <w:t xml:space="preserve"> </w:t>
      </w:r>
    </w:p>
    <w:p w14:paraId="768DC24B" w14:textId="77777777" w:rsidR="0066097B" w:rsidRPr="00C66C24" w:rsidRDefault="0066097B" w:rsidP="000B0AE4">
      <w:pPr>
        <w:pStyle w:val="Heading7"/>
        <w:spacing w:before="0" w:after="120"/>
        <w:ind w:left="714" w:hanging="357"/>
        <w:rPr>
          <w:sz w:val="28"/>
          <w:szCs w:val="26"/>
        </w:rPr>
      </w:pPr>
      <w:bookmarkStart w:id="270" w:name="_Toc152054888"/>
      <w:r w:rsidRPr="00C66C24">
        <w:t>Greenhouse gases</w:t>
      </w:r>
      <w:bookmarkEnd w:id="270"/>
    </w:p>
    <w:p w14:paraId="3763BF18" w14:textId="3504E952" w:rsidR="0066097B" w:rsidRPr="00C66C24" w:rsidRDefault="0066097B" w:rsidP="0066097B">
      <w:pPr>
        <w:spacing w:before="0" w:after="0" w:line="259" w:lineRule="auto"/>
      </w:pPr>
      <w:r w:rsidRPr="00C66C24">
        <w:t>Greenhouse gases (GHG) include among others carbon dioxide (CO</w:t>
      </w:r>
      <w:r w:rsidRPr="00C66C24">
        <w:rPr>
          <w:vertAlign w:val="subscript"/>
        </w:rPr>
        <w:t>2</w:t>
      </w:r>
      <w:r w:rsidRPr="00C66C24">
        <w:t xml:space="preserve">), </w:t>
      </w:r>
      <w:r w:rsidRPr="00C66C24">
        <w:rPr>
          <w:lang w:eastAsia="en-IE"/>
        </w:rPr>
        <w:t>nitrous oxide (</w:t>
      </w:r>
      <w:r w:rsidRPr="00C66C24">
        <w:t>N</w:t>
      </w:r>
      <w:r w:rsidRPr="00C66C24">
        <w:rPr>
          <w:vertAlign w:val="subscript"/>
        </w:rPr>
        <w:t>2</w:t>
      </w:r>
      <w:r w:rsidRPr="00C66C24">
        <w:t>O), and methane (CH</w:t>
      </w:r>
      <w:r w:rsidRPr="00C66C24">
        <w:rPr>
          <w:vertAlign w:val="subscript"/>
        </w:rPr>
        <w:t>4</w:t>
      </w:r>
      <w:r w:rsidRPr="00C66C24">
        <w:t>). These compounds, once in the atmosphere, absorb longwave radiation reflected from the Earth’s surface, distributing this energy to the surrounding air as thermal radiation, ultimately increasing its temperature. The large and increasing amount of emissions associated to anthropogenic sources and their long life in the atmosphere are causing an increase of greenhouse gasses concentration, causing global warming. Between 2011 and 2020, the global surface temperature has increased by 1.1°C compared to 1850–1900 levels</w:t>
      </w:r>
      <w:r w:rsidR="001F104D" w:rsidRPr="00C66C24">
        <w:t>.</w:t>
      </w:r>
      <w:r w:rsidRPr="00C66C24">
        <w:t xml:space="preserve"> Widespread changes in the atmosphere, ocean, cryosphere and biosphere have occurred and are ongoing. Human-caused climate change is affecting the weather and causing extreme climate events across the globe. This has led to widespread adverse impacts and related losses and damages to nature and people </w:t>
      </w:r>
      <w:r w:rsidRPr="00C66C24">
        <w:fldChar w:fldCharType="begin"/>
      </w:r>
      <w:r w:rsidRPr="00C66C24">
        <w:instrText xml:space="preserve"> ADDIN ZOTERO_ITEM CSL_CITATION {"citationID":"LrQcpmWh","properties":{"formattedCitation":"(IPCC, 2023)","plainCitation":"(IPCC, 2023)","noteIndex":0},"citationItems":[{"id":33225,"uris":["http://zotero.org/groups/122386/items/UXBZL6YE"],"itemData":{"id":33225,"type":"report","publisher":"Intergovernmental Panel on Climate Change","title":"Synthesis Report of the IPCC Sixth Assessment Report (AR6)","URL":"https://www.ipcc.ch/report/ar6/syr/","author":[{"family":"IPCC","given":""}],"issued":{"date-parts":[["2023"]]}}}],"schema":"https://github.com/citation-style-language/schema/raw/master/csl-citation.json"} </w:instrText>
      </w:r>
      <w:r w:rsidRPr="00C66C24">
        <w:fldChar w:fldCharType="separate"/>
      </w:r>
      <w:r w:rsidRPr="00C66C24">
        <w:rPr>
          <w:rFonts w:ascii="Calibri" w:hAnsi="Calibri" w:cs="Calibri"/>
        </w:rPr>
        <w:t>(IPCC, 2023)</w:t>
      </w:r>
      <w:r w:rsidRPr="00C66C24">
        <w:fldChar w:fldCharType="end"/>
      </w:r>
      <w:r w:rsidRPr="00C66C24">
        <w:t>.</w:t>
      </w:r>
    </w:p>
    <w:p w14:paraId="08A6BB56" w14:textId="77777777" w:rsidR="0066097B" w:rsidRPr="00C66C24" w:rsidRDefault="0066097B" w:rsidP="0066097B">
      <w:pPr>
        <w:spacing w:before="0" w:after="0" w:line="259" w:lineRule="auto"/>
      </w:pPr>
    </w:p>
    <w:p w14:paraId="7A62C9F2" w14:textId="77777777" w:rsidR="00E76F67" w:rsidRPr="00C66C24" w:rsidRDefault="00E76F67" w:rsidP="0066097B">
      <w:pPr>
        <w:spacing w:before="0" w:after="0" w:line="259" w:lineRule="auto"/>
      </w:pPr>
    </w:p>
    <w:p w14:paraId="7F6D8DE2" w14:textId="77777777" w:rsidR="0066097B" w:rsidRPr="00C66C24" w:rsidRDefault="0066097B" w:rsidP="0066097B">
      <w:pPr>
        <w:spacing w:before="0" w:after="0" w:line="259" w:lineRule="auto"/>
        <w:rPr>
          <w:b/>
          <w:bCs/>
        </w:rPr>
      </w:pPr>
      <w:r w:rsidRPr="00C66C24">
        <w:rPr>
          <w:b/>
          <w:bCs/>
        </w:rPr>
        <w:t>Regulatory framework</w:t>
      </w:r>
    </w:p>
    <w:p w14:paraId="28E9076C" w14:textId="77777777" w:rsidR="0066097B" w:rsidRPr="00C66C24" w:rsidRDefault="0066097B" w:rsidP="0066097B">
      <w:pPr>
        <w:spacing w:before="0" w:after="0" w:line="259" w:lineRule="auto"/>
        <w:rPr>
          <w:u w:val="single"/>
        </w:rPr>
      </w:pPr>
      <w:r w:rsidRPr="00C66C24">
        <w:rPr>
          <w:u w:val="single"/>
        </w:rPr>
        <w:t>International framework</w:t>
      </w:r>
    </w:p>
    <w:p w14:paraId="0ECE7881" w14:textId="2C577735" w:rsidR="0066097B" w:rsidRPr="00C66C24" w:rsidRDefault="0066097B" w:rsidP="0066097B">
      <w:pPr>
        <w:spacing w:before="0" w:after="0" w:line="259" w:lineRule="auto"/>
      </w:pPr>
      <w:r w:rsidRPr="00C66C24">
        <w:t>In July 2023, the members of the International Maritime Organisation (IMO), adopted its revised IMO GHG Strategy</w:t>
      </w:r>
      <w:r w:rsidRPr="00C66C24" w:rsidDel="00A2570D">
        <w:t xml:space="preserve"> </w:t>
      </w:r>
      <w:r w:rsidRPr="00C66C24">
        <w:t xml:space="preserve">on the reduction of GHG emissions from ships (revised Strategy) </w:t>
      </w:r>
      <w:r w:rsidRPr="00C66C24">
        <w:fldChar w:fldCharType="begin"/>
      </w:r>
      <w:r w:rsidRPr="00C66C24">
        <w:instrText xml:space="preserve"> ADDIN ZOTERO_ITEM CSL_CITATION {"citationID":"ktcSxM8K","properties":{"formattedCitation":"(IMO, 2023a)","plainCitation":"(IMO, 2023a)","noteIndex":0},"citationItems":[{"id":51438,"uris":["http://zotero.org/groups/122386/items/P8NWSVE6"],"itemData":{"id":51438,"type":"report","title":"2023 IMO Strategy on reduction of GHG emissions from ships","title-short":"IMO, 2023","URL":"https://wwwcdn.imo.org/localresources/en/OurWork/Environment/Documents/annex/MEPC%2080/Annex%2015.pdf","author":[{"literal":"IMO"}],"issued":{"date-parts":[["2023",7,7]]}}}],"schema":"https://github.com/citation-style-language/schema/raw/master/csl-citation.json"} </w:instrText>
      </w:r>
      <w:r w:rsidRPr="00C66C24">
        <w:fldChar w:fldCharType="separate"/>
      </w:r>
      <w:r w:rsidRPr="00C66C24">
        <w:rPr>
          <w:rFonts w:ascii="Calibri" w:hAnsi="Calibri" w:cs="Calibri"/>
        </w:rPr>
        <w:t>(IMO, 2023a)</w:t>
      </w:r>
      <w:r w:rsidRPr="00C66C24">
        <w:fldChar w:fldCharType="end"/>
      </w:r>
      <w:r w:rsidRPr="00C66C24">
        <w:t>, aiming to keep their path of decarbonisation of the shipping sector and paving the way for the work that will follow on the Organization. The revised Strategy is a non-binding framework which aims to reduce greenhouse gas (GHG) from international maritime shipping and presents an enhanced level of ambition compared to the 2018 Strategy. More specifically, the revised Strategy provides for candidate measures aiming at i) increasing the energy efficiency of ships; ii) reducing the carbon intensity of ships: iii) promoting the uptake of zero or near zero GHG emission technologies</w:t>
      </w:r>
      <w:r w:rsidRPr="00C66C24">
        <w:rPr>
          <w:rFonts w:ascii="Calibri" w:eastAsia="Calibri" w:hAnsi="Calibri" w:cs="Calibri"/>
          <w:szCs w:val="22"/>
        </w:rPr>
        <w:t>, fuels and/or energy sources</w:t>
      </w:r>
      <w:r w:rsidRPr="00C66C24">
        <w:t>; iv) reaching net-zero GHG emissions from international shipping by or around 2050.</w:t>
      </w:r>
    </w:p>
    <w:p w14:paraId="21F19E2B" w14:textId="77777777" w:rsidR="0066097B" w:rsidRPr="00C66C24" w:rsidRDefault="0066097B" w:rsidP="0066097B">
      <w:pPr>
        <w:spacing w:before="0" w:after="0" w:line="259" w:lineRule="auto"/>
      </w:pPr>
      <w:r w:rsidRPr="00C66C24">
        <w:t xml:space="preserve">Moreover, two indicative checkpoints have been introduced aiming at reducing the total annual GHG emissions from international shipping compared to 2008 levels a) by at least 20%, striving for 30%, by 2030 and; b) by at least 70%, striving for 80%, by 2040 (resolution MEPC.377(80)) </w:t>
      </w:r>
      <w:r w:rsidRPr="00C66C24">
        <w:fldChar w:fldCharType="begin"/>
      </w:r>
      <w:r w:rsidRPr="00C66C24">
        <w:instrText xml:space="preserve"> ADDIN ZOTERO_ITEM CSL_CITATION {"citationID":"Nqp4FTzv","properties":{"formattedCitation":"(IMO, 2023a)","plainCitation":"(IMO, 2023a)","noteIndex":0},"citationItems":[{"id":51438,"uris":["http://zotero.org/groups/122386/items/P8NWSVE6"],"itemData":{"id":51438,"type":"report","title":"2023 IMO Strategy on reduction of GHG emissions from ships","title-short":"IMO, 2023","URL":"https://wwwcdn.imo.org/localresources/en/OurWork/Environment/Documents/annex/MEPC%2080/Annex%2015.pdf","author":[{"literal":"IMO"}],"issued":{"date-parts":[["2023",7,7]]}}}],"schema":"https://github.com/citation-style-language/schema/raw/master/csl-citation.json"} </w:instrText>
      </w:r>
      <w:r w:rsidRPr="00C66C24">
        <w:fldChar w:fldCharType="separate"/>
      </w:r>
      <w:r w:rsidRPr="00C66C24">
        <w:rPr>
          <w:rFonts w:ascii="Calibri" w:hAnsi="Calibri" w:cs="Calibri"/>
        </w:rPr>
        <w:t>(IMO, 2023a)</w:t>
      </w:r>
      <w:r w:rsidRPr="00C66C24">
        <w:fldChar w:fldCharType="end"/>
      </w:r>
      <w:r w:rsidRPr="00C66C24">
        <w:t xml:space="preserve">. </w:t>
      </w:r>
    </w:p>
    <w:p w14:paraId="4D4D9F07" w14:textId="0A3F9E08" w:rsidR="0066097B" w:rsidRPr="00C66C24" w:rsidRDefault="0066097B" w:rsidP="0066097B">
      <w:pPr>
        <w:spacing w:before="0" w:after="0" w:line="259" w:lineRule="auto"/>
      </w:pPr>
      <w:r w:rsidRPr="00C66C24">
        <w:t xml:space="preserve">In addition, </w:t>
      </w:r>
      <w:r w:rsidR="00BA5EA7" w:rsidRPr="00C66C24">
        <w:t>g</w:t>
      </w:r>
      <w:r w:rsidRPr="00C66C24">
        <w:t xml:space="preserve">uidelines on life cycle GHG intensity of marine fuels (LCA </w:t>
      </w:r>
      <w:r w:rsidR="00BA5EA7" w:rsidRPr="00C66C24">
        <w:t>g</w:t>
      </w:r>
      <w:r w:rsidRPr="00C66C24">
        <w:t xml:space="preserve">uidelines) were adopted in July 2023. The LCA </w:t>
      </w:r>
      <w:r w:rsidR="00BA5EA7" w:rsidRPr="00C66C24">
        <w:t>g</w:t>
      </w:r>
      <w:r w:rsidRPr="00C66C24">
        <w:t>uidelines consider the Well-to-Wake (</w:t>
      </w:r>
      <w:proofErr w:type="spellStart"/>
      <w:r w:rsidRPr="00C66C24">
        <w:t>WtW</w:t>
      </w:r>
      <w:proofErr w:type="spellEnd"/>
      <w:r w:rsidRPr="00C66C24">
        <w:t xml:space="preserve">) emissions of marine fuels used onboard (i.e., both upstream (Well-to-Tank) and downstream (Tank-to-Wake emissions)). Further work is ongoing on the sustainable use of marine fuels by the maritime sector (resolution MEPC.376(80) </w:t>
      </w:r>
      <w:r w:rsidRPr="00C66C24">
        <w:fldChar w:fldCharType="begin"/>
      </w:r>
      <w:r w:rsidRPr="00C66C24">
        <w:instrText xml:space="preserve"> ADDIN ZOTERO_ITEM CSL_CITATION {"citationID":"6pBQ2QIK","properties":{"formattedCitation":"(IMO, 2023b)","plainCitation":"(IMO, 2023b)","dontUpdate":true,"noteIndex":0},"citationItems":[{"id":51680,"uris":["http://zotero.org/groups/122386/items/S27RD8P8"],"itemData":{"id":51680,"type":"document","language":"EN","publisher":"IMO","title":"Resolution MEPC.376(80)—Guidelines on life cycle GHG intensity of marine fuels (LCA guidelines)","URL":"https://wwwcdn.imo.org/localresources/en/OurWork/Environment/Documents/annex/MEPC%2080/Annex%2014.pdf","author":[{"family":"IMO","given":""}],"accessed":{"date-parts":[["2023",10,10]]},"issued":{"date-parts":[["2023"]]}}}],"schema":"https://github.com/citation-style-language/schema/raw/master/csl-citation.json"} </w:instrText>
      </w:r>
      <w:r w:rsidRPr="00C66C24">
        <w:fldChar w:fldCharType="separate"/>
      </w:r>
      <w:r w:rsidRPr="00C66C24">
        <w:rPr>
          <w:rFonts w:ascii="Calibri" w:hAnsi="Calibri" w:cs="Calibri"/>
        </w:rPr>
        <w:t>(IMO, 2023d)</w:t>
      </w:r>
      <w:r w:rsidRPr="00C66C24">
        <w:fldChar w:fldCharType="end"/>
      </w:r>
      <w:r w:rsidRPr="00C66C24">
        <w:t xml:space="preserve">. Furthermore, interim guidance on the use of biofuels is also in place to certify proven greenhouse gas reductions and removals in accordance with sustainability criteria on a </w:t>
      </w:r>
      <w:proofErr w:type="spellStart"/>
      <w:r w:rsidRPr="00C66C24">
        <w:t>WtW</w:t>
      </w:r>
      <w:proofErr w:type="spellEnd"/>
      <w:r w:rsidRPr="00C66C24">
        <w:t xml:space="preserve"> approach (MEPC.1/Circ.905) pending further development of the LCA </w:t>
      </w:r>
      <w:r w:rsidR="00BA5EA7" w:rsidRPr="00C66C24">
        <w:t>g</w:t>
      </w:r>
      <w:r w:rsidRPr="00C66C24">
        <w:t xml:space="preserve">uidelines to be used in the context of the </w:t>
      </w:r>
      <w:r w:rsidR="00BA5EA7" w:rsidRPr="00C66C24">
        <w:t>Carbon intensity indicator (</w:t>
      </w:r>
      <w:r w:rsidRPr="00C66C24">
        <w:t>CII</w:t>
      </w:r>
      <w:r w:rsidR="00BA5EA7" w:rsidRPr="00C66C24">
        <w:t>)</w:t>
      </w:r>
      <w:r w:rsidRPr="00C66C24">
        <w:t xml:space="preserve"> and </w:t>
      </w:r>
      <w:r w:rsidR="0095666A" w:rsidRPr="00C66C24">
        <w:t>Data Collection System (</w:t>
      </w:r>
      <w:r w:rsidRPr="00C66C24">
        <w:t>DCS</w:t>
      </w:r>
      <w:r w:rsidR="0095666A" w:rsidRPr="00C66C24">
        <w:t>)</w:t>
      </w:r>
      <w:r w:rsidRPr="00C66C24">
        <w:t xml:space="preserve"> regulations.</w:t>
      </w:r>
    </w:p>
    <w:p w14:paraId="35DAAD5B" w14:textId="72AAF2B6" w:rsidR="0066097B" w:rsidRPr="00C66C24" w:rsidRDefault="0066097B" w:rsidP="0066097B">
      <w:pPr>
        <w:spacing w:before="0" w:after="0" w:line="259" w:lineRule="auto"/>
      </w:pPr>
      <w:r w:rsidRPr="00C66C24">
        <w:t>Instruments already in place at the international level include: i) the ship energy efficiency rating scheme based on the CII and the Energy Efficiency Existing Ship Index (EEXI), which entered into force on the 1</w:t>
      </w:r>
      <w:r w:rsidRPr="00C66C24">
        <w:rPr>
          <w:vertAlign w:val="superscript"/>
        </w:rPr>
        <w:t>st</w:t>
      </w:r>
      <w:r w:rsidRPr="00C66C24">
        <w:t xml:space="preserve"> of January 2023 under resolution MEPC.328(76); ii) the requirements for collection of fuel oil consumption data through the IMO DCS and the development of a ship-specific Ship Energy Efficiency Management Plan (SEEMP) and; iii) the design parameters for ships through the Energy Efficiency Design Index (EEDI). </w:t>
      </w:r>
      <w:r w:rsidRPr="00C66C24">
        <w:rPr>
          <w:rStyle w:val="ui-provider"/>
        </w:rPr>
        <w:t xml:space="preserve">The CII, EEXI and EEDI measures will be further aligned with the revised Strategy to achieve the necessary downward reductions of GHGs. </w:t>
      </w:r>
    </w:p>
    <w:p w14:paraId="21393F6C" w14:textId="5BFEB2C1" w:rsidR="0066097B" w:rsidRPr="00C66C24" w:rsidRDefault="0066097B" w:rsidP="0066097B">
      <w:pPr>
        <w:spacing w:before="0" w:after="0" w:line="259" w:lineRule="auto"/>
      </w:pPr>
      <w:r w:rsidRPr="00C66C24">
        <w:t xml:space="preserve">Moreover, the Kigali Amendment to the Montreal Protocol on Substances that Deplete the Ozone Layer </w:t>
      </w:r>
      <w:r w:rsidR="0095666A" w:rsidRPr="00C66C24">
        <w:t xml:space="preserve">(ODS) </w:t>
      </w:r>
      <w:r w:rsidRPr="00C66C24">
        <w:t>will reduce the amount of hydrofluorocarbons that can be produced and consumed in the world.</w:t>
      </w:r>
      <w:r w:rsidR="00931C72" w:rsidRPr="00C66C24">
        <w:t xml:space="preserve"> As some of these fluorinated greenhouse gases are often used in air-conditioning and refrigeration systems on board ships, this instrument will therefore also impact on this sector. </w:t>
      </w:r>
      <w:r w:rsidR="00931C72" w:rsidRPr="00C66C24">
        <w:br/>
      </w:r>
    </w:p>
    <w:p w14:paraId="7D8CCDBA" w14:textId="77777777" w:rsidR="000B0AE4" w:rsidRPr="00C66C24" w:rsidRDefault="000B0AE4" w:rsidP="0066097B">
      <w:pPr>
        <w:spacing w:before="0" w:after="0" w:line="259" w:lineRule="auto"/>
        <w:rPr>
          <w:u w:val="single"/>
        </w:rPr>
      </w:pPr>
    </w:p>
    <w:p w14:paraId="2C42D107" w14:textId="42060F7C" w:rsidR="0066097B" w:rsidRPr="00C66C24" w:rsidRDefault="0066097B" w:rsidP="0066097B">
      <w:pPr>
        <w:spacing w:before="0" w:after="0" w:line="259" w:lineRule="auto"/>
        <w:rPr>
          <w:u w:val="single"/>
        </w:rPr>
      </w:pPr>
      <w:r w:rsidRPr="00C66C24">
        <w:rPr>
          <w:u w:val="single"/>
        </w:rPr>
        <w:t>European Union Framework</w:t>
      </w:r>
    </w:p>
    <w:p w14:paraId="1A59B543" w14:textId="73633817" w:rsidR="0066097B" w:rsidRPr="00C66C24" w:rsidRDefault="0066097B" w:rsidP="0066097B">
      <w:pPr>
        <w:spacing w:before="0" w:after="0" w:line="259" w:lineRule="auto"/>
      </w:pPr>
      <w:r w:rsidRPr="00C66C24">
        <w:t>The Commission Communication, a non-binding instrument</w:t>
      </w:r>
      <w:r w:rsidR="0080156B" w:rsidRPr="00C66C24">
        <w:t>,</w:t>
      </w:r>
      <w:r w:rsidRPr="00C66C24">
        <w:t xml:space="preserve"> on European Green Deal references the maritime sector in a push to ‘Accelerating the shift to sustainable and smart mobility’.</w:t>
      </w:r>
      <w:r w:rsidRPr="00C66C24" w:rsidDel="2A39348B">
        <w:t xml:space="preserve"> </w:t>
      </w:r>
      <w:r w:rsidRPr="00C66C24">
        <w:t>Overall,</w:t>
      </w:r>
      <w:r w:rsidRPr="00C66C24" w:rsidDel="2A39348B">
        <w:t xml:space="preserve"> </w:t>
      </w:r>
      <w:r w:rsidRPr="00C66C24">
        <w:t>CO</w:t>
      </w:r>
      <w:r w:rsidRPr="00C66C24">
        <w:rPr>
          <w:vertAlign w:val="subscript"/>
        </w:rPr>
        <w:t>2</w:t>
      </w:r>
      <w:r w:rsidRPr="00C66C24">
        <w:t xml:space="preserve"> emissions from waterborne transport represent 3-4% of total EU CO</w:t>
      </w:r>
      <w:r w:rsidRPr="00C66C24">
        <w:rPr>
          <w:vertAlign w:val="subscript"/>
        </w:rPr>
        <w:t>2</w:t>
      </w:r>
      <w:r w:rsidRPr="00C66C24">
        <w:t xml:space="preserve"> emissions in 2020 </w:t>
      </w:r>
      <w:r w:rsidRPr="00C66C24">
        <w:fldChar w:fldCharType="begin"/>
      </w:r>
      <w:r w:rsidRPr="00C66C24">
        <w:instrText xml:space="preserve"> ADDIN ZOTERO_ITEM CSL_CITATION {"citationID":"Sne9uOCl","properties":{"formattedCitation":"(EC, 2021a)","plainCitation":"(EC, 2021a)","noteIndex":0},"citationItems":[{"id":52200,"uris":["http://zotero.org/groups/122386/items/KV7XIWPA"],"itemData":{"id":52200,"type":"report","event-place":"Brussels","number":"C.(2021) 6022 final","publisher-place":"Brussels","title":"2020 Annual Report on CO2 Emissions from Maritime Transport","URL":"https://climate.ec.europa.eu/system/files/2021-08/c_2021_6022_en.pdf","author":[{"family":"EC","given":""}],"accessed":{"date-parts":[["2023",10,23]]},"issued":{"date-parts":[["2021"]]}}}],"schema":"https://github.com/citation-style-language/schema/raw/master/csl-citation.json"} </w:instrText>
      </w:r>
      <w:r w:rsidRPr="00C66C24">
        <w:fldChar w:fldCharType="separate"/>
      </w:r>
      <w:r w:rsidRPr="00C66C24">
        <w:rPr>
          <w:rFonts w:ascii="Calibri" w:hAnsi="Calibri" w:cs="Calibri"/>
        </w:rPr>
        <w:t>(EC, 2021a)</w:t>
      </w:r>
      <w:r w:rsidRPr="00C66C24">
        <w:fldChar w:fldCharType="end"/>
      </w:r>
      <w:r w:rsidRPr="00C66C24">
        <w:t xml:space="preserve"> and demand for waterborne transport services is expected to grow further in the future </w:t>
      </w:r>
      <w:r w:rsidRPr="00C66C24">
        <w:fldChar w:fldCharType="begin"/>
      </w:r>
      <w:r w:rsidRPr="00C66C24">
        <w:instrText xml:space="preserve"> ADDIN ZOTERO_ITEM CSL_CITATION {"citationID":"DoZU7BNQ","properties":{"formattedCitation":"(EC, 2021h)","plainCitation":"(EC, 2021h)","dontUpdate":true,"noteIndex":0},"citationItems":[{"id":31093,"uris":["http://zotero.org/groups/122386/items/H62EDA8V"],"itemData":{"id":31093,"type":"webpage","abstract":"The scenarios show the EU pathway towards the target of a 55% reduction of greenhouse gas emissions by 2030.","language":"en","title":"Policy scenarios for delivering the European Green Deal","URL":"https://energy.ec.europa.eu/data-and-analysis/energy-modelling/policy-scenarios-delivering-european-green-deal_en","author":[{"literal":"EC"}],"accessed":{"date-parts":[["2022",2,21]]},"issued":{"date-parts":[["2021"]]}}}],"schema":"https://github.com/citation-style-language/schema/raw/master/csl-citation.json"} </w:instrText>
      </w:r>
      <w:r w:rsidRPr="00C66C24">
        <w:fldChar w:fldCharType="separate"/>
      </w:r>
      <w:r w:rsidRPr="00C66C24">
        <w:rPr>
          <w:rFonts w:ascii="Calibri" w:hAnsi="Calibri" w:cs="Calibri"/>
        </w:rPr>
        <w:t>(EC, 2021</w:t>
      </w:r>
      <w:r w:rsidR="005746A0">
        <w:rPr>
          <w:rFonts w:ascii="Calibri" w:hAnsi="Calibri" w:cs="Calibri"/>
        </w:rPr>
        <w:t>h</w:t>
      </w:r>
      <w:r w:rsidRPr="00C66C24">
        <w:rPr>
          <w:rFonts w:ascii="Calibri" w:hAnsi="Calibri" w:cs="Calibri"/>
        </w:rPr>
        <w:t>)</w:t>
      </w:r>
      <w:r w:rsidRPr="00C66C24">
        <w:fldChar w:fldCharType="end"/>
      </w:r>
      <w:r w:rsidRPr="00C66C24">
        <w:t>.</w:t>
      </w:r>
    </w:p>
    <w:p w14:paraId="7E8B9C42" w14:textId="0C2AF300" w:rsidR="0066097B" w:rsidRPr="00C66C24" w:rsidRDefault="0066097B" w:rsidP="0066097B">
      <w:pPr>
        <w:spacing w:before="0" w:after="0" w:line="259" w:lineRule="auto"/>
      </w:pPr>
      <w:r w:rsidRPr="00C66C24">
        <w:t xml:space="preserve">The ‘Fit for 55’ package </w:t>
      </w:r>
      <w:r w:rsidRPr="00C66C24">
        <w:fldChar w:fldCharType="begin"/>
      </w:r>
      <w:r w:rsidRPr="00C66C24">
        <w:instrText xml:space="preserve"> ADDIN ZOTERO_ITEM CSL_CITATION {"citationID":"5IWqSRP1","properties":{"formattedCitation":"(EC, 2021g)","plainCitation":"(EC, 2021g)","dontUpdate":true,"noteIndex":0},"citationItems":[{"id":32689,"uris":["http://zotero.org/groups/122386/items/PWYEKITE"],"itemData":{"id":32689,"type":"webpage","title":"Fit for 55: delivering the EU's 2030 Climate Target on the way to climate neutrality","URL":"https://eur-lex.europa.eu/legal-content/EN/TXT/HTML/?uri=CELEX:52021DC0550&amp;from=EN","author":[{"family":"EC","given":""}],"accessed":{"date-parts":[["2023",1,26]]},"issued":{"date-parts":[["2021"]]}}}],"schema":"https://github.com/citation-style-language/schema/raw/master/csl-citation.json"} </w:instrText>
      </w:r>
      <w:r w:rsidRPr="00C66C24">
        <w:fldChar w:fldCharType="separate"/>
      </w:r>
      <w:r w:rsidRPr="00C66C24">
        <w:rPr>
          <w:rFonts w:ascii="Calibri" w:hAnsi="Calibri" w:cs="Calibri"/>
        </w:rPr>
        <w:t>(EC, 2021</w:t>
      </w:r>
      <w:r w:rsidR="00BA3848">
        <w:rPr>
          <w:rFonts w:ascii="Calibri" w:hAnsi="Calibri" w:cs="Calibri"/>
        </w:rPr>
        <w:t>c</w:t>
      </w:r>
      <w:r w:rsidRPr="00C66C24">
        <w:rPr>
          <w:rFonts w:ascii="Calibri" w:hAnsi="Calibri" w:cs="Calibri"/>
        </w:rPr>
        <w:t>)</w:t>
      </w:r>
      <w:r w:rsidRPr="00C66C24">
        <w:fldChar w:fldCharType="end"/>
      </w:r>
      <w:r w:rsidRPr="00C66C24">
        <w:t xml:space="preserve"> sets out the EU target of reducing net greenhouse gas emissions by at least 55% by 2030 and proposes a comprehensive set of policy measures to drive the decarbonisation of the sector. </w:t>
      </w:r>
      <w:r w:rsidR="006311B2" w:rsidRPr="00C66C24">
        <w:t>This policy framework covers</w:t>
      </w:r>
      <w:r w:rsidRPr="00C66C24">
        <w:t xml:space="preserve"> a) the revision of the EU Emission Trading System (EU ETS) and its extension to the maritime sector </w:t>
      </w:r>
      <w:r w:rsidRPr="00C66C24">
        <w:fldChar w:fldCharType="begin"/>
      </w:r>
      <w:r w:rsidRPr="00C66C24">
        <w:instrText xml:space="preserve"> ADDIN ZOTERO_ITEM CSL_CITATION {"citationID":"HE89aJTl","properties":{"formattedCitation":"(EC, 2020b)","plainCitation":"(EC, 2020b)","dontUpdate":true,"noteIndex":0},"citationItems":[{"id":25002,"uris":["http://zotero.org/groups/122386/items/USFBA6PW"],"itemData":{"id":25002,"type":"webpage","note":"00000","title":"EU Emissions Trading System (EU ETS)","URL":"https://ec.europa.eu/clima/policies/ets_en","author":[{"literal":"EC"}],"accessed":{"date-parts":[["2020",12,14]]},"issued":{"date-parts":[["2020"]]}}}],"schema":"https://github.com/citation-style-language/schema/raw/master/csl-citation.json"} </w:instrText>
      </w:r>
      <w:r w:rsidRPr="00C66C24">
        <w:fldChar w:fldCharType="separate"/>
      </w:r>
      <w:r w:rsidRPr="00C66C24">
        <w:rPr>
          <w:rFonts w:ascii="Calibri" w:hAnsi="Calibri" w:cs="Calibri"/>
        </w:rPr>
        <w:t>(EC, 2020</w:t>
      </w:r>
      <w:r w:rsidR="006C34B9">
        <w:rPr>
          <w:rFonts w:ascii="Calibri" w:hAnsi="Calibri" w:cs="Calibri"/>
        </w:rPr>
        <w:t>d</w:t>
      </w:r>
      <w:r w:rsidRPr="00C66C24">
        <w:rPr>
          <w:rFonts w:ascii="Calibri" w:hAnsi="Calibri" w:cs="Calibri"/>
        </w:rPr>
        <w:t>)</w:t>
      </w:r>
      <w:r w:rsidRPr="00C66C24">
        <w:fldChar w:fldCharType="end"/>
      </w:r>
      <w:r w:rsidRPr="00C66C24">
        <w:t xml:space="preserve">; b) a new </w:t>
      </w:r>
      <w:proofErr w:type="spellStart"/>
      <w:r w:rsidRPr="00C66C24">
        <w:t>FuelEU</w:t>
      </w:r>
      <w:proofErr w:type="spellEnd"/>
      <w:r w:rsidRPr="00C66C24">
        <w:t xml:space="preserve"> Maritime Regulation </w:t>
      </w:r>
      <w:r w:rsidR="006311B2" w:rsidRPr="00C66C24">
        <w:fldChar w:fldCharType="begin"/>
      </w:r>
      <w:r w:rsidR="001855E3" w:rsidRPr="00C66C24">
        <w:instrText xml:space="preserve"> ADDIN ZOTERO_ITEM CSL_CITATION {"citationID":"se8whUoI","properties":{"formattedCitation":"(EU, 2023c)","plainCitation":"(EU, 2023c)","noteIndex":0},"citationItems":[{"id":59163,"uris":["http://zotero.org/groups/122386/items/JBVN29UV"],"itemData":{"id":59163,"type":"document","publisher":"European Parliament and Council","title":"Regulation (EU) 2023/1805 of the European Parliament and of the Council of 13 September 2023 on the use of renewable and low-carbon fuels in maritime transport, and amending Directive 2009/16/EC (Text with EEA relevance)","title-short":"FuelEU Maritime","URL":"https://eur-lex.europa.eu/legal-content/EN/TXT/?uri=CELEX%3A32023R1805","author":[{"literal":"EU"}],"issued":{"date-parts":[["2023"]]}}}],"schema":"https://github.com/citation-style-language/schema/raw/master/csl-citation.json"} </w:instrText>
      </w:r>
      <w:r w:rsidR="006311B2" w:rsidRPr="00C66C24">
        <w:fldChar w:fldCharType="separate"/>
      </w:r>
      <w:r w:rsidR="001855E3" w:rsidRPr="00C66C24">
        <w:rPr>
          <w:rFonts w:ascii="Calibri" w:hAnsi="Calibri" w:cs="Calibri"/>
        </w:rPr>
        <w:t xml:space="preserve">(EU, </w:t>
      </w:r>
      <w:r w:rsidR="2335E190" w:rsidRPr="75A59D65">
        <w:rPr>
          <w:rFonts w:ascii="Calibri" w:hAnsi="Calibri" w:cs="Calibri"/>
        </w:rPr>
        <w:t>2023b</w:t>
      </w:r>
      <w:r w:rsidR="001855E3" w:rsidRPr="00C66C24">
        <w:rPr>
          <w:rFonts w:ascii="Calibri" w:hAnsi="Calibri" w:cs="Calibri"/>
        </w:rPr>
        <w:t>)</w:t>
      </w:r>
      <w:r w:rsidR="006311B2" w:rsidRPr="00C66C24">
        <w:fldChar w:fldCharType="end"/>
      </w:r>
      <w:r w:rsidRPr="00C66C24">
        <w:t xml:space="preserve"> that requires ships to reduce the greenhouse gas intensity of fuels used and use onshore power while at berth; c) the revision of the Alternative Fuel Infrastructure Directive (AFID) </w:t>
      </w:r>
      <w:r w:rsidRPr="00C66C24">
        <w:fldChar w:fldCharType="begin"/>
      </w:r>
      <w:r w:rsidRPr="00C66C24">
        <w:instrText xml:space="preserve"> ADDIN ZOTERO_ITEM CSL_CITATION {"citationID":"LRikZhB1","properties":{"formattedCitation":"(EC, 2014)","plainCitation":"(EC, 2014)","dontUpdate":true,"noteIndex":0},"citationItems":[{"id":51947,"uris":["http://zotero.org/groups/122386/items/XS373H3U"],"itemData":{"id":51947,"type":"document","publisher":"European Commision","title":"Directive 2014/94/EU of the European Parliament and of the Council of 22 October 2014 on the deployment of alternative fuels infrastructure","title-short":"Alternative Fuel Infrastructure Directive","URL":"https://eur-lex.europa.eu/legal-content/EN/TXT/?uri=celex%3A32014L0094","author":[{"literal":"EU"}],"issued":{"date-parts":[["2014"]]}}}],"schema":"https://github.com/citation-style-language/schema/raw/master/csl-citation.json"} </w:instrText>
      </w:r>
      <w:r w:rsidRPr="00C66C24">
        <w:fldChar w:fldCharType="separate"/>
      </w:r>
      <w:r w:rsidRPr="00C66C24">
        <w:rPr>
          <w:rFonts w:ascii="Calibri" w:hAnsi="Calibri" w:cs="Calibri"/>
        </w:rPr>
        <w:t xml:space="preserve">(EU, </w:t>
      </w:r>
      <w:r w:rsidR="3488877F" w:rsidRPr="75A59D65">
        <w:rPr>
          <w:rFonts w:ascii="Calibri" w:hAnsi="Calibri" w:cs="Calibri"/>
        </w:rPr>
        <w:t>2023d</w:t>
      </w:r>
      <w:r w:rsidRPr="00C66C24">
        <w:rPr>
          <w:rFonts w:ascii="Calibri" w:hAnsi="Calibri" w:cs="Calibri"/>
        </w:rPr>
        <w:t>)</w:t>
      </w:r>
      <w:r w:rsidRPr="00C66C24">
        <w:fldChar w:fldCharType="end"/>
      </w:r>
      <w:r w:rsidRPr="00C66C24">
        <w:t xml:space="preserve"> into a new Regulation with</w:t>
      </w:r>
      <w:r w:rsidR="00BD15B8" w:rsidRPr="00C66C24">
        <w:t xml:space="preserve"> more ambitious</w:t>
      </w:r>
      <w:r w:rsidRPr="00C66C24">
        <w:t xml:space="preserve"> targets </w:t>
      </w:r>
      <w:r w:rsidR="006311B2" w:rsidRPr="00C66C24">
        <w:t>on the capacity of</w:t>
      </w:r>
      <w:r w:rsidRPr="00C66C24">
        <w:t xml:space="preserve"> ports </w:t>
      </w:r>
      <w:r w:rsidR="006311B2" w:rsidRPr="00C66C24">
        <w:t xml:space="preserve">to expand </w:t>
      </w:r>
      <w:r w:rsidRPr="00C66C24">
        <w:t xml:space="preserve">and </w:t>
      </w:r>
      <w:r w:rsidR="006311B2" w:rsidRPr="00C66C24">
        <w:t>to offer shore-side electricity requirements</w:t>
      </w:r>
      <w:r w:rsidRPr="00C66C24">
        <w:t xml:space="preserve"> and </w:t>
      </w:r>
      <w:r w:rsidR="006311B2" w:rsidRPr="00C66C24">
        <w:t>refuelling points</w:t>
      </w:r>
      <w:r w:rsidRPr="00C66C24">
        <w:t xml:space="preserve">; d) the revision of the Renewable Energy Directive (RED) </w:t>
      </w:r>
      <w:r w:rsidRPr="00C66C24">
        <w:fldChar w:fldCharType="begin"/>
      </w:r>
      <w:r w:rsidRPr="00C66C24">
        <w:instrText xml:space="preserve"> ADDIN ZOTERO_ITEM CSL_CITATION {"citationID":"a1eia8tb2if","properties":{"formattedCitation":"(EC, 2021e)","plainCitation":"(EC, 2021e)","dontUpdate":true,"noteIndex":0},"citationItems":[{"id":31465,"uris":["http://zotero.org/groups/122386/items/ZFCJ25KZ"],"itemData":{"id":31465,"type":"document","language":"en","title":"Proposal for a Directive of the European Parliament and of the Council amending Directive (EU) 2018/2001 of the European Parliament and of the Council, Regulation (EU) 2018/1999 of the European Parliament and of the Council and Directive 98/70/EC of the European Parliament and of the Council as regards the promotion of energy from renewable sources, and repealing Council Directive (EU) 2015/652","URL":"https://eur-lex.europa.eu/legal-content/EN/TXT/?uri=CELEX:52021PC0557","author":[{"family":"EC","given":""}],"accessed":{"date-parts":[["2022",11,25]]},"issued":{"date-parts":[["2021"]]}}}],"schema":"https://github.com/citation-style-language/schema/raw/master/csl-citation.json"} </w:instrText>
      </w:r>
      <w:r w:rsidRPr="00C66C24">
        <w:fldChar w:fldCharType="separate"/>
      </w:r>
      <w:r w:rsidRPr="00C66C24">
        <w:rPr>
          <w:rFonts w:ascii="Calibri" w:hAnsi="Calibri" w:cs="Calibri"/>
        </w:rPr>
        <w:t>(EC, 2021</w:t>
      </w:r>
      <w:r w:rsidR="00BA3848">
        <w:rPr>
          <w:rFonts w:ascii="Calibri" w:hAnsi="Calibri" w:cs="Calibri"/>
        </w:rPr>
        <w:t>i</w:t>
      </w:r>
      <w:r w:rsidRPr="00C66C24">
        <w:rPr>
          <w:rFonts w:ascii="Calibri" w:hAnsi="Calibri" w:cs="Calibri"/>
        </w:rPr>
        <w:t>)</w:t>
      </w:r>
      <w:r w:rsidRPr="00C66C24">
        <w:fldChar w:fldCharType="end"/>
      </w:r>
      <w:r w:rsidRPr="00C66C24">
        <w:t xml:space="preserve"> with strengthened sustainability criteria for the use of bioenergy</w:t>
      </w:r>
      <w:r w:rsidRPr="00C66C24">
        <w:fldChar w:fldCharType="begin"/>
      </w:r>
      <w:r w:rsidRPr="00C66C24">
        <w:instrText xml:space="preserve"> ADDIN ZOTERO_ITEM CSL_CITATION {"citationID":"b1gPLinS","properties":{"formattedCitation":"(EC, 2021d)","plainCitation":"(EC, 2021d)","dontUpdate":true,"noteIndex":0},"citationItems":[{"id":32614,"uris":["http://zotero.org/groups/122386/items/IB3FK634"],"itemData":{"id":32614,"type":"webpage","abstract":"The European Commission published today a proposal to revise the Renewable Energy Directive.","language":"en","title":"Commission presents Renewable Energy Directive revision","URL":"https://commission.europa.eu/news/commission-presents-renewable-energy-directive-revision-2021-07-14_en","author":[{"literal":"EC"}],"accessed":{"date-parts":[["2023",1,26]]},"issued":{"date-parts":[["2021"]]}}}],"schema":"https://github.com/citation-style-language/schema/raw/master/csl-citation.json"} </w:instrText>
      </w:r>
      <w:r w:rsidR="00D77731" w:rsidRPr="00C66C24">
        <w:fldChar w:fldCharType="separate"/>
      </w:r>
      <w:r w:rsidRPr="00C66C24">
        <w:fldChar w:fldCharType="end"/>
      </w:r>
      <w:r w:rsidRPr="00C66C24">
        <w:fldChar w:fldCharType="begin"/>
      </w:r>
      <w:r w:rsidRPr="00C66C24">
        <w:instrText xml:space="preserve"> ADDIN ZOTERO_ITEM CSL_CITATION {"citationID":"q48c0Zj5","properties":{"formattedCitation":"(EC, 2021d)","plainCitation":"(EC, 2021d)","dontUpdate":true,"noteIndex":0},"citationItems":[{"id":32614,"uris":["http://zotero.org/groups/122386/items/IB3FK634"],"itemData":{"id":32614,"type":"webpage","abstract":"The European Commission published today a proposal to revise the Renewable Energy Directive.","language":"en","title":"Commission presents Renewable Energy Directive revision","URL":"https://commission.europa.eu/news/commission-presents-renewable-energy-directive-revision-2021-07-14_en","author":[{"literal":"EC"}],"accessed":{"date-parts":[["2023",1,26]]},"issued":{"date-parts":[["2021"]]}}}],"schema":"https://github.com/citation-style-language/schema/raw/master/csl-citation.json"} </w:instrText>
      </w:r>
      <w:r w:rsidR="00D77731" w:rsidRPr="00C66C24">
        <w:fldChar w:fldCharType="separate"/>
      </w:r>
      <w:r w:rsidRPr="00C66C24">
        <w:fldChar w:fldCharType="end"/>
      </w:r>
      <w:r w:rsidRPr="00C66C24">
        <w:t xml:space="preserve">; and e) the revision of the Energy Taxation Directive (ETD) </w:t>
      </w:r>
      <w:r w:rsidRPr="00C66C24">
        <w:fldChar w:fldCharType="begin"/>
      </w:r>
      <w:r w:rsidRPr="00C66C24">
        <w:instrText xml:space="preserve"> ADDIN ZOTERO_ITEM CSL_CITATION {"citationID":"J784CR3u","properties":{"formattedCitation":"(EP Think Tank, 2021)","plainCitation":"(EP Think Tank, 2021)","dontUpdate":true,"noteIndex":0},"citationItems":[{"id":51697,"uris":["http://zotero.org/groups/122386/items/8AHMXMWI"],"itemData":{"id":51697,"type":"report","abstract":"Review of the Energy Taxation Directive","publisher":"European Parliament Think Tank","title":"Review of the Energy Taxation Directive","URL":"https://www.europarl.europa.eu/thinktank/en/document/EPRS_BRI(2021)662636","author":[{"family":"EP","given":""}],"accessed":{"date-parts":[["2023",10,6]]},"issued":{"date-parts":[["2021",5,18]]}}}],"schema":"https://github.com/citation-style-language/schema/raw/master/csl-citation.json"} </w:instrText>
      </w:r>
      <w:r w:rsidRPr="00C66C24">
        <w:fldChar w:fldCharType="separate"/>
      </w:r>
      <w:r w:rsidRPr="00C66C24">
        <w:rPr>
          <w:rFonts w:ascii="Calibri" w:hAnsi="Calibri" w:cs="Calibri"/>
        </w:rPr>
        <w:t>(EP, 2021)</w:t>
      </w:r>
      <w:r w:rsidRPr="00C66C24">
        <w:fldChar w:fldCharType="end"/>
      </w:r>
      <w:r w:rsidRPr="00C66C24">
        <w:t xml:space="preserve"> proposing taxation of marine fuels. It is worth mentioning that the above-mentioned measures are strongly interconnected and interact with each other.</w:t>
      </w:r>
    </w:p>
    <w:p w14:paraId="4CF696C6" w14:textId="5F62FE7F" w:rsidR="0066097B" w:rsidRPr="00C66C24" w:rsidRDefault="0066097B" w:rsidP="0066097B">
      <w:pPr>
        <w:spacing w:before="0" w:after="0" w:line="259" w:lineRule="auto"/>
      </w:pPr>
      <w:r w:rsidRPr="00C66C24">
        <w:t xml:space="preserve">It is expected that these measures will facilitate the uptake of cleaner fuels across the value chain of production, distribution, and supply, by creating the necessary demand for low or zero greenhouse gas fuels. The revised EU Regulation on Fluorinated Greenhouse Gases, approved in 2024 updating Regulation (EU) No 517/2014 </w:t>
      </w:r>
      <w:r w:rsidRPr="00C66C24">
        <w:rPr>
          <w:rFonts w:ascii="Calibri" w:eastAsia="Calibri" w:hAnsi="Calibri" w:cs="Calibri"/>
          <w:color w:val="000000" w:themeColor="text1"/>
        </w:rPr>
        <w:t xml:space="preserve">aims to reverse EU emissions from these human-made chemicals with </w:t>
      </w:r>
      <w:proofErr w:type="gramStart"/>
      <w:r w:rsidRPr="00C66C24">
        <w:rPr>
          <w:rFonts w:ascii="Calibri" w:eastAsia="Calibri" w:hAnsi="Calibri" w:cs="Calibri"/>
          <w:color w:val="000000" w:themeColor="text1"/>
        </w:rPr>
        <w:t>a</w:t>
      </w:r>
      <w:r w:rsidR="006138BB" w:rsidRPr="00C66C24">
        <w:rPr>
          <w:rFonts w:ascii="Calibri" w:eastAsia="Calibri" w:hAnsi="Calibri" w:cs="Calibri"/>
          <w:color w:val="000000" w:themeColor="text1"/>
        </w:rPr>
        <w:t>n</w:t>
      </w:r>
      <w:proofErr w:type="gramEnd"/>
      <w:r w:rsidRPr="00C66C24">
        <w:rPr>
          <w:rFonts w:ascii="Calibri" w:eastAsia="Calibri" w:hAnsi="Calibri" w:cs="Calibri"/>
          <w:color w:val="000000" w:themeColor="text1"/>
        </w:rPr>
        <w:t xml:space="preserve"> </w:t>
      </w:r>
      <w:r w:rsidR="006138BB" w:rsidRPr="00C66C24">
        <w:rPr>
          <w:rFonts w:ascii="Calibri" w:eastAsia="Calibri" w:hAnsi="Calibri" w:cs="Calibri"/>
          <w:color w:val="000000" w:themeColor="text1"/>
        </w:rPr>
        <w:t>high</w:t>
      </w:r>
      <w:r w:rsidRPr="00C66C24">
        <w:rPr>
          <w:rFonts w:ascii="Calibri" w:eastAsia="Calibri" w:hAnsi="Calibri" w:cs="Calibri"/>
          <w:color w:val="000000" w:themeColor="text1"/>
        </w:rPr>
        <w:t xml:space="preserve"> greenhouse gas potential and implement the EU’s binding commitments to the Kigali Amendment of the Montreal Protocol.</w:t>
      </w:r>
      <w:r w:rsidRPr="00C66C24">
        <w:t xml:space="preserve"> It also provides for more ambitious requirements on the use and emission control of these gases</w:t>
      </w:r>
      <w:r w:rsidR="00695DE5" w:rsidRPr="00C66C24">
        <w:t xml:space="preserve"> by </w:t>
      </w:r>
      <w:r w:rsidRPr="00C66C24">
        <w:t xml:space="preserve">phasing out the placing on the market of hydrofluorocarbons by 2050 in the EU, while emissions of fluorinated gases must be prevented to the extent possible. In addition, the above regulatory measures, Horizon Europe and the Innovation Fund will continue supporting research and innovation towards the decarbonisation of the maritime transport sector. </w:t>
      </w:r>
    </w:p>
    <w:p w14:paraId="2B02FB14" w14:textId="77777777" w:rsidR="0066097B" w:rsidRPr="00C66C24" w:rsidRDefault="0066097B" w:rsidP="0066097B">
      <w:pPr>
        <w:spacing w:before="0" w:after="0" w:line="259" w:lineRule="auto"/>
      </w:pPr>
    </w:p>
    <w:p w14:paraId="2C66FD3E" w14:textId="7880B8FD" w:rsidR="0066097B" w:rsidRPr="00C66C24" w:rsidRDefault="0066097B" w:rsidP="0066097B">
      <w:pPr>
        <w:spacing w:before="0" w:after="0" w:line="259" w:lineRule="auto"/>
        <w:rPr>
          <w:i/>
          <w:iCs w:val="0"/>
        </w:rPr>
      </w:pPr>
      <w:r w:rsidRPr="00C66C24">
        <w:rPr>
          <w:i/>
          <w:iCs w:val="0"/>
        </w:rPr>
        <w:t xml:space="preserve">Carbon Dioxide, Methane, and Nitrous Oxide </w:t>
      </w:r>
    </w:p>
    <w:p w14:paraId="1770A460" w14:textId="5E3DF2FD"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The monitoring, reporting and verification</w:t>
      </w:r>
      <w:r w:rsidR="006A3F12" w:rsidRPr="00C66C24">
        <w:rPr>
          <w:rFonts w:ascii="Calibri" w:eastAsia="Calibri" w:hAnsi="Calibri" w:cs="Calibri"/>
          <w:color w:val="000000" w:themeColor="text1"/>
        </w:rPr>
        <w:t xml:space="preserve"> regulation</w:t>
      </w:r>
      <w:r w:rsidRPr="00C66C24">
        <w:rPr>
          <w:rFonts w:ascii="Calibri" w:eastAsia="Calibri" w:hAnsi="Calibri" w:cs="Calibri"/>
          <w:color w:val="000000" w:themeColor="text1"/>
        </w:rPr>
        <w:t xml:space="preserve"> (Regulation (EU) 2015/757, MRV Regulation) introduced, as of 1</w:t>
      </w:r>
      <w:r w:rsidRPr="00C66C24">
        <w:rPr>
          <w:rFonts w:ascii="Calibri" w:eastAsia="Calibri" w:hAnsi="Calibri" w:cs="Calibri"/>
          <w:color w:val="000000" w:themeColor="text1"/>
          <w:vertAlign w:val="superscript"/>
        </w:rPr>
        <w:t>st</w:t>
      </w:r>
      <w:r w:rsidRPr="00C66C24">
        <w:rPr>
          <w:rFonts w:ascii="Calibri" w:eastAsia="Calibri" w:hAnsi="Calibri" w:cs="Calibri"/>
          <w:color w:val="000000" w:themeColor="text1"/>
        </w:rPr>
        <w:t xml:space="preserve"> January 2018,</w:t>
      </w:r>
      <w:r w:rsidR="00D33BD3" w:rsidRPr="00C66C24">
        <w:rPr>
          <w:rFonts w:ascii="Calibri" w:eastAsia="Calibri" w:hAnsi="Calibri" w:cs="Calibri"/>
          <w:color w:val="000000" w:themeColor="text1"/>
        </w:rPr>
        <w:t xml:space="preserve"> is</w:t>
      </w:r>
      <w:r w:rsidRPr="00C66C24">
        <w:rPr>
          <w:rFonts w:ascii="Calibri" w:eastAsia="Calibri" w:hAnsi="Calibri" w:cs="Calibri"/>
          <w:color w:val="000000" w:themeColor="text1"/>
        </w:rPr>
        <w:t xml:space="preserve"> a common system for the monitoring, reporting and verification of CO</w:t>
      </w:r>
      <w:r w:rsidRPr="00C66C24">
        <w:rPr>
          <w:rFonts w:ascii="Calibri" w:eastAsia="Calibri" w:hAnsi="Calibri" w:cs="Calibri"/>
          <w:color w:val="000000" w:themeColor="text1"/>
          <w:vertAlign w:val="subscript"/>
        </w:rPr>
        <w:t xml:space="preserve">2 </w:t>
      </w:r>
      <w:r w:rsidRPr="00C66C24">
        <w:rPr>
          <w:rFonts w:ascii="Calibri" w:eastAsia="Calibri" w:hAnsi="Calibri" w:cs="Calibri"/>
          <w:color w:val="000000" w:themeColor="text1"/>
        </w:rPr>
        <w:t xml:space="preserve">emissions from shipping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{"citationID":"t3GlG0mL","properties":{"formattedCitation":"(EU, 2023a)","plainCitation":"(EU, 2023a)","dontUpdate":true,"noteIndex":0},"citationItems":[{"id":33458,"uris":["http://zotero.org/groups/122386/items/RBRP86XP"],"itemData":{"id":33458,"type":"document","title":"Regulation (EU) 2023/957 of the European Parliament and of the Council of 10 May 2023 amending Regulation (EU) 2015/757 in order to provide for the inclusion of maritime transport activities in the EU Emissions Trading System and for the monitoring, reporting and verification of emissions of additional greenhouse gases and emissions from additional ship types","author":[{"family":"EU","given":""}],"issued":{"date-parts":[["2023"]]}}}],"schema":"https://github.com/citation-style-language/schema/raw/master/csl-citation.json"}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 xml:space="preserve">(EU, </w:t>
      </w:r>
      <w:r w:rsidRPr="0007382B">
        <w:rPr>
          <w:rFonts w:ascii="Calibri" w:hAnsi="Calibri" w:cs="Calibri"/>
        </w:rPr>
        <w:t>2023</w:t>
      </w:r>
      <w:r w:rsidR="00424D9D">
        <w:rPr>
          <w:rFonts w:ascii="Calibri" w:hAnsi="Calibri" w:cs="Calibri"/>
        </w:rPr>
        <w:t>c</w:t>
      </w:r>
      <w:r w:rsidRPr="00C66C24">
        <w:rPr>
          <w:rFonts w:ascii="Calibri" w:hAnsi="Calibri" w:cs="Calibri"/>
        </w:rPr>
        <w:t>)</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{"citationID":"kO2KT96h","properties":{"formattedCitation":"(Regulation (EU) 2023/957 of the European Parliament and of the Council of 10 May 2023 Amending Regulation (EU) 2015/757 in Order to Provide for the Inclusion of Maritime Transport Activities in the EU Emissions Trading System and for the Monitoring, Reporting and Verification of Emissions of Additional Greenhouse Gases and Emissions from Additional Ship Types, 2023)","plainCitation":"(Regulation (EU) 2023/957 of the European Parliament and of the Council of 10 May 2023 Amending Regulation (EU) 2015/757 in Order to Provide for the Inclusion of Maritime Transport Activities in the EU Emissions Trading System and for the Monitoring, Reporting and Verification of Emissions of Additional Greenhouse Gases and Emissions from Additional Ship Types, 2023)","dontUpdate":true,"noteIndex":0},"citationItems":[{"id":33458,"uris":["http://zotero.org/groups/122386/items/RBRP86XP"],"itemData":{"id":33458,"type":"document","title":"Regulation (EU) 2023/957 of the European Parliament and of the Council of 10 May 2023 amending Regulation (EU) 2015/757 in order to provide for the inclusion of maritime transport activities in the EU Emissions Trading System and for the monitoring, reporting and verification of emissions of additional greenhouse gases and emissions from additional ship types","author":[{"family":"EU","given":""}],"issued":{"date-parts":[["2023"]]}}}],"schema":"https://github.com/citation-style-language/schema/raw/master/csl-citation.json"} </w:instrText>
      </w:r>
      <w:r w:rsidR="00D77731" w:rsidRPr="00C66C24">
        <w:rPr>
          <w:rFonts w:ascii="Calibri" w:eastAsia="Calibri" w:hAnsi="Calibri" w:cs="Calibri"/>
          <w:color w:val="000000" w:themeColor="text1"/>
        </w:rPr>
        <w:fldChar w:fldCharType="separate"/>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w:t>
      </w:r>
      <w:r w:rsidR="00B94215" w:rsidRPr="00C66C24">
        <w:rPr>
          <w:rFonts w:ascii="Calibri" w:eastAsia="Calibri" w:hAnsi="Calibri" w:cs="Calibri"/>
          <w:color w:val="000000" w:themeColor="text1"/>
        </w:rPr>
        <w:t>With the revision of the Regulation adopted in May 2023 (Regulation (EU) 2023/957), the scope of the MRV Regulation has been extended to include CH</w:t>
      </w:r>
      <w:r w:rsidR="00B94215" w:rsidRPr="00C66C24">
        <w:rPr>
          <w:rFonts w:ascii="Calibri" w:eastAsia="Calibri" w:hAnsi="Calibri" w:cs="Calibri"/>
          <w:color w:val="000000" w:themeColor="text1"/>
          <w:vertAlign w:val="subscript"/>
        </w:rPr>
        <w:t>4</w:t>
      </w:r>
      <w:r w:rsidR="00B94215" w:rsidRPr="00C66C24">
        <w:rPr>
          <w:rFonts w:ascii="Calibri" w:eastAsia="Calibri" w:hAnsi="Calibri" w:cs="Calibri"/>
          <w:color w:val="000000" w:themeColor="text1"/>
        </w:rPr>
        <w:t xml:space="preserve"> and N</w:t>
      </w:r>
      <w:r w:rsidR="00B94215" w:rsidRPr="00C66C24">
        <w:rPr>
          <w:rFonts w:ascii="Calibri" w:eastAsia="Calibri" w:hAnsi="Calibri" w:cs="Calibri"/>
          <w:color w:val="000000" w:themeColor="text1"/>
          <w:vertAlign w:val="subscript"/>
        </w:rPr>
        <w:t>2</w:t>
      </w:r>
      <w:r w:rsidR="00B94215" w:rsidRPr="00C66C24">
        <w:rPr>
          <w:rFonts w:ascii="Calibri" w:eastAsia="Calibri" w:hAnsi="Calibri" w:cs="Calibri"/>
          <w:color w:val="000000" w:themeColor="text1"/>
        </w:rPr>
        <w:t xml:space="preserve">O starting from emissions occurring as of 1 January </w:t>
      </w:r>
      <w:r w:rsidR="0071378C" w:rsidRPr="00C66C24">
        <w:rPr>
          <w:rFonts w:ascii="Calibri" w:eastAsia="Calibri" w:hAnsi="Calibri" w:cs="Calibri"/>
          <w:color w:val="000000" w:themeColor="text1"/>
        </w:rPr>
        <w:t>2024</w:t>
      </w:r>
      <w:r w:rsidR="00B94215" w:rsidRPr="00C66C24">
        <w:rPr>
          <w:rFonts w:ascii="Calibri" w:eastAsia="Calibri" w:hAnsi="Calibri" w:cs="Calibri"/>
          <w:color w:val="000000" w:themeColor="text1"/>
        </w:rPr>
        <w:t xml:space="preserve"> which</w:t>
      </w:r>
      <w:r w:rsidR="00B94215" w:rsidRPr="00C66C24">
        <w:t xml:space="preserve"> requires companies to report and monitor these emissions, by having a monitoring plan, approved by the Member State responsible administering authority</w:t>
      </w:r>
      <w:r w:rsidR="00B94215"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w:t>
      </w:r>
    </w:p>
    <w:p w14:paraId="575EAC26" w14:textId="61748821"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{"citationID":"nVun8ePA","properties":{"formattedCitation":"(Regulation (EU) 2023/957 of the European Parliament and of the Council of 10 May 2023 Amending Regulation (EU) 2015/757 in Order to Provide for the Inclusion of Maritime Transport Activities in the EU Emissions Trading System and for the Monitoring, Reporting and Verification of Emissions of Additional Greenhouse Gases and Emissions from Additional Ship Types, 2023)","plainCitation":"(Regulation (EU) 2023/957 of the European Parliament and of the Council of 10 May 2023 Amending Regulation (EU) 2015/757 in Order to Provide for the Inclusion of Maritime Transport Activities in the EU Emissions Trading System and for the Monitoring, Reporting and Verification of Emissions of Additional Greenhouse Gases and Emissions from Additional Ship Types, 2023)","dontUpdate":true,"noteIndex":0},"citationItems":[{"id":33458,"uris":["http://zotero.org/groups/122386/items/RBRP86XP"],"itemData":{"id":33458,"type":"document","title":"Regulation (EU) 2023/957 of the European Parliament and of the Council of 10 May 2023 amending Regulation (EU) 2015/757 in order to provide for the inclusion of maritime transport activities in the EU Emissions Trading System and for the monitoring, reporting and verification of emissions of additional greenhouse gases and emissions from additional ship types","author":[{"family":"EU","given":""}],"issued":{"date-parts":[["2023"]]}}}],"schema":"https://github.com/citation-style-language/schema/raw/master/csl-citation.json"} </w:instrText>
      </w:r>
      <w:r w:rsidR="00D77731" w:rsidRPr="00C66C24">
        <w:rPr>
          <w:rFonts w:ascii="Calibri" w:eastAsia="Calibri" w:hAnsi="Calibri" w:cs="Calibri"/>
          <w:color w:val="000000" w:themeColor="text1"/>
        </w:rPr>
        <w:fldChar w:fldCharType="separate"/>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The Regulation covers all ships over 5</w:t>
      </w:r>
      <w:r w:rsidR="00D33BD3" w:rsidRPr="00C66C24">
        <w:rPr>
          <w:rFonts w:ascii="Calibri" w:eastAsia="Calibri" w:hAnsi="Calibri" w:cs="Calibri"/>
          <w:color w:val="000000" w:themeColor="text1"/>
        </w:rPr>
        <w:t>,</w:t>
      </w:r>
      <w:r w:rsidRPr="00C66C24">
        <w:rPr>
          <w:rFonts w:ascii="Calibri" w:eastAsia="Calibri" w:hAnsi="Calibri" w:cs="Calibri"/>
          <w:color w:val="000000" w:themeColor="text1"/>
        </w:rPr>
        <w:t>000 gross tonnage (GT) loading or unloading cargo or passengers at ports in the European Economic Area</w:t>
      </w:r>
      <w:r w:rsidR="000044F6"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in respect of the greenhouse gas emissions released during their voyages from or/and to ports in the European Economic Area</w:t>
      </w:r>
      <w:r w:rsidR="00D33BD3" w:rsidRPr="00C66C24">
        <w:rPr>
          <w:rFonts w:ascii="Calibri" w:eastAsia="Calibri" w:hAnsi="Calibri" w:cs="Calibri"/>
          <w:color w:val="000000" w:themeColor="text1"/>
        </w:rPr>
        <w:t>, for</w:t>
      </w:r>
      <w:r w:rsidRPr="00C66C24">
        <w:rPr>
          <w:rFonts w:ascii="Calibri" w:eastAsia="Calibri" w:hAnsi="Calibri" w:cs="Calibri"/>
          <w:color w:val="000000" w:themeColor="text1"/>
        </w:rPr>
        <w:t xml:space="preserve"> commercial purposes </w:t>
      </w:r>
      <w:r w:rsidR="00D33BD3" w:rsidRPr="00C66C24">
        <w:rPr>
          <w:rFonts w:ascii="Calibri" w:eastAsia="Calibri" w:hAnsi="Calibri" w:cs="Calibri"/>
          <w:color w:val="000000" w:themeColor="text1"/>
        </w:rPr>
        <w:t xml:space="preserve">of </w:t>
      </w:r>
      <w:r w:rsidRPr="00C66C24">
        <w:rPr>
          <w:rFonts w:ascii="Calibri" w:eastAsia="Calibri" w:hAnsi="Calibri" w:cs="Calibri"/>
          <w:color w:val="000000" w:themeColor="text1"/>
        </w:rPr>
        <w:t>cargo or passengers. From 2025, the MRV Regulation will also cover offshore ships of and above 5</w:t>
      </w:r>
      <w:r w:rsidR="00D33BD3" w:rsidRPr="00C66C24">
        <w:rPr>
          <w:rFonts w:ascii="Calibri" w:eastAsia="Calibri" w:hAnsi="Calibri" w:cs="Calibri"/>
          <w:color w:val="000000" w:themeColor="text1"/>
        </w:rPr>
        <w:t>,</w:t>
      </w:r>
      <w:r w:rsidRPr="00C66C24">
        <w:rPr>
          <w:rFonts w:ascii="Calibri" w:eastAsia="Calibri" w:hAnsi="Calibri" w:cs="Calibri"/>
          <w:color w:val="000000" w:themeColor="text1"/>
        </w:rPr>
        <w:t>000 GT, as well as offshore ships and general cargo ships between 400 GT and below 5</w:t>
      </w:r>
      <w:r w:rsidR="00931A31" w:rsidRPr="00C66C24">
        <w:rPr>
          <w:rFonts w:ascii="Calibri" w:eastAsia="Calibri" w:hAnsi="Calibri" w:cs="Calibri"/>
          <w:color w:val="000000" w:themeColor="text1"/>
        </w:rPr>
        <w:t>,</w:t>
      </w:r>
      <w:r w:rsidRPr="00C66C24">
        <w:rPr>
          <w:rFonts w:ascii="Calibri" w:eastAsia="Calibri" w:hAnsi="Calibri" w:cs="Calibri"/>
          <w:color w:val="000000" w:themeColor="text1"/>
        </w:rPr>
        <w:t>000 GT. The Regulation does not apply to a limited number of categories of ships</w:t>
      </w:r>
      <w:r w:rsidRPr="00C66C24">
        <w:rPr>
          <w:rStyle w:val="FootnoteReference"/>
        </w:rPr>
        <w:footnoteReference w:id="43"/>
      </w:r>
      <w:r w:rsidRPr="00C66C24">
        <w:rPr>
          <w:rFonts w:ascii="Calibri" w:eastAsia="Calibri" w:hAnsi="Calibri" w:cs="Calibri"/>
          <w:color w:val="000000" w:themeColor="text1"/>
        </w:rPr>
        <w:t xml:space="preserve">. The Regulation is flag-neutral, which means that ships have to monitor and report their emissions regardless of their flag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{"citationID":"T85ys99S","properties":{"formattedCitation":"(SWD &amp; EC, 2020)","plainCitation":"(SWD &amp; EC, 2020)","dontUpdate":true,"noteIndex":0},"citationItems":[{"id":35228,"uris":["http://zotero.org/groups/122386/items/EN2UNRZI"],"itemData":{"id":35228,"type":"report","event-place":"Brussels","license":"{C(2020) 3184 final}","publisher":"European Commission","publisher-place":"Brussels","title":"Commission Staff Working Document full-length report accompanying the document, Report from the Commission 2019 Annual Report on CO2 Emissions from Maritime Transport","title-short":"SWD(2020) 82 final","URL":"https://climate.ec.europa.eu/system/files/2020-05/swd_2020_82_en.pdf","author":[{"literal":"EC"}],"issued":{"date-parts":[["2020"]]}}}],"schema":"https://github.com/citation-style-language/schema/raw/master/csl-citation.json"}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(EC, 2020a)</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The Regulation covers exclusively Tank-to-Wake (</w:t>
      </w:r>
      <w:proofErr w:type="spellStart"/>
      <w:r w:rsidRPr="00C66C24">
        <w:rPr>
          <w:rFonts w:ascii="Calibri" w:eastAsia="Calibri" w:hAnsi="Calibri" w:cs="Calibri"/>
          <w:color w:val="000000" w:themeColor="text1"/>
        </w:rPr>
        <w:t>TtW</w:t>
      </w:r>
      <w:proofErr w:type="spellEnd"/>
      <w:r w:rsidRPr="00C66C24">
        <w:rPr>
          <w:rFonts w:ascii="Calibri" w:eastAsia="Calibri" w:hAnsi="Calibri" w:cs="Calibri"/>
          <w:color w:val="000000" w:themeColor="text1"/>
        </w:rPr>
        <w:t xml:space="preserve">) greenhouse gas emissions originating from the use of fuels used as energy vectors on board ships. </w:t>
      </w:r>
    </w:p>
    <w:p w14:paraId="1A9E328D" w14:textId="77777777" w:rsidR="000B0AE4" w:rsidRPr="00C66C24" w:rsidRDefault="000B0AE4" w:rsidP="0066097B">
      <w:pPr>
        <w:spacing w:before="0" w:after="0" w:line="259" w:lineRule="auto"/>
        <w:rPr>
          <w:rFonts w:ascii="Calibri" w:eastAsia="Calibri" w:hAnsi="Calibri" w:cs="Calibri"/>
          <w:color w:val="000000" w:themeColor="text1"/>
        </w:rPr>
      </w:pPr>
    </w:p>
    <w:p w14:paraId="468D0EBA" w14:textId="789EFF6B" w:rsidR="0066097B" w:rsidRPr="00C66C24" w:rsidRDefault="0066097B" w:rsidP="0066097B">
      <w:pPr>
        <w:spacing w:before="0" w:after="0" w:line="259" w:lineRule="auto"/>
        <w:rPr>
          <w:b/>
          <w:bCs/>
        </w:rPr>
      </w:pPr>
      <w:r w:rsidRPr="00C66C24" w:rsidDel="682740E5">
        <w:rPr>
          <w:b/>
          <w:bCs/>
        </w:rPr>
        <w:t xml:space="preserve">Monitoring </w:t>
      </w:r>
      <w:r w:rsidRPr="00C66C24" w:rsidDel="00E85CEE">
        <w:rPr>
          <w:b/>
          <w:bCs/>
        </w:rPr>
        <w:t xml:space="preserve">and reporting </w:t>
      </w:r>
      <w:r w:rsidRPr="00C66C24" w:rsidDel="682740E5">
        <w:rPr>
          <w:b/>
          <w:bCs/>
        </w:rPr>
        <w:t>framework</w:t>
      </w:r>
    </w:p>
    <w:p w14:paraId="1D72B609" w14:textId="06B9ACAD" w:rsidR="0066097B" w:rsidRPr="00C66C24" w:rsidRDefault="0066097B" w:rsidP="0066097B">
      <w:pPr>
        <w:spacing w:before="0" w:after="0" w:line="259" w:lineRule="auto"/>
        <w:rPr>
          <w:rFonts w:ascii="Calibri" w:eastAsia="Times New Roman" w:hAnsi="Calibri" w:cs="Calibri"/>
          <w:lang w:eastAsia="en-IE"/>
        </w:rPr>
      </w:pPr>
      <w:r w:rsidRPr="00C66C24">
        <w:rPr>
          <w:rFonts w:ascii="Calibri" w:eastAsia="Times New Roman" w:hAnsi="Calibri" w:cs="Calibri"/>
          <w:lang w:eastAsia="en-IE"/>
        </w:rPr>
        <w:t xml:space="preserve">Greenhouse gas emissions from maritime transport activities are currently monitored and reported in Europe under two main frameworks. The main differences in terms of scope, methodologies, and input data between the two are further detailed under chapter </w:t>
      </w:r>
      <w:r w:rsidR="003B2214" w:rsidRPr="00C66C24">
        <w:rPr>
          <w:rFonts w:ascii="Calibri" w:eastAsia="Times New Roman" w:hAnsi="Calibri" w:cs="Calibri"/>
          <w:lang w:eastAsia="en-IE"/>
        </w:rPr>
        <w:t>2 and under</w:t>
      </w:r>
      <w:r w:rsidRPr="00C66C24">
        <w:rPr>
          <w:rFonts w:ascii="Calibri" w:eastAsia="Times New Roman" w:hAnsi="Calibri" w:cs="Calibri"/>
          <w:lang w:eastAsia="en-IE"/>
        </w:rPr>
        <w:t xml:space="preserve"> </w:t>
      </w:r>
      <w:r w:rsidR="003B2214" w:rsidRPr="00C66C24">
        <w:rPr>
          <w:rFonts w:ascii="Calibri" w:eastAsia="Times New Roman" w:hAnsi="Calibri" w:cs="Calibri"/>
          <w:lang w:eastAsia="en-IE"/>
        </w:rPr>
        <w:fldChar w:fldCharType="begin"/>
      </w:r>
      <w:r w:rsidR="003B2214" w:rsidRPr="00C66C24">
        <w:rPr>
          <w:rFonts w:ascii="Calibri" w:eastAsia="Times New Roman" w:hAnsi="Calibri" w:cs="Calibri"/>
          <w:lang w:eastAsia="en-IE"/>
        </w:rPr>
        <w:instrText xml:space="preserve"> REF _Ref157518670 \h  \* MERGEFORMAT </w:instrText>
      </w:r>
      <w:r w:rsidR="003B2214" w:rsidRPr="00C66C24">
        <w:rPr>
          <w:rFonts w:ascii="Calibri" w:eastAsia="Times New Roman" w:hAnsi="Calibri" w:cs="Calibri"/>
          <w:lang w:eastAsia="en-IE"/>
        </w:rPr>
      </w:r>
      <w:r w:rsidR="003B2214" w:rsidRPr="00C66C24">
        <w:rPr>
          <w:rFonts w:ascii="Calibri" w:eastAsia="Times New Roman" w:hAnsi="Calibri" w:cs="Calibri"/>
          <w:lang w:eastAsia="en-IE"/>
        </w:rPr>
        <w:fldChar w:fldCharType="separate"/>
      </w:r>
      <w:r w:rsidR="003B2214" w:rsidRPr="00C66C24">
        <w:rPr>
          <w:rFonts w:ascii="Calibri" w:eastAsia="Times New Roman" w:hAnsi="Calibri" w:cs="Calibri"/>
          <w:lang w:eastAsia="en-IE"/>
        </w:rPr>
        <w:t>Table 2.1</w:t>
      </w:r>
      <w:r w:rsidR="003B2214" w:rsidRPr="00C66C24">
        <w:rPr>
          <w:rFonts w:ascii="Calibri" w:eastAsia="Times New Roman" w:hAnsi="Calibri" w:cs="Calibri"/>
          <w:lang w:eastAsia="en-IE"/>
        </w:rPr>
        <w:fldChar w:fldCharType="end"/>
      </w:r>
      <w:r w:rsidR="003B2214" w:rsidRPr="00C66C24">
        <w:rPr>
          <w:rFonts w:ascii="Calibri" w:eastAsia="Times New Roman" w:hAnsi="Calibri" w:cs="Calibri"/>
          <w:lang w:eastAsia="en-IE"/>
        </w:rPr>
        <w:t>,</w:t>
      </w:r>
      <w:r w:rsidRPr="00C66C24">
        <w:rPr>
          <w:rFonts w:ascii="Calibri" w:eastAsia="Times New Roman" w:hAnsi="Calibri" w:cs="Calibri"/>
          <w:lang w:eastAsia="en-IE"/>
        </w:rPr>
        <w:t>of this report, where resulting datasets are analysed.</w:t>
      </w:r>
    </w:p>
    <w:p w14:paraId="54BE2C18" w14:textId="77777777" w:rsidR="0066097B" w:rsidRPr="00C66C24" w:rsidRDefault="0066097B" w:rsidP="0066097B">
      <w:pPr>
        <w:spacing w:before="0" w:after="0" w:line="259" w:lineRule="auto"/>
        <w:rPr>
          <w:rFonts w:ascii="Calibri" w:eastAsia="Times New Roman" w:hAnsi="Calibri" w:cs="Calibri"/>
          <w:i/>
          <w:iCs w:val="0"/>
          <w:lang w:eastAsia="en-IE"/>
        </w:rPr>
      </w:pPr>
    </w:p>
    <w:p w14:paraId="1EAE70BC" w14:textId="77777777" w:rsidR="0066097B" w:rsidRPr="00C66C24" w:rsidRDefault="0066097B" w:rsidP="0066097B">
      <w:pPr>
        <w:spacing w:before="0" w:after="0" w:line="259" w:lineRule="auto"/>
        <w:rPr>
          <w:rFonts w:ascii="Calibri" w:eastAsia="Times New Roman" w:hAnsi="Calibri" w:cs="Calibri"/>
          <w:i/>
          <w:iCs w:val="0"/>
          <w:lang w:eastAsia="en-IE"/>
        </w:rPr>
      </w:pPr>
      <w:r w:rsidRPr="00C66C24">
        <w:rPr>
          <w:rFonts w:ascii="Calibri" w:eastAsia="Times New Roman" w:hAnsi="Calibri" w:cs="Calibri"/>
          <w:i/>
          <w:iCs w:val="0"/>
          <w:lang w:eastAsia="en-IE"/>
        </w:rPr>
        <w:t>GHG inventories</w:t>
      </w:r>
    </w:p>
    <w:p w14:paraId="252791DF" w14:textId="7340A60B" w:rsidR="004C24C1" w:rsidRPr="00C66C24" w:rsidRDefault="004C24C1" w:rsidP="004C24C1">
      <w:pPr>
        <w:spacing w:before="0" w:after="0" w:line="259" w:lineRule="auto"/>
        <w:rPr>
          <w:rFonts w:ascii="Calibri" w:eastAsia="Times New Roman" w:hAnsi="Calibri" w:cs="Calibri"/>
          <w:lang w:eastAsia="en-IE"/>
        </w:rPr>
      </w:pPr>
      <w:r w:rsidRPr="00C66C24">
        <w:rPr>
          <w:rFonts w:ascii="Calibri" w:eastAsia="Times New Roman" w:hAnsi="Calibri" w:cs="Calibri"/>
          <w:lang w:eastAsia="en-IE"/>
        </w:rPr>
        <w:t>The EU</w:t>
      </w:r>
      <w:r w:rsidR="00B9462B" w:rsidRPr="00C66C24">
        <w:rPr>
          <w:rFonts w:ascii="Calibri" w:eastAsia="Times New Roman" w:hAnsi="Calibri" w:cs="Calibri"/>
          <w:lang w:eastAsia="en-IE"/>
        </w:rPr>
        <w:t xml:space="preserve">, </w:t>
      </w:r>
      <w:r w:rsidRPr="00C66C24">
        <w:rPr>
          <w:rFonts w:ascii="Calibri" w:eastAsia="Times New Roman" w:hAnsi="Calibri" w:cs="Calibri"/>
          <w:lang w:eastAsia="en-IE"/>
        </w:rPr>
        <w:t xml:space="preserve">as a party to the UNFCCC, reports annually on greenhouse gas inventories for emissions and removals within the area covered by its Member States (i.e., emissions taking place within its territory). The legal basis for the compilation of the EU inventory is the Regulation (EU) 2018/1999 </w:t>
      </w:r>
      <w:r w:rsidR="0066097B" w:rsidRPr="00C66C24">
        <w:rPr>
          <w:rFonts w:ascii="Calibri" w:eastAsia="Times New Roman" w:hAnsi="Calibri" w:cs="Calibri"/>
          <w:lang w:eastAsia="en-IE"/>
        </w:rPr>
        <w:fldChar w:fldCharType="begin"/>
      </w:r>
      <w:r w:rsidR="0066097B" w:rsidRPr="00C66C24">
        <w:rPr>
          <w:rFonts w:ascii="Calibri" w:eastAsia="Times New Roman" w:hAnsi="Calibri" w:cs="Calibri"/>
          <w:lang w:eastAsia="en-IE"/>
        </w:rPr>
        <w:instrText xml:space="preserve"> ADDIN ZOTERO_ITEM CSL_CITATION {"citationID":"0l8FxWF9","properties":{"formattedCitation":"(EU, 2018)","plainCitation":"(EU, 2018)","noteIndex":0},"citationItems":[{"id":37,"uris":["http://zotero.org/groups/122386/items/K3VFJKPU"],"itemData":{"id":37,"type":"document","language":"en","note":"Legislative Body: EP, CONSIL","title":"Regulation (EU) 2018/1999 of the European Parliament and of the Council of 11 December 2018 on the Governance of the Energy Union and Climate Action, amending Regulations (EC) No 663/2009 and (EC) No 715/2009 of the European Parliament and of the Council, Directives 94/22/EC, 98/70/EC, 2009/31/EC, 2009/73/EC, 2010/31/EU, 2012/27/EU and 2013/30/EU of the European Parliament and of the Council, Council Directives 2009/119/EC and (EU) 2015/652 and repealing Regulation (EU) No 525/2013 of the European Parliament and of the Council (Text with EEA relevance.)","URL":"http://data.europa.eu/eli/reg/2018/1999/oj/eng","author":[{"literal":"EU"}],"accessed":{"date-parts":[["2023",7,3]]},"issued":{"date-parts":[["2018",12,11]]}}}],"schema":"https://github.com/citation-style-language/schema/raw/master/csl-citation.json"} </w:instrText>
      </w:r>
      <w:r w:rsidR="0066097B" w:rsidRPr="00C66C24">
        <w:rPr>
          <w:rFonts w:ascii="Calibri" w:eastAsia="Times New Roman" w:hAnsi="Calibri" w:cs="Calibri"/>
          <w:lang w:eastAsia="en-IE"/>
        </w:rPr>
        <w:fldChar w:fldCharType="separate"/>
      </w:r>
      <w:r w:rsidR="0066097B" w:rsidRPr="00C66C24">
        <w:rPr>
          <w:rFonts w:ascii="Calibri" w:hAnsi="Calibri" w:cs="Calibri"/>
        </w:rPr>
        <w:t>(EU, 2018)</w:t>
      </w:r>
      <w:r w:rsidR="0066097B" w:rsidRPr="00C66C24">
        <w:rPr>
          <w:rFonts w:ascii="Calibri" w:eastAsia="Times New Roman" w:hAnsi="Calibri" w:cs="Calibri"/>
          <w:lang w:eastAsia="en-IE"/>
        </w:rPr>
        <w:fldChar w:fldCharType="end"/>
      </w:r>
      <w:r w:rsidRPr="00C66C24">
        <w:rPr>
          <w:rFonts w:ascii="Calibri" w:eastAsia="Times New Roman" w:hAnsi="Calibri" w:cs="Calibri"/>
          <w:lang w:eastAsia="en-IE"/>
        </w:rPr>
        <w:t>. The EU GHG inventory comprises the direct sum of emissions and removals from the national inventories compiled by the EU Member States. Energy data from Eurostat are used for the reference approach for CO</w:t>
      </w:r>
      <w:r w:rsidRPr="00C66C24">
        <w:rPr>
          <w:rFonts w:ascii="Calibri" w:eastAsia="Times New Roman" w:hAnsi="Calibri" w:cs="Calibri"/>
          <w:vertAlign w:val="subscript"/>
          <w:lang w:eastAsia="en-IE"/>
        </w:rPr>
        <w:t>2</w:t>
      </w:r>
      <w:r w:rsidRPr="00C66C24">
        <w:rPr>
          <w:rFonts w:ascii="Calibri" w:eastAsia="Times New Roman" w:hAnsi="Calibri" w:cs="Calibri"/>
          <w:lang w:eastAsia="en-IE"/>
        </w:rPr>
        <w:t xml:space="preserve"> emissions from fossil fuels, developed by the Intergovernmental Panel on Climate Change (IPCC). </w:t>
      </w:r>
      <w:r w:rsidRPr="00C66C24">
        <w:t xml:space="preserve">In the inventories, reported emissions are calculated based on the type and quantity of the maritime fuel sold in the reporting country, navigation includes all waterborne transport activities, irrespective of the ship size and type. </w:t>
      </w:r>
      <w:r w:rsidRPr="00C66C24">
        <w:rPr>
          <w:rFonts w:ascii="Calibri" w:eastAsia="Times New Roman" w:hAnsi="Calibri" w:cs="Calibri"/>
          <w:lang w:eastAsia="en-IE"/>
        </w:rPr>
        <w:t>Navigation is considered domestic if the ship departs and arrives in a port in the same country (note that this can cover trips of significant length) and when referring to emissions from the fishing fleet those are reported under a dedicated entry in the GHG inventories</w:t>
      </w:r>
      <w:r w:rsidRPr="00C66C24">
        <w:rPr>
          <w:rStyle w:val="Heading1Char"/>
        </w:rPr>
        <w:t xml:space="preserve"> </w:t>
      </w:r>
      <w:r w:rsidRPr="00C66C24">
        <w:rPr>
          <w:rFonts w:ascii="Calibri" w:eastAsia="Times New Roman" w:hAnsi="Calibri" w:cs="Calibri"/>
          <w:lang w:eastAsia="en-IE"/>
        </w:rPr>
        <w:t xml:space="preserve">(i.e., </w:t>
      </w:r>
      <w:r w:rsidRPr="00C66C24">
        <w:rPr>
          <w:rStyle w:val="ui-provider"/>
        </w:rPr>
        <w:t>under the Agriculture/Forestry/Fishing category in the Energy Sector</w:t>
      </w:r>
      <w:r w:rsidRPr="00C66C24">
        <w:rPr>
          <w:rFonts w:ascii="Calibri" w:eastAsia="Times New Roman" w:hAnsi="Calibri" w:cs="Calibri"/>
          <w:lang w:eastAsia="en-IE"/>
        </w:rPr>
        <w:t xml:space="preserve">) always considered domestic, irrespectively from where fishing activities occur. </w:t>
      </w:r>
    </w:p>
    <w:p w14:paraId="13727CB9" w14:textId="77777777" w:rsidR="0066097B" w:rsidRPr="00C66C24" w:rsidRDefault="0066097B" w:rsidP="0066097B">
      <w:pPr>
        <w:spacing w:before="0" w:after="0" w:line="259" w:lineRule="auto"/>
        <w:rPr>
          <w:b/>
          <w:bCs/>
        </w:rPr>
      </w:pPr>
    </w:p>
    <w:p w14:paraId="2A2780ED" w14:textId="6509DDC9" w:rsidR="0066097B" w:rsidRPr="00C66C24" w:rsidRDefault="0066097B" w:rsidP="0066097B">
      <w:pPr>
        <w:spacing w:before="0" w:after="0" w:line="259" w:lineRule="auto"/>
        <w:rPr>
          <w:i/>
        </w:rPr>
      </w:pPr>
      <w:r w:rsidRPr="00C66C24">
        <w:rPr>
          <w:i/>
        </w:rPr>
        <w:t xml:space="preserve">GHG emissions under the MRV Regulation </w:t>
      </w:r>
    </w:p>
    <w:p w14:paraId="4889D505" w14:textId="538EA70F" w:rsidR="0066097B" w:rsidRPr="00C66C24" w:rsidRDefault="0066097B" w:rsidP="0066097B">
      <w:pPr>
        <w:spacing w:before="0" w:after="0" w:line="259" w:lineRule="auto"/>
      </w:pPr>
      <w:r w:rsidRPr="00C66C24">
        <w:rPr>
          <w:rFonts w:ascii="Calibri" w:eastAsia="Calibri" w:hAnsi="Calibri" w:cs="Calibri"/>
          <w:color w:val="000000" w:themeColor="text1"/>
        </w:rPr>
        <w:t xml:space="preserve">The MRV Regulation requires shipping companies to monitor and report GHG emissions from the activities within the Regulation’s scope. To this end, shipping companies may resort to a calculation or a measurement approach, applying </w:t>
      </w:r>
      <w:r w:rsidR="006762A3" w:rsidRPr="00C66C24">
        <w:rPr>
          <w:rFonts w:ascii="Calibri" w:eastAsia="Calibri" w:hAnsi="Calibri" w:cs="Calibri"/>
          <w:color w:val="000000" w:themeColor="text1"/>
        </w:rPr>
        <w:t xml:space="preserve">from the </w:t>
      </w:r>
      <w:r w:rsidRPr="00C66C24">
        <w:rPr>
          <w:rFonts w:ascii="Calibri" w:eastAsia="Calibri" w:hAnsi="Calibri" w:cs="Calibri"/>
          <w:color w:val="000000" w:themeColor="text1"/>
        </w:rPr>
        <w:t xml:space="preserve">four different methods to monitor Tank-to-Wake emissions: 1) bunker fuel delivery note and periodic stocktakes of fuel tanks; 2) bunker fuel tank monitoring on board; 3) fuel flow metres for applicable combustion processes, and; 4) direct GHG emissions measurement. </w:t>
      </w:r>
      <w:r w:rsidRPr="00C66C24">
        <w:t xml:space="preserve">At the present time, the most common approach for determining GHG emissions from ships is the calculation approach, which is based on the use of activity-based emission factors combined with vessel-specific data, such as fuel consumption, engine power, and operating hours. These emission factors are typically based on the IMO guidelines or other internationally recognised standards </w:t>
      </w:r>
      <w:r w:rsidRPr="00C66C24">
        <w:fldChar w:fldCharType="begin"/>
      </w:r>
      <w:r w:rsidRPr="00C66C24">
        <w:instrText xml:space="preserve"> ADDIN ZOTERO_ITEM CSL_CITATION {"citationID":"AX56HXzx","properties":{"formattedCitation":"(EEA, EMEP, 2023; IPCC, 2006)","plainCitation":"(EEA, EMEP, 2023; IPCC, 2006)","dontUpdate":true,"noteIndex":0},"citationItems":[{"id":52173,"uris":["http://zotero.org/groups/122386/items/BSF6IMYG"],"itemData":{"id":52173,"type":"document","title":"International maritime navigation, international inland navigation, national navigation (shipping), national fishing, military (shipping), and recreational boats","URL":"https://www.eea.europa.eu/publications/emep-eea-guidebook-2023/part-b-sectoral-guidance-chapters/1-energy/1-a-combustion/1-a-3-d-navigation/view","author":[{"family":"EEA, EMEP","given":""}],"issued":{"date-parts":[["2023"]]}}},{"id":28440,"uris":["http://zotero.org/groups/122386/items/4MFPSSY4"],"itemData":{"id":28440,"type":"report","event-place":"Hanawa, Japan","publisher":"Institute for Global Environmental Strategies","publisher-place":"Hanawa, Japan","title":"2006 IPCC guidelines for national greenhouse gas inventories","URL":"https://www.ipcc-nggip.iges.or.jp/public/2006gl/","author":[{"family":"IPCC","given":""}],"accessed":{"date-parts":[["2015",11,15]]},"issued":{"date-parts":[["2006"]]}}}],"schema":"https://github.com/citation-style-language/schema/raw/master/csl-citation.json"} </w:instrText>
      </w:r>
      <w:r w:rsidRPr="00C66C24">
        <w:fldChar w:fldCharType="separate"/>
      </w:r>
      <w:r w:rsidRPr="00C66C24">
        <w:rPr>
          <w:rFonts w:ascii="Calibri" w:hAnsi="Calibri" w:cs="Calibri"/>
        </w:rPr>
        <w:t>(EEA &amp; EMEP, 2023; IPCC, 2006)</w:t>
      </w:r>
      <w:r w:rsidRPr="00C66C24">
        <w:fldChar w:fldCharType="end"/>
      </w:r>
      <w:r w:rsidRPr="00C66C24">
        <w:t xml:space="preserve">. </w:t>
      </w:r>
    </w:p>
    <w:p w14:paraId="6ABE013F" w14:textId="4D241402"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The Regulation foresees, as a general rule, the monitoring of GHG emissions on a per voyage basis, while the reporting is done on the basis of the relevant parameters monitored at aggregate level throughout the year </w:t>
      </w:r>
      <w:r w:rsidR="00885F07" w:rsidRPr="00C66C24">
        <w:rPr>
          <w:rFonts w:ascii="Calibri" w:eastAsia="Calibri" w:hAnsi="Calibri" w:cs="Calibri"/>
          <w:color w:val="000000" w:themeColor="text1"/>
        </w:rPr>
        <w:t>(</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{"citationID":"eT1P4U4O","properties":{"formattedCitation":"(EC, 2015b)","plainCitation":"(EC, 2015b)","dontUpdate":true,"noteIndex":0},"citationItems":[{"id":21836,"uris":["http://zotero.org/groups/122386/items/8HNRQFXR"],"itemData":{"id":21836,"type":"document","publisher":"European Parliament and Council","title":"Regulation (EU) 2015/757 of the European Parliament and of the Council of 29 April 2015 on the monitoring, reporting and verification of carbon dioxide emissions from maritime transport, and amending Directive 2009/16/EC (Text with EEA relevance)","URL":"http://data.europa.eu/eli/reg/2015/757/oj","author":[{"family":"EU","given":""}],"issued":{"date-parts":[["2015"]]}}}],"schema":"https://github.com/citation-style-language/schema/raw/master/csl-citation.json"}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EU, 2015b)</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w:t>
      </w:r>
    </w:p>
    <w:p w14:paraId="1642C553" w14:textId="77777777" w:rsidR="0066097B" w:rsidRPr="00C66C24" w:rsidRDefault="0066097B" w:rsidP="0066097B">
      <w:pPr>
        <w:spacing w:before="0" w:after="0" w:line="259" w:lineRule="auto"/>
      </w:pPr>
      <w:r w:rsidRPr="00C66C24">
        <w:t xml:space="preserve">The verification of emissions is a fundamental step of the MRV process and follows the monitoring of emissions from actors within the scope of the Regulation. Both monitoring and verification steps are facilitated by the THETIS-MRV system, an IT tool operated and maintained by the European Commission and EMSA, through which shipping companies comply with their obligations by submitting the verified emissions reports. Relevant reported information are made available to the public by 30 June yearly in accordance with the Regulation provisions on publication of information </w:t>
      </w:r>
      <w:r w:rsidRPr="00C66C24">
        <w:fldChar w:fldCharType="begin"/>
      </w:r>
      <w:r w:rsidRPr="00C66C24">
        <w:instrText xml:space="preserve"> ADDIN ZOTERO_ITEM CSL_CITATION {"citationID":"8E1slcMB","properties":{"formattedCitation":"(SWD &amp; EC, 2020)","plainCitation":"(SWD &amp; EC, 2020)","dontUpdate":true,"noteIndex":0},"citationItems":[{"id":35228,"uris":["http://zotero.org/groups/122386/items/EN2UNRZI"],"itemData":{"id":35228,"type":"report","event-place":"Brussels","license":"{C(2020) 3184 final}","publisher":"European Commission","publisher-place":"Brussels","title":"Commission Staff Working Document full-length report accompanying the document, Report from the Commission 2019 Annual Report on CO2 Emissions from Maritime Transport","title-short":"SWD(2020) 82 final","URL":"https://climate.ec.europa.eu/system/files/2020-05/swd_2020_82_en.pdf","author":[{"literal":"EC"}],"issued":{"date-parts":[["2020"]]}}}],"schema":"https://github.com/citation-style-language/schema/raw/master/csl-citation.json"} </w:instrText>
      </w:r>
      <w:r w:rsidRPr="00C66C24">
        <w:fldChar w:fldCharType="separate"/>
      </w:r>
      <w:r w:rsidRPr="00C66C24">
        <w:rPr>
          <w:rFonts w:ascii="Calibri" w:hAnsi="Calibri" w:cs="Calibri"/>
        </w:rPr>
        <w:t>(EC, 2020a)</w:t>
      </w:r>
      <w:r w:rsidRPr="00C66C24">
        <w:fldChar w:fldCharType="end"/>
      </w:r>
      <w:r w:rsidRPr="00C66C24">
        <w:t xml:space="preserve">. </w:t>
      </w:r>
    </w:p>
    <w:p w14:paraId="1A98C929" w14:textId="0E7D1F66" w:rsidR="0066097B" w:rsidRPr="00C66C24" w:rsidRDefault="0066097B" w:rsidP="0066097B">
      <w:pPr>
        <w:spacing w:before="0" w:after="0" w:line="259" w:lineRule="auto"/>
      </w:pPr>
      <w:r w:rsidRPr="00C66C24">
        <w:t>It is worth noticing non-CO</w:t>
      </w:r>
      <w:r w:rsidRPr="00C66C24">
        <w:rPr>
          <w:vertAlign w:val="subscript"/>
        </w:rPr>
        <w:t>2</w:t>
      </w:r>
      <w:r w:rsidRPr="00C66C24">
        <w:t xml:space="preserve"> emissions are not always easy to link to fuel consumption, since they may originate f</w:t>
      </w:r>
      <w:r w:rsidR="00885F07" w:rsidRPr="00C66C24">
        <w:t>rom</w:t>
      </w:r>
      <w:r w:rsidRPr="00C66C24">
        <w:t xml:space="preserve"> processes which are not directly related to combustion. An example is the significant increase in N</w:t>
      </w:r>
      <w:r w:rsidRPr="00C66C24">
        <w:rPr>
          <w:vertAlign w:val="subscript"/>
        </w:rPr>
        <w:t>2</w:t>
      </w:r>
      <w:r w:rsidRPr="00C66C24">
        <w:t xml:space="preserve">O emissions, formed as by product of catalytic reactions, recorded in the road transport sector after the introduction of SCR systems </w:t>
      </w:r>
      <w:r w:rsidRPr="00C66C24">
        <w:fldChar w:fldCharType="begin"/>
      </w:r>
      <w:r w:rsidRPr="00C66C24">
        <w:instrText xml:space="preserve"> ADDIN ZOTERO_ITEM CSL_CITATION {"citationID":"PyKdCESz","properties":{"formattedCitation":"(Selleri et al., 2021)","plainCitation":"(Selleri et al., 2021)","noteIndex":0},"citationItems":[{"id":29585,"uris":["http://zotero.org/groups/122386/items/25MQ5YIP"],"itemData":{"id":29585,"type":"article-journal","abstract":"This paper reviews the recent advances in the management of nitrogen oxide (NOx) emissions from the internal combustion engine of light-duty and heavy-duty vehicles, addressing both technical and legal aspects. Particular focus is devoted to the often-virtuous interaction between new legislation imposing more restrictions on the permitted pollutant emission levels and new technologies developed in order to meet these restrictions. The review begins first with the American and then European directives promulgated in the 1970s, aimed at limiting emissions of pollutants from road transport vehicles. Particular attention is paid to the introduction of the Euro standards in the European Union for light- and heavy-duty vehicles, used as a legal and time frame reference for the evolution of emission aftertreatment systems (ATSs). The paper also describes governmental approaches implemented for the control of pollutant emissions in circulating vehicles, such as market surveillance and in-service conformity. In parallel, it is explained how the gradual introduction of small-scale devices aimed at the NOx control, such as lean NOx traps (LNTs) systems, and, most of all, the selective catalytic reduction (SCR) of NOx, permitted the application to road-transport vehicles of this ATS, originally designed in larger sizes for industrial usage. The paper reviews chemical processes occurring in SCR systems and their advantages and drawbacks with respect to the pollutant emission limits imposed by the legislation. Their potential side effects are also addressed, such as the emission of extra, not-yet regulated pollutants such as, for example, NH3 and N2O. The NOx, N2O, and NH3 emission level evolution with the various Euro standards for both light- and heavy-duty vehicles are reported in the light of experimental data obtained at the European Commission’s Joint Research Centre. It is observed that the new technologies, boosted by increasingly stricter legal limits, have led in the last two decades to a clear decrease of over one order of magnitude of NOx emissions in Diesel light-duty vehicles, bringing them to the same level as Euro 6 gasoline vehicles (10 mg/km to 20 mg/km in average). On the other hand, an obvious increase in the emissions of both NH3 and N2O is observed in both Diesel and gasoline light-duty vehicles, whereby NH3 emissions in spark-ignition vehicles are mainly linked to two-reaction mechanisms occurring in three-way catalysts after the catalyst light-off and during engine rich-operation. NH3 emissions measured in recent Euro 6 light-duty vehicles amount to a few mg/km for both gasoline and Diesel engines, whereby N2O emissions exceeding a dozen mg/km have been observed in Diesel vehicles only. The present paper can be regarded as part of a general assessment in view of the next EU emission standards, and a discussion on the role the SCR technology may serve as a NOx emission control strategy from lean-burn vehicles.","container-title":"Catalysts","DOI":"10.3390/catal11030404","ISSN":"2073-4344","issue":"3","language":"en","license":"http://creativecommons.org/licenses/by/3.0/","note":"number: 3\npublisher: Multidisciplinary Digital Publishing Institute","page":"404","source":"www.mdpi.com","title":"An Overview of Lean Exhaust deNOx Aftertreatment Technologies and NOx Emission Regulations in the European Union","volume":"11","author":[{"family":"Selleri","given":"T."},{"family":"Melas","given":"Anastasios D."},{"family":"Joshi","given":"A."},{"family":"Manara","given":"D."},{"family":"Perujo","given":"A."},{"family":"Suarez-Bertoa","given":"R."}],"issued":{"date-parts":[["2021",3]]}}}],"schema":"https://github.com/citation-style-language/schema/raw/master/csl-citation.json"} </w:instrText>
      </w:r>
      <w:r w:rsidRPr="00C66C24">
        <w:fldChar w:fldCharType="separate"/>
      </w:r>
      <w:r w:rsidRPr="00C66C24">
        <w:rPr>
          <w:rFonts w:ascii="Calibri" w:hAnsi="Calibri" w:cs="Calibri"/>
        </w:rPr>
        <w:t>(Selleri et al., 2021)</w:t>
      </w:r>
      <w:r w:rsidRPr="00C66C24">
        <w:fldChar w:fldCharType="end"/>
      </w:r>
      <w:r w:rsidRPr="00C66C24">
        <w:t>.</w:t>
      </w:r>
    </w:p>
    <w:p w14:paraId="7269F2B9" w14:textId="77777777" w:rsidR="0066097B" w:rsidRPr="00C66C24" w:rsidRDefault="0066097B" w:rsidP="0066097B">
      <w:pPr>
        <w:spacing w:before="0" w:after="0" w:line="259" w:lineRule="auto"/>
      </w:pPr>
    </w:p>
    <w:p w14:paraId="65919253" w14:textId="7AF40BAC" w:rsidR="0066097B" w:rsidRPr="00C66C24" w:rsidRDefault="0066097B" w:rsidP="001C0D77">
      <w:pPr>
        <w:pStyle w:val="Heading7"/>
      </w:pPr>
      <w:bookmarkStart w:id="271" w:name="_Toc152054889"/>
      <w:bookmarkStart w:id="272" w:name="_Ref157417125"/>
      <w:r w:rsidRPr="00C66C24">
        <w:t xml:space="preserve">Air </w:t>
      </w:r>
      <w:bookmarkEnd w:id="271"/>
      <w:r w:rsidR="000044F6" w:rsidRPr="00C66C24">
        <w:t>q</w:t>
      </w:r>
      <w:r w:rsidRPr="00C66C24">
        <w:t>uality and depletion of the ozone layer</w:t>
      </w:r>
      <w:bookmarkEnd w:id="272"/>
    </w:p>
    <w:p w14:paraId="1CA76261" w14:textId="2A41A6B5" w:rsidR="0066097B" w:rsidRPr="00C66C24" w:rsidRDefault="0066097B" w:rsidP="0066097B">
      <w:pPr>
        <w:spacing w:before="0" w:after="0" w:line="259" w:lineRule="auto"/>
      </w:pPr>
      <w:r w:rsidRPr="00C66C24">
        <w:t>Air pollution remains a key environmental and health risk in Europe and globally, even with declining trends in the past two decades. This has led the World Health Organisation</w:t>
      </w:r>
      <w:r w:rsidR="00F10E33" w:rsidRPr="00C66C24">
        <w:t xml:space="preserve"> (WHO)</w:t>
      </w:r>
      <w:r w:rsidRPr="00C66C24">
        <w:t xml:space="preserve"> to update their Air quality guidelines (AQG) in 2021, with stricter limits for air pollutants which is also reflected in current EU legislative work on the Zero Pollution Action Plan adopted by review of the European Commission Ambient Air Quality Directive. Also, the Zero Pollution Action Plan targets an improvement of air quality that aims to reduce by 2030 premature deaths of exposure to fine particulate matter by 55%, compared with 2005 </w:t>
      </w:r>
      <w:r w:rsidRPr="00C66C24">
        <w:fldChar w:fldCharType="begin"/>
      </w:r>
      <w:r w:rsidRPr="00C66C24">
        <w:instrText xml:space="preserve"> ADDIN ZOTERO_ITEM CSL_CITATION {"citationID":"OrgYODIi","properties":{"formattedCitation":"(EC, 2021e)","plainCitation":"(EC, 2021e)","noteIndex":0},"citationItems":[{"id":33350,"uris":["http://zotero.org/groups/122386/items/3S2BP9T4"],"itemData":{"id":33350,"type":"report","event-place":"Brussels, Belgium","publisher":"European Commission","publisher-place":"Brussels, Belgium","title":"Zero pollution action plan","URL":"https://ec.europa.eu/environment/strategy/zero-pollution-action-plan_en","author":[{"family":"EC","given":""}],"issued":{"date-parts":[["2021"]]}}}],"schema":"https://github.com/citation-style-language/schema/raw/master/csl-citation.json"} </w:instrText>
      </w:r>
      <w:r w:rsidRPr="00C66C24">
        <w:fldChar w:fldCharType="separate"/>
      </w:r>
      <w:r w:rsidRPr="00C66C24">
        <w:rPr>
          <w:rFonts w:ascii="Calibri" w:hAnsi="Calibri" w:cs="Calibri"/>
        </w:rPr>
        <w:t>(EC, 2021</w:t>
      </w:r>
      <w:r w:rsidR="003A64C7">
        <w:rPr>
          <w:rFonts w:ascii="Calibri" w:hAnsi="Calibri" w:cs="Calibri"/>
        </w:rPr>
        <w:t>f</w:t>
      </w:r>
      <w:r w:rsidRPr="00C66C24">
        <w:rPr>
          <w:rFonts w:ascii="Calibri" w:hAnsi="Calibri" w:cs="Calibri"/>
        </w:rPr>
        <w:t>)</w:t>
      </w:r>
      <w:r w:rsidRPr="00C66C24">
        <w:fldChar w:fldCharType="end"/>
      </w:r>
      <w:r w:rsidRPr="00C66C24">
        <w:t xml:space="preserve">. Air pollution emissions are linked to several environmental issues such as tropospheric ozone depletion and acidification, and nitrification, that is why another target of the Zero Pollution Action Plan is to reduce by 25% the EU ecosystems where air pollution threatens biodiversity. Furthermore, air pollution emissions are responsible for several health issues as asthma, heart disease and stroke. In addition, the reduction of pollutants such as the ones from SOx emission to the atmosphere has also a positive effect on secondary aerosols formation, which contribute to the total PM emissions as well as to soil and sea acidification due to their deposition. </w:t>
      </w:r>
      <w:r w:rsidR="006774AE" w:rsidRPr="00C66C24">
        <w:t xml:space="preserve">Exposure to fine particulate matter in the EU-27 was responsible for </w:t>
      </w:r>
      <w:r w:rsidR="000044F6" w:rsidRPr="00C66C24">
        <w:t>approximately</w:t>
      </w:r>
      <w:r w:rsidR="006774AE" w:rsidRPr="00C66C24">
        <w:t xml:space="preserve"> 238</w:t>
      </w:r>
      <w:r w:rsidR="000044F6" w:rsidRPr="00C66C24">
        <w:t>,</w:t>
      </w:r>
      <w:r w:rsidR="006774AE" w:rsidRPr="00C66C24">
        <w:t xml:space="preserve">000 premature deaths, according to the EEA report on Air Quality in 2020 </w:t>
      </w:r>
      <w:r w:rsidR="006774AE" w:rsidRPr="00C66C24">
        <w:fldChar w:fldCharType="begin"/>
      </w:r>
      <w:r w:rsidR="001855E3" w:rsidRPr="00C66C24">
        <w:instrText xml:space="preserve"> ADDIN ZOTERO_ITEM CSL_CITATION {"citationID":"a1fpee4krk8","properties":{"formattedCitation":"(EEA, 2022a)","plainCitation":"(EEA, 2022a)","noteIndex":0},"citationItems":[{"id":990,"uris":["http://zotero.org/groups/122386/items/F6EVUD39"],"itemData":{"id":990,"type":"report","abstract":"Air pollution is the largest environmental health risk in Europe and significantly impacts the health of the European population, particularly in urban areas. While emissions of key air pollutants and their concentrations in ambient air have fallen significantly over the past two decades in Europe, air quality remains poor in many areas.","genre":"EEA Briefing","language":"en","publisher":"European Environment Agency","title":"Air quality in Europe 2022","URL":"https://www.eea.europa.eu/publications/air-quality-in-europe-2022","author":[{"literal":"EEA"}],"accessed":{"date-parts":[["2022",11,30]]},"issued":{"date-parts":[["2022"]]}}}],"schema":"https://github.com/citation-style-language/schema/raw/master/csl-citation.json"} </w:instrText>
      </w:r>
      <w:r w:rsidR="006774AE" w:rsidRPr="00C66C24">
        <w:fldChar w:fldCharType="separate"/>
      </w:r>
      <w:r w:rsidR="001855E3" w:rsidRPr="00C66C24">
        <w:rPr>
          <w:rFonts w:ascii="Calibri" w:hAnsi="Calibri" w:cs="Calibri"/>
        </w:rPr>
        <w:t>(EEA, 2022a)</w:t>
      </w:r>
      <w:r w:rsidR="006774AE" w:rsidRPr="00C66C24">
        <w:fldChar w:fldCharType="end"/>
      </w:r>
      <w:r w:rsidR="006774AE" w:rsidRPr="00C66C24">
        <w:t>.</w:t>
      </w:r>
      <w:r w:rsidRPr="00C66C24">
        <w:t xml:space="preserve"> The exposure to fine particulate matter and nitrogen dioxide </w:t>
      </w:r>
      <w:r w:rsidR="00F10E33" w:rsidRPr="00C66C24">
        <w:t>(NO</w:t>
      </w:r>
      <w:r w:rsidR="00F10E33" w:rsidRPr="00C66C24">
        <w:rPr>
          <w:vertAlign w:val="subscript"/>
        </w:rPr>
        <w:t>2</w:t>
      </w:r>
      <w:r w:rsidR="00F10E33" w:rsidRPr="00C66C24">
        <w:t>)</w:t>
      </w:r>
      <w:r w:rsidR="00AD4B7C" w:rsidRPr="00C66C24">
        <w:t xml:space="preserve"> </w:t>
      </w:r>
      <w:r w:rsidRPr="00C66C24">
        <w:t xml:space="preserve">above the WHO recommendations are estimated to cause hundreds of thousands of premature deaths globally with impacts being already compared to actions such as smoking </w:t>
      </w:r>
      <w:r w:rsidRPr="00C66C24">
        <w:fldChar w:fldCharType="begin"/>
      </w:r>
      <w:r w:rsidRPr="00C66C24">
        <w:instrText xml:space="preserve"> ADDIN ZOTERO_ITEM CSL_CITATION {"citationID":"a1ugrkejt5r","properties":{"formattedCitation":"(WHO, 2021)","plainCitation":"(WHO, 2021)","noteIndex":0},"citationItems":[{"id":23807,"uris":["http://zotero.org/groups/122386/items/6KIG7MN4"],"itemData":{"id":23807,"type":"report","note":"WHO global air quality guidelines. Particulate matter (PM2.5 and PM10), ozone, \nnitrogen dioxide, sulfur dioxide and carbon monoxide. Geneva: World Health Organization; 2021. Licence: \nCC BYNCSA 3.0 IGO","page":"300","title":"Global air quality guidelines. Particulate matter (PM2.5 and PM10), ozone,  nitrogen dioxide, sulfur dioxide and carbon monoxide","URL":"https://apps.who.int/iris/bitstream/handle/10665/345329/9789240034228-eng.pdf","author":[{"family":"WHO","given":""}],"issued":{"date-parts":[["2021"]]}}}],"schema":"https://github.com/citation-style-language/schema/raw/master/csl-citation.json"} </w:instrText>
      </w:r>
      <w:r w:rsidRPr="00C66C24">
        <w:fldChar w:fldCharType="separate"/>
      </w:r>
      <w:r w:rsidRPr="00C66C24">
        <w:rPr>
          <w:rFonts w:ascii="Calibri" w:hAnsi="Calibri" w:cs="Calibri"/>
        </w:rPr>
        <w:t>(WHO, 2021)</w:t>
      </w:r>
      <w:r w:rsidRPr="00C66C24">
        <w:fldChar w:fldCharType="end"/>
      </w:r>
      <w:r w:rsidRPr="00C66C24">
        <w:t>. The effect of many air pollutants is not only local. This means that air pollution can have long-range effects and even far from inhabited regions or coasts</w:t>
      </w:r>
      <w:r w:rsidR="000044F6" w:rsidRPr="00C66C24">
        <w:t xml:space="preserve"> even when pollutants are released</w:t>
      </w:r>
      <w:r w:rsidRPr="00C66C24">
        <w:t>.</w:t>
      </w:r>
    </w:p>
    <w:p w14:paraId="5C75F01D" w14:textId="77777777" w:rsidR="0066097B" w:rsidRPr="00C66C24" w:rsidRDefault="0066097B" w:rsidP="0066097B">
      <w:pPr>
        <w:spacing w:before="0" w:after="0" w:line="259" w:lineRule="auto"/>
        <w:rPr>
          <w:b/>
          <w:bCs/>
        </w:rPr>
      </w:pPr>
    </w:p>
    <w:p w14:paraId="33897050" w14:textId="77777777" w:rsidR="0066097B" w:rsidRPr="00C66C24" w:rsidRDefault="0066097B" w:rsidP="0066097B">
      <w:pPr>
        <w:spacing w:before="0" w:after="0" w:line="259" w:lineRule="auto"/>
        <w:rPr>
          <w:b/>
          <w:bCs/>
        </w:rPr>
      </w:pPr>
      <w:r w:rsidRPr="00C66C24">
        <w:rPr>
          <w:b/>
          <w:bCs/>
        </w:rPr>
        <w:t>Regulatory framework</w:t>
      </w:r>
    </w:p>
    <w:p w14:paraId="3AA6767E" w14:textId="77777777" w:rsidR="0066097B" w:rsidRPr="00C66C24" w:rsidRDefault="0066097B" w:rsidP="0066097B">
      <w:pPr>
        <w:spacing w:before="0" w:after="0" w:line="259" w:lineRule="auto"/>
        <w:rPr>
          <w:u w:val="single"/>
        </w:rPr>
      </w:pPr>
      <w:r w:rsidRPr="00C66C24">
        <w:rPr>
          <w:u w:val="single"/>
        </w:rPr>
        <w:t>International framework</w:t>
      </w:r>
    </w:p>
    <w:p w14:paraId="6893DF9B" w14:textId="081552AE" w:rsidR="0066097B" w:rsidRPr="00C66C24" w:rsidRDefault="0066097B" w:rsidP="0066097B">
      <w:pPr>
        <w:spacing w:before="0" w:after="0" w:line="259" w:lineRule="auto"/>
        <w:rPr>
          <w:rFonts w:ascii="Calibri" w:eastAsia="Calibri" w:hAnsi="Calibri" w:cs="Calibri"/>
        </w:rPr>
      </w:pPr>
      <w:r w:rsidRPr="00C66C24">
        <w:t xml:space="preserve">The main regulatory instrument dealing with air pollution from ships at IMO level is the International Convention for the Prevention of Pollution from Ships, also known as MARPOL, and specifically its Annex VI </w:t>
      </w:r>
      <w:r w:rsidRPr="00C66C24">
        <w:fldChar w:fldCharType="begin"/>
      </w:r>
      <w:r w:rsidRPr="00C66C24">
        <w:instrText xml:space="preserve"> ADDIN ZOTERO_ITEM CSL_CITATION {"citationID":"kqRF1uE3","properties":{"formattedCitation":"(IMO, 2006)","plainCitation":"(IMO, 2006)","noteIndex":0},"citationItems":[{"id":34096,"uris":["http://zotero.org/groups/122386/items/GI6E2IYU"],"itemData":{"id":34096,"type":"document","note":"Marpol Annex VI, 2006, Marpol Consolidation 2006: Annex VI — Regulations for the Prevention of Air Pollution from Ships, International Maritime Organization","title":"MARPOL Annex VI","URL":"http://www.marpoltraining.com/MMSKOREAN/MARPOL/Annex_VI/index.htm","author":[{"family":"IMO","given":""}],"issued":{"date-parts":[["2006"]]}}}],"schema":"https://github.com/citation-style-language/schema/raw/master/csl-citation.json"} </w:instrText>
      </w:r>
      <w:r w:rsidRPr="00C66C24">
        <w:fldChar w:fldCharType="separate"/>
      </w:r>
      <w:r w:rsidRPr="00C66C24">
        <w:rPr>
          <w:rFonts w:ascii="Calibri" w:hAnsi="Calibri" w:cs="Calibri"/>
        </w:rPr>
        <w:t>(IMO, 2006)</w:t>
      </w:r>
      <w:r w:rsidRPr="00C66C24">
        <w:fldChar w:fldCharType="end"/>
      </w:r>
      <w:r w:rsidRPr="00C66C24">
        <w:t>. This was added to the Convention in 1997 and finally entered into force in 2005. MARPOL’s Annex VI limits some of the main air pollutants from ships’ exhaust gas, including NOx, SOx and particulate matter (PM). It also prohibits deliberate emissions of ODS and regulates shipboard incineration and emissions of Volatile Organic Compounds (VOC</w:t>
      </w:r>
      <w:r w:rsidR="000044F6" w:rsidRPr="00C66C24">
        <w:t>s</w:t>
      </w:r>
      <w:r w:rsidRPr="00C66C24">
        <w:t xml:space="preserve">) from tankers. Another international instrument is </w:t>
      </w:r>
      <w:r w:rsidRPr="00C66C24">
        <w:rPr>
          <w:rFonts w:ascii="Calibri" w:eastAsia="Calibri" w:hAnsi="Calibri" w:cs="Calibri"/>
        </w:rPr>
        <w:t xml:space="preserve">the Geneva Convention on Long-Range Transboundary Air Pollution (LRTAP), signed in 1979 </w:t>
      </w:r>
      <w:r w:rsidR="00D94C06" w:rsidRPr="00C66C24">
        <w:rPr>
          <w:rFonts w:ascii="Calibri" w:eastAsia="Calibri" w:hAnsi="Calibri" w:cs="Calibri"/>
        </w:rPr>
        <w:t xml:space="preserve">that </w:t>
      </w:r>
      <w:r w:rsidRPr="00C66C24">
        <w:rPr>
          <w:rFonts w:ascii="Calibri" w:eastAsia="Calibri" w:hAnsi="Calibri" w:cs="Calibri"/>
        </w:rPr>
        <w:t xml:space="preserve">entered into force in 1983, now more commonly referred to as the ‘Air Convention’ that proposes a system for governments to cooperate and work together for the protection of health and the environment from air pollution that affects different countries </w:t>
      </w:r>
      <w:r w:rsidRPr="00C66C24">
        <w:rPr>
          <w:rFonts w:ascii="Calibri" w:eastAsia="Calibri" w:hAnsi="Calibri" w:cs="Calibri"/>
        </w:rPr>
        <w:fldChar w:fldCharType="begin"/>
      </w:r>
      <w:r w:rsidRPr="00C66C24">
        <w:rPr>
          <w:rFonts w:ascii="Calibri" w:eastAsia="Calibri" w:hAnsi="Calibri" w:cs="Calibri"/>
        </w:rPr>
        <w:instrText xml:space="preserve"> ADDIN ZOTERO_ITEM CSL_CITATION {"citationID":"V7W2fNqj","properties":{"formattedCitation":"(EC, 1981)","plainCitation":"(EC, 1981)","dontUpdate":true,"noteIndex":0},"citationItems":[{"id":52153,"uris":["http://zotero.org/groups/122386/items/ULHASS5R"],"itemData":{"id":52153,"type":"document","publisher":"Council of the European Union","title":"Convention on long-range transboundary air pollution - Resolution on long-range transboundary air pollution","URL":"https://eur-lex.europa.eu/legal-content/EN/TXT/?uri=CELEX%3A21979A1113%2801%29","author":[{"literal":"EU"}],"issued":{"date-parts":[["1981"]]}}}],"schema":"https://github.com/citation-style-language/schema/raw/master/csl-citation.json"} </w:instrText>
      </w:r>
      <w:r w:rsidRPr="00C66C24">
        <w:rPr>
          <w:rFonts w:ascii="Calibri" w:eastAsia="Calibri" w:hAnsi="Calibri" w:cs="Calibri"/>
        </w:rPr>
        <w:fldChar w:fldCharType="separate"/>
      </w:r>
      <w:r w:rsidRPr="00C66C24">
        <w:rPr>
          <w:rFonts w:ascii="Calibri" w:hAnsi="Calibri" w:cs="Calibri"/>
        </w:rPr>
        <w:t>(EU, 1981)</w:t>
      </w:r>
      <w:r w:rsidRPr="00C66C24">
        <w:rPr>
          <w:rFonts w:ascii="Calibri" w:eastAsia="Calibri" w:hAnsi="Calibri" w:cs="Calibri"/>
        </w:rPr>
        <w:fldChar w:fldCharType="end"/>
      </w:r>
      <w:r w:rsidRPr="00C66C24">
        <w:rPr>
          <w:rFonts w:ascii="Calibri" w:eastAsia="Calibri" w:hAnsi="Calibri" w:cs="Calibri"/>
        </w:rPr>
        <w:t>. It includes 8 separate protocols, covering a range of pollutants such as SOx, NOx, VOCs, heavy metals, persistent organic pollutants (POPs) and NH</w:t>
      </w:r>
      <w:r w:rsidRPr="00C66C24">
        <w:rPr>
          <w:rFonts w:ascii="Calibri" w:eastAsia="Calibri" w:hAnsi="Calibri" w:cs="Calibri"/>
          <w:vertAlign w:val="subscript"/>
        </w:rPr>
        <w:t>3</w:t>
      </w:r>
      <w:r w:rsidRPr="00C66C24">
        <w:rPr>
          <w:rFonts w:ascii="Calibri" w:eastAsia="Calibri" w:hAnsi="Calibri" w:cs="Calibri"/>
        </w:rPr>
        <w:t>.</w:t>
      </w:r>
    </w:p>
    <w:p w14:paraId="0BF63C77" w14:textId="77777777" w:rsidR="0066097B" w:rsidRPr="00C66C24" w:rsidRDefault="0066097B" w:rsidP="0066097B">
      <w:pPr>
        <w:spacing w:before="0" w:after="0" w:line="259" w:lineRule="auto"/>
      </w:pPr>
    </w:p>
    <w:p w14:paraId="007A5E14" w14:textId="77777777" w:rsidR="0066097B" w:rsidRPr="00C66C24" w:rsidRDefault="0066097B" w:rsidP="0066097B">
      <w:pPr>
        <w:spacing w:before="0" w:after="0" w:line="259" w:lineRule="auto"/>
        <w:rPr>
          <w:i/>
          <w:iCs w:val="0"/>
        </w:rPr>
      </w:pPr>
      <w:r w:rsidRPr="00C66C24">
        <w:rPr>
          <w:i/>
          <w:iCs w:val="0"/>
        </w:rPr>
        <w:t>Emission Control Areas (ECAs)</w:t>
      </w:r>
    </w:p>
    <w:p w14:paraId="4F57247A" w14:textId="6A58A367" w:rsidR="0066097B" w:rsidRPr="00C66C24" w:rsidRDefault="0066097B" w:rsidP="0066097B">
      <w:pPr>
        <w:spacing w:before="0" w:after="0" w:line="259" w:lineRule="auto"/>
      </w:pPr>
      <w:r w:rsidRPr="00C66C24">
        <w:t xml:space="preserve">Emission Control Areas, as defined under MARPOL Annex VI, further restrict SOx and NOx emissions in specific sea areas. There are currently two such areas in EU seas, the Baltic Sea and the North Sea (including the English Channel). The positive effect of the introduction of the SECA in the Baltic and North Sea regions can be already seen and are presented in the </w:t>
      </w:r>
      <w:r w:rsidR="002468E3" w:rsidRPr="00C66C24">
        <w:t xml:space="preserve">chapter 3 (page </w:t>
      </w:r>
      <w:r w:rsidR="002468E3" w:rsidRPr="00C66C24">
        <w:fldChar w:fldCharType="begin"/>
      </w:r>
      <w:r w:rsidR="002468E3" w:rsidRPr="00C66C24">
        <w:instrText xml:space="preserve"> PAGEREF _Ref157520556 \h </w:instrText>
      </w:r>
      <w:r w:rsidR="002468E3" w:rsidRPr="00C66C24">
        <w:fldChar w:fldCharType="separate"/>
      </w:r>
      <w:r w:rsidR="002468E3" w:rsidRPr="00C66C24">
        <w:rPr>
          <w:noProof/>
        </w:rPr>
        <w:t>25</w:t>
      </w:r>
      <w:r w:rsidR="002468E3" w:rsidRPr="00C66C24">
        <w:fldChar w:fldCharType="end"/>
      </w:r>
      <w:r w:rsidR="002468E3" w:rsidRPr="00C66C24">
        <w:t>).</w:t>
      </w:r>
    </w:p>
    <w:p w14:paraId="5D1F4059" w14:textId="77777777" w:rsidR="0066097B" w:rsidRPr="00C66C24" w:rsidRDefault="0066097B" w:rsidP="0066097B">
      <w:pPr>
        <w:keepNext/>
        <w:spacing w:before="0" w:after="0" w:line="259" w:lineRule="auto"/>
        <w:jc w:val="center"/>
      </w:pPr>
      <w:r w:rsidRPr="00C66C24">
        <w:rPr>
          <w:noProof/>
        </w:rPr>
        <w:drawing>
          <wp:inline distT="0" distB="0" distL="0" distR="0" wp14:anchorId="3EE0660F" wp14:editId="49CB1A35">
            <wp:extent cx="4969458" cy="2952750"/>
            <wp:effectExtent l="0" t="0" r="3175" b="0"/>
            <wp:docPr id="3" name="Picture 3" descr="Emission control areas gr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rotWithShape="1">
                    <a:blip r:embed="rId226">
                      <a:extLst>
                        <a:ext uri="{28A0092B-C50C-407E-A947-70E740481C1C}">
                          <a14:useLocalDpi xmlns:a14="http://schemas.microsoft.com/office/drawing/2010/main" val="0"/>
                        </a:ext>
                      </a:extLst>
                    </a:blip>
                    <a:srcRect l="4549" r="4718"/>
                    <a:stretch/>
                  </pic:blipFill>
                  <pic:spPr bwMode="auto">
                    <a:xfrm>
                      <a:off x="0" y="0"/>
                      <a:ext cx="4978296" cy="2958001"/>
                    </a:xfrm>
                    <a:prstGeom prst="rect">
                      <a:avLst/>
                    </a:prstGeom>
                    <a:ln>
                      <a:noFill/>
                    </a:ln>
                    <a:extLst>
                      <a:ext uri="{53640926-AAD7-44D8-BBD7-CCE9431645EC}">
                        <a14:shadowObscured xmlns:a14="http://schemas.microsoft.com/office/drawing/2010/main"/>
                      </a:ext>
                    </a:extLst>
                  </pic:spPr>
                </pic:pic>
              </a:graphicData>
            </a:graphic>
          </wp:inline>
        </w:drawing>
      </w:r>
    </w:p>
    <w:p w14:paraId="12F482FB" w14:textId="53213418" w:rsidR="0066097B" w:rsidRPr="00C66C24" w:rsidRDefault="0066097B" w:rsidP="0066097B">
      <w:pPr>
        <w:pStyle w:val="Caption"/>
        <w:spacing w:after="0" w:line="259" w:lineRule="auto"/>
        <w:jc w:val="center"/>
        <w:rPr>
          <w:sz w:val="20"/>
          <w:szCs w:val="20"/>
        </w:rPr>
      </w:pPr>
      <w:bookmarkStart w:id="273" w:name="Map_21"/>
      <w:r w:rsidRPr="00C66C24">
        <w:rPr>
          <w:sz w:val="20"/>
          <w:szCs w:val="20"/>
        </w:rPr>
        <w:t xml:space="preserve">Map </w:t>
      </w:r>
      <w:r w:rsidRPr="00C66C24">
        <w:rPr>
          <w:sz w:val="20"/>
          <w:szCs w:val="20"/>
        </w:rPr>
        <w:fldChar w:fldCharType="begin"/>
      </w:r>
      <w:r w:rsidRPr="00C66C24">
        <w:rPr>
          <w:sz w:val="20"/>
          <w:szCs w:val="20"/>
        </w:rPr>
        <w:instrText xml:space="preserve"> STYLEREF 1 \s </w:instrText>
      </w:r>
      <w:r w:rsidRPr="00C66C24">
        <w:rPr>
          <w:sz w:val="20"/>
          <w:szCs w:val="20"/>
        </w:rPr>
        <w:fldChar w:fldCharType="separate"/>
      </w:r>
      <w:r w:rsidR="00E76F67" w:rsidRPr="00C66C24">
        <w:rPr>
          <w:noProof/>
          <w:sz w:val="20"/>
          <w:szCs w:val="20"/>
        </w:rPr>
        <w:t>0</w:t>
      </w:r>
      <w:r w:rsidRPr="00C66C24">
        <w:rPr>
          <w:sz w:val="20"/>
          <w:szCs w:val="20"/>
        </w:rPr>
        <w:fldChar w:fldCharType="end"/>
      </w:r>
      <w:r w:rsidRPr="00C66C24">
        <w:rPr>
          <w:sz w:val="20"/>
          <w:szCs w:val="20"/>
        </w:rPr>
        <w:t>.</w:t>
      </w:r>
      <w:r w:rsidRPr="00C66C24">
        <w:rPr>
          <w:sz w:val="20"/>
          <w:szCs w:val="20"/>
        </w:rPr>
        <w:fldChar w:fldCharType="begin"/>
      </w:r>
      <w:r w:rsidRPr="00C66C24">
        <w:rPr>
          <w:sz w:val="20"/>
          <w:szCs w:val="20"/>
        </w:rPr>
        <w:instrText xml:space="preserve"> SEQ Map \* ARABIC \s 1 </w:instrText>
      </w:r>
      <w:r w:rsidRPr="00C66C24">
        <w:rPr>
          <w:sz w:val="20"/>
          <w:szCs w:val="20"/>
        </w:rPr>
        <w:fldChar w:fldCharType="separate"/>
      </w:r>
      <w:r w:rsidRPr="00C66C24">
        <w:rPr>
          <w:noProof/>
          <w:sz w:val="20"/>
          <w:szCs w:val="20"/>
        </w:rPr>
        <w:t>1</w:t>
      </w:r>
      <w:r w:rsidRPr="00C66C24">
        <w:rPr>
          <w:sz w:val="20"/>
          <w:szCs w:val="20"/>
        </w:rPr>
        <w:fldChar w:fldCharType="end"/>
      </w:r>
      <w:bookmarkEnd w:id="273"/>
      <w:r w:rsidRPr="00C66C24">
        <w:rPr>
          <w:sz w:val="20"/>
          <w:szCs w:val="20"/>
        </w:rPr>
        <w:t xml:space="preserve"> Proposed and existing SOx and NOx emission control areas (ECAs: SECAs and NECAs, respectively).</w:t>
      </w:r>
    </w:p>
    <w:p w14:paraId="49519932" w14:textId="77777777" w:rsidR="0066097B" w:rsidRPr="00C66C24" w:rsidRDefault="0066097B" w:rsidP="0066097B">
      <w:pPr>
        <w:spacing w:before="0" w:after="120" w:line="259" w:lineRule="auto"/>
        <w:jc w:val="center"/>
        <w:rPr>
          <w:sz w:val="20"/>
          <w:szCs w:val="20"/>
        </w:rPr>
      </w:pPr>
      <w:r w:rsidRPr="00C66C24">
        <w:rPr>
          <w:sz w:val="20"/>
          <w:szCs w:val="20"/>
        </w:rPr>
        <w:t>Source: Image courtesy of Clean Arctic Alliance.</w:t>
      </w:r>
    </w:p>
    <w:p w14:paraId="2893A8A4" w14:textId="25F6A5F2" w:rsidR="003951E9" w:rsidRPr="00C66C24" w:rsidRDefault="003951E9" w:rsidP="003951E9">
      <w:pPr>
        <w:spacing w:before="0" w:after="0" w:line="259" w:lineRule="auto"/>
      </w:pPr>
      <w:r w:rsidRPr="00C66C24">
        <w:t>From 1</w:t>
      </w:r>
      <w:r w:rsidRPr="00C66C24">
        <w:rPr>
          <w:vertAlign w:val="superscript"/>
        </w:rPr>
        <w:t xml:space="preserve"> </w:t>
      </w:r>
      <w:r w:rsidRPr="00C66C24">
        <w:t xml:space="preserve">May 2025, the Mediterranean Sea will also become an ECA for SOx (resolution MEPC.361(79)) </w:t>
      </w:r>
      <w:r w:rsidRPr="00C66C24">
        <w:fldChar w:fldCharType="begin"/>
      </w:r>
      <w:r w:rsidR="001855E3" w:rsidRPr="00C66C24">
        <w:instrText xml:space="preserve"> ADDIN ZOTERO_ITEM CSL_CITATION {"citationID":"NwrZOQRM","properties":{"formattedCitation":"(IMO, 2022c)","plainCitation":"(IMO, 2022c)","noteIndex":0},"citationItems":[{"id":35274,"uris":["http://zotero.org/groups/122386/items/TYJ3NGTU"],"itemData":{"id":35274,"type":"document","publisher":"International Maritime Organization","title":"Resolution MEPC.361(79) 'Mediterranean Sea Emission Control Area for Sulphur Oxides and Particulate Matter'","URL":"https://wwwcdn.imo.org/localresources/en/OurWork/Environment/Documents/annex/resolution%20MEPC%20361(79).pdf","author":[{"family":"IMO","given":""}],"issued":{"date-parts":[["2022"]]}}}],"schema":"https://github.com/citation-style-language/schema/raw/master/csl-citation.json"} </w:instrText>
      </w:r>
      <w:r w:rsidRPr="00C66C24">
        <w:fldChar w:fldCharType="separate"/>
      </w:r>
      <w:r w:rsidR="001855E3" w:rsidRPr="00C66C24">
        <w:rPr>
          <w:rFonts w:ascii="Calibri" w:hAnsi="Calibri" w:cs="Calibri"/>
        </w:rPr>
        <w:t>(IMO, 2022c)</w:t>
      </w:r>
      <w:r w:rsidRPr="00C66C24">
        <w:fldChar w:fldCharType="end"/>
      </w:r>
      <w:r w:rsidRPr="00C66C24">
        <w:t xml:space="preserve"> (</w:t>
      </w:r>
      <w:r w:rsidRPr="00C66C24">
        <w:fldChar w:fldCharType="begin"/>
      </w:r>
      <w:r w:rsidRPr="00C66C24">
        <w:instrText xml:space="preserve"> REF Map_21 \h  \* MERGEFORMAT </w:instrText>
      </w:r>
      <w:r w:rsidRPr="00C66C24">
        <w:fldChar w:fldCharType="separate"/>
      </w:r>
      <w:r w:rsidRPr="00C66C24">
        <w:t>Map 0.1</w:t>
      </w:r>
      <w:r w:rsidRPr="00C66C24">
        <w:fldChar w:fldCharType="end"/>
      </w:r>
      <w:r w:rsidRPr="00C66C24">
        <w:t>). The Mediterranean Sea is estimated to be navigated by more than 30</w:t>
      </w:r>
      <w:r w:rsidR="00FA238F" w:rsidRPr="00C66C24">
        <w:t>,</w:t>
      </w:r>
      <w:r w:rsidRPr="00C66C24">
        <w:t xml:space="preserve">000 vessels each year, it supports 20% of the seaborne trade and statistics estimate that in 2019, 24% of the global fleet and more than 17% of the worldwide cruises regularly passed through this basin </w:t>
      </w:r>
      <w:r w:rsidR="0066097B" w:rsidRPr="00C66C24">
        <w:fldChar w:fldCharType="begin"/>
      </w:r>
      <w:r w:rsidR="0066097B" w:rsidRPr="00C66C24">
        <w:instrText xml:space="preserve"> ADDIN ZOTERO_ITEM CSL_CITATION {"citationID":"wDG20hMp","properties":{"formattedCitation":"(Leone, G., 2021)","plainCitation":"(Leone, G., 2021)","dontUpdate":true,"noteIndex":0},"citationItems":[{"id":52172,"uris":["http://zotero.org/groups/122386/items/VQ2YX5A9"],"itemData":{"id":52172,"type":"webpage","abstract":"This event, organized within the framework of the Geneva Environment Network, presented environmental and developmental challenges faced by the Mediterranean region. In the run-up to the 22nd meeting of the Conference of the Parties to the Convention for the Protection...","language":"en-US","title":"Making Peace With Nature and Delivering on the SDGs in the Mediterranean","title-short":"Proposal for an Emission Control Area for SOx in the Mediterranean under the Barcelona Convention | Gaetano LEONE","URL":"https://www.genevaenvironmentnetwork.org/events/making-peace-with-nature-and-delivering-on-the-sdgs-in-the-mediterranean/","author":[{"family":"Leone, G.","given":""}],"accessed":{"date-parts":[["2023",10,19]]},"issued":{"date-parts":[["2021"]]}}}],"schema":"https://github.com/citation-style-language/schema/raw/master/csl-citation.json"} </w:instrText>
      </w:r>
      <w:r w:rsidR="0066097B" w:rsidRPr="00C66C24">
        <w:fldChar w:fldCharType="separate"/>
      </w:r>
      <w:r w:rsidR="0066097B" w:rsidRPr="00C66C24">
        <w:rPr>
          <w:rFonts w:ascii="Calibri" w:hAnsi="Calibri" w:cs="Calibri"/>
        </w:rPr>
        <w:t>(Leone, 2021)</w:t>
      </w:r>
      <w:r w:rsidR="0066097B" w:rsidRPr="00C66C24">
        <w:fldChar w:fldCharType="end"/>
      </w:r>
      <w:r w:rsidRPr="00C66C24">
        <w:t xml:space="preserve">. The implementation of the Mediterranean SECA in this region aims to reduce the impacts </w:t>
      </w:r>
      <w:r w:rsidR="000044F6" w:rsidRPr="00C66C24">
        <w:t>of</w:t>
      </w:r>
      <w:r w:rsidRPr="00C66C24">
        <w:t xml:space="preserve"> th</w:t>
      </w:r>
      <w:r w:rsidR="006D627C" w:rsidRPr="00C66C24">
        <w:t>ese</w:t>
      </w:r>
      <w:r w:rsidRPr="00C66C24">
        <w:t xml:space="preserve"> busy high traffic density routes and mitigate the health and environmental issues related to air pollution. Furthermore, the signatories of the Barcelona Convention agreed to assess and discuss the possible technical and economic feasibility of an ECA for NOx in the next two years. </w:t>
      </w:r>
    </w:p>
    <w:p w14:paraId="43B97052" w14:textId="77777777" w:rsidR="0066097B" w:rsidRPr="00C66C24" w:rsidRDefault="0066097B" w:rsidP="0066097B">
      <w:pPr>
        <w:spacing w:before="0" w:after="0" w:line="259" w:lineRule="auto"/>
        <w:rPr>
          <w:u w:val="single"/>
        </w:rPr>
      </w:pPr>
    </w:p>
    <w:p w14:paraId="3C16E456" w14:textId="77777777" w:rsidR="0066097B" w:rsidRPr="00C66C24" w:rsidRDefault="0066097B" w:rsidP="0066097B">
      <w:pPr>
        <w:spacing w:before="0" w:after="0" w:line="259" w:lineRule="auto"/>
        <w:rPr>
          <w:i/>
          <w:iCs w:val="0"/>
        </w:rPr>
      </w:pPr>
      <w:bookmarkStart w:id="274" w:name="_Hlk155344958"/>
      <w:r w:rsidRPr="00C66C24">
        <w:rPr>
          <w:i/>
          <w:iCs w:val="0"/>
        </w:rPr>
        <w:t>Sulphur Oxides (SOx)</w:t>
      </w:r>
    </w:p>
    <w:p w14:paraId="55429C52" w14:textId="468E5B7C" w:rsidR="0066097B" w:rsidRPr="00C66C24" w:rsidRDefault="003951E9"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In 2020 the IMO established the “global sulphur cap” (resolution MEPC.305(73)) (</w:t>
      </w:r>
      <w:r w:rsidR="0066097B" w:rsidRPr="00C66C24">
        <w:rPr>
          <w:rFonts w:ascii="Calibri" w:eastAsia="Calibri" w:hAnsi="Calibri" w:cs="Calibri"/>
          <w:color w:val="000000" w:themeColor="text1"/>
        </w:rPr>
        <w:fldChar w:fldCharType="begin"/>
      </w:r>
      <w:r w:rsidR="0066097B" w:rsidRPr="00C66C24">
        <w:rPr>
          <w:rFonts w:ascii="Calibri" w:eastAsia="Calibri" w:hAnsi="Calibri" w:cs="Calibri"/>
          <w:color w:val="000000" w:themeColor="text1"/>
        </w:rPr>
        <w:instrText xml:space="preserve"> ADDIN ZOTERO_ITEM CSL_CITATION {"citationID":"vuLD0PPI","properties":{"formattedCitation":"(IMO, 2018)","plainCitation":"(IMO, 2018)","dontUpdate":true,"noteIndex":0},"citationItems":[{"id":21756,"uris":["http://zotero.org/groups/122386/items/KIVD2AI8"],"itemData":{"id":21756,"type":"document","publisher":"International Maritime Organization","title":"Resolution MEPC.305(73). Amendments To The Annex Of The Protocol Of 1997 To Amend The International Convention For The Prevention Of Pollution From Ships, 1973, As Modified By The Protocol Of 1978 Relating Thereto Amendments to MARPOL Annex VI (Prohibition on the carriage of non-compliant fuel oil for combustion purposes for propulsion or operation on board a ship)","author":[{"family":"IMO","given":""}],"issued":{"date-parts":[["2018"]]}}}],"schema":"https://github.com/citation-style-language/schema/raw/master/csl-citation.json"} </w:instrText>
      </w:r>
      <w:r w:rsidR="0066097B" w:rsidRPr="00C66C24">
        <w:rPr>
          <w:rFonts w:ascii="Calibri" w:eastAsia="Calibri" w:hAnsi="Calibri" w:cs="Calibri"/>
          <w:color w:val="000000" w:themeColor="text1"/>
        </w:rPr>
        <w:fldChar w:fldCharType="separate"/>
      </w:r>
      <w:r w:rsidR="0066097B" w:rsidRPr="00C66C24">
        <w:rPr>
          <w:rFonts w:ascii="Calibri" w:hAnsi="Calibri" w:cs="Calibri"/>
        </w:rPr>
        <w:t>IMO, 2018</w:t>
      </w:r>
      <w:r w:rsidR="0066097B" w:rsidRPr="00C66C24">
        <w:rPr>
          <w:rFonts w:ascii="Calibri" w:eastAsia="Calibri" w:hAnsi="Calibri" w:cs="Calibri"/>
          <w:color w:val="000000" w:themeColor="text1"/>
        </w:rPr>
        <w:fldChar w:fldCharType="end"/>
      </w:r>
      <w:r w:rsidR="0066097B" w:rsidRPr="00C66C24">
        <w:rPr>
          <w:rFonts w:ascii="Calibri" w:eastAsia="Calibri" w:hAnsi="Calibri" w:cs="Calibri"/>
          <w:color w:val="000000" w:themeColor="text1"/>
        </w:rPr>
        <w:t>). This resolution limits the content of sulphur in the marine fuel to a maximum of 0.50% m/m for ships sailing in all sea areas (outside SECAs which have as limit 0.10% m/m) and prohibits the onboard carriage of marine fuels for combustion purposes, i.e. propulsion or operation on board a ship, that are non-compliant with the regulation</w:t>
      </w:r>
      <w:bookmarkEnd w:id="274"/>
      <w:r w:rsidRPr="00C66C24">
        <w:rPr>
          <w:rFonts w:ascii="Calibri" w:eastAsia="Calibri" w:hAnsi="Calibri" w:cs="Calibri"/>
          <w:color w:val="000000" w:themeColor="text1"/>
        </w:rPr>
        <w:t>.</w:t>
      </w:r>
      <w:r w:rsidR="0066097B" w:rsidRPr="00C66C24">
        <w:rPr>
          <w:rFonts w:ascii="Calibri" w:eastAsia="Calibri" w:hAnsi="Calibri" w:cs="Calibri"/>
          <w:color w:val="000000" w:themeColor="text1"/>
        </w:rPr>
        <w:t xml:space="preserve"> </w:t>
      </w:r>
    </w:p>
    <w:p w14:paraId="7773D0E6" w14:textId="77777777" w:rsidR="0066097B" w:rsidRPr="00C66C24" w:rsidRDefault="0066097B" w:rsidP="0066097B">
      <w:pPr>
        <w:spacing w:before="0" w:after="0" w:line="259" w:lineRule="auto"/>
      </w:pPr>
    </w:p>
    <w:p w14:paraId="312202F6" w14:textId="77777777" w:rsidR="0066097B" w:rsidRPr="00C66C24" w:rsidRDefault="0066097B" w:rsidP="0066097B">
      <w:pPr>
        <w:spacing w:before="0" w:after="0" w:line="259" w:lineRule="auto"/>
        <w:rPr>
          <w:i/>
          <w:iCs w:val="0"/>
        </w:rPr>
      </w:pPr>
      <w:r w:rsidRPr="00C66C24">
        <w:rPr>
          <w:i/>
          <w:iCs w:val="0"/>
        </w:rPr>
        <w:t>Nitrogen Oxides (NOx)</w:t>
      </w:r>
    </w:p>
    <w:p w14:paraId="00D87781" w14:textId="2D7BA56A"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NOx emissions in the maritime sector are regulated by IMO under Regulation 13 of MARPOL Annex VI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{"citationID":"T1e4AzUm","properties":{"formattedCitation":"(IMO, 2018)","plainCitation":"(IMO, 2018)","noteIndex":0},"citationItems":[{"id":21756,"uris":["http://zotero.org/groups/122386/items/KIVD2AI8"],"itemData":{"id":21756,"type":"document","publisher":"International Maritime Organization","title":"Resolution MEPC.305(73). Amendments To The Annex Of The Protocol Of 1997 To Amend The International Convention For The Prevention Of Pollution From Ships, 1973, As Modified By The Protocol Of 1978 Relating Thereto Amendments to MARPOL Annex VI (Prohibition on the carriage of non-compliant fuel oil for combustion purposes for propulsion or operation on board a ship)","author":[{"family":"IMO","given":""}],"issued":{"date-parts":[["2018"]]}}}],"schema":"https://github.com/citation-style-language/schema/raw/master/csl-citation.json"}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(IMO, 2018)</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More specifically, the regulation targets emissions from all Diesel engines with a power output exceeding 130 kW, installed on a ship either newly built or that underwent a major conversion on or after 1 January 2000.</w:t>
      </w:r>
      <w:r w:rsidR="00C75AB9" w:rsidRPr="00C66C24">
        <w:rPr>
          <w:rFonts w:ascii="Calibri" w:eastAsia="Calibri" w:hAnsi="Calibri" w:cs="Calibri"/>
          <w:color w:val="000000" w:themeColor="text1"/>
        </w:rPr>
        <w:t xml:space="preserve"> </w:t>
      </w:r>
      <w:r w:rsidR="003951E9" w:rsidRPr="00C66C24">
        <w:rPr>
          <w:rFonts w:ascii="Calibri" w:eastAsia="Calibri" w:hAnsi="Calibri" w:cs="Calibri"/>
          <w:color w:val="000000" w:themeColor="text1"/>
        </w:rPr>
        <w:t xml:space="preserve">Currently, the IMO approach foresees three different limits, namely Tier I, II and III. </w:t>
      </w:r>
      <w:r w:rsidR="003951E9" w:rsidRPr="00C66C24">
        <w:t>This three NOx Tiers</w:t>
      </w:r>
      <w:r w:rsidR="003951E9" w:rsidRPr="00C66C24">
        <w:rPr>
          <w:rFonts w:ascii="Calibri" w:eastAsia="Calibri" w:hAnsi="Calibri" w:cs="Calibri"/>
          <w:color w:val="000000" w:themeColor="text1"/>
        </w:rPr>
        <w:t xml:space="preserve"> dictate the specific maximum allowable NOx emissions for a marine engine, depending on ship’s keel laying date and</w:t>
      </w:r>
      <w:r w:rsidRPr="00C66C24">
        <w:rPr>
          <w:rFonts w:ascii="Calibri" w:eastAsia="Calibri" w:hAnsi="Calibri" w:cs="Calibri"/>
          <w:color w:val="000000" w:themeColor="text1"/>
        </w:rPr>
        <w:t xml:space="preserve"> sailing area (within an ECA or not), with Tier III being the most stringent. </w:t>
      </w:r>
    </w:p>
    <w:p w14:paraId="06BA643B" w14:textId="77777777" w:rsidR="0066097B" w:rsidRPr="00C66C24" w:rsidRDefault="0066097B" w:rsidP="0066097B">
      <w:pPr>
        <w:spacing w:before="0" w:after="0" w:line="259" w:lineRule="auto"/>
        <w:rPr>
          <w:rFonts w:ascii="Calibri" w:eastAsia="Calibri" w:hAnsi="Calibri" w:cs="Calibri"/>
          <w:color w:val="000000" w:themeColor="text1"/>
        </w:rPr>
      </w:pPr>
    </w:p>
    <w:p w14:paraId="37A3DB3D" w14:textId="77777777" w:rsidR="0066097B" w:rsidRPr="00C66C24" w:rsidRDefault="0066097B" w:rsidP="0066097B">
      <w:pPr>
        <w:spacing w:before="0" w:after="0" w:line="259" w:lineRule="auto"/>
        <w:rPr>
          <w:i/>
          <w:iCs w:val="0"/>
        </w:rPr>
      </w:pPr>
      <w:r w:rsidRPr="00C66C24">
        <w:rPr>
          <w:i/>
          <w:iCs w:val="0"/>
        </w:rPr>
        <w:t>Particulate Matter (PM)</w:t>
      </w:r>
    </w:p>
    <w:p w14:paraId="241E88A8" w14:textId="7B85A759"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color w:val="000000" w:themeColor="text1"/>
        </w:rPr>
        <w:t xml:space="preserve">For the maritime sector, at international level, there </w:t>
      </w:r>
      <w:r w:rsidR="00B841FA" w:rsidRPr="00C66C24">
        <w:rPr>
          <w:rFonts w:ascii="Calibri" w:eastAsia="Calibri" w:hAnsi="Calibri" w:cs="Calibri"/>
          <w:color w:val="000000" w:themeColor="text1"/>
        </w:rPr>
        <w:t xml:space="preserve">is </w:t>
      </w:r>
      <w:r w:rsidRPr="00C66C24">
        <w:rPr>
          <w:rFonts w:ascii="Calibri" w:eastAsia="Calibri" w:hAnsi="Calibri" w:cs="Calibri"/>
          <w:color w:val="000000" w:themeColor="text1"/>
        </w:rPr>
        <w:t xml:space="preserve">no legislation targeting PM directly. Regulation 14 from MARPOL Annex VI, regarding the sulphur content of marine fuels and its emissions, indirectly targets PM - without limiting it or proposing a monitoring scheme – as it is one of the criteria used for the definition of SECAs. </w:t>
      </w:r>
    </w:p>
    <w:p w14:paraId="426D522C" w14:textId="0B6DC6C2" w:rsidR="0066097B" w:rsidRPr="00C66C24" w:rsidRDefault="0066097B" w:rsidP="0066097B">
      <w:pPr>
        <w:spacing w:before="0" w:after="0" w:line="259" w:lineRule="auto"/>
      </w:pPr>
      <w:r w:rsidRPr="00C66C24">
        <w:t xml:space="preserve">Literature shows that low sulphur fuels have lower emissions of PM. Also, EGCS can reduce PM emissions. Studies from </w:t>
      </w:r>
      <w:r w:rsidRPr="00C66C24">
        <w:fldChar w:fldCharType="begin"/>
      </w:r>
      <w:r w:rsidRPr="00C66C24">
        <w:instrText xml:space="preserve"> ADDIN ZOTERO_ITEM CSL_CITATION {"citationID":"LdOZUiEo","properties":{"formattedCitation":"(Lehtoranta et al., 2019)","plainCitation":"(Lehtoranta et al., 2019)","dontUpdate":true,"noteIndex":0},"citationItems":[{"id":523,"uris":["http://zotero.org/groups/122386/items/UH6VX2G5"],"itemData":{"id":523,"type":"article-journal","container-title":"Environmental Science &amp; Technology","DOI":"10.1021/acs.est.8b05555","ISSN":"0013-936X","issue":"6","journalAbbreviation":"Environ. Sci. Technol.","note":"publisher: American Chemical Society","page":"3315-3322","title":"Particulate mass and nonvolatile particle number emissions from marine engines using low-sulfur fuels, natural gas, or scrubbers","volume":"53","author":[{"family":"Lehtoranta","given":"Kati"},{"family":"Aakko-Saksa","given":"Päivi"},{"family":"Murtonen","given":"Timo"},{"family":"Vesala","given":"Hannu"},{"family":"Ntziachristos","given":"Leonidas"},{"family":"Rönkkö","given":"Topi"},{"family":"Karjalainen","given":"Panu"},{"family":"Kuittinen","given":"Niina"},{"family":"Timonen","given":"Hilkka"}],"issued":{"date-parts":[["2019",3,19]]}}}],"schema":"https://github.com/citation-style-language/schema/raw/master/csl-citation.json"} </w:instrText>
      </w:r>
      <w:r w:rsidRPr="00C66C24">
        <w:fldChar w:fldCharType="separate"/>
      </w:r>
      <w:proofErr w:type="spellStart"/>
      <w:r w:rsidRPr="00C66C24">
        <w:rPr>
          <w:rFonts w:ascii="Calibri" w:hAnsi="Calibri" w:cs="Calibri"/>
        </w:rPr>
        <w:t>Lehtoranta</w:t>
      </w:r>
      <w:proofErr w:type="spellEnd"/>
      <w:r w:rsidRPr="00C66C24">
        <w:rPr>
          <w:rFonts w:ascii="Calibri" w:hAnsi="Calibri" w:cs="Calibri"/>
        </w:rPr>
        <w:t xml:space="preserve"> et al. (2019)</w:t>
      </w:r>
      <w:r w:rsidRPr="00C66C24">
        <w:fldChar w:fldCharType="end"/>
      </w:r>
      <w:r w:rsidRPr="00C66C24">
        <w:t xml:space="preserve"> and </w:t>
      </w:r>
      <w:r w:rsidRPr="00C66C24">
        <w:fldChar w:fldCharType="begin"/>
      </w:r>
      <w:r w:rsidRPr="00C66C24">
        <w:instrText xml:space="preserve"> ADDIN ZOTERO_ITEM CSL_CITATION {"citationID":"j7fdbRAT","properties":{"formattedCitation":"(Zetterdahl et al., 2016)","plainCitation":"(Zetterdahl et al., 2016)","dontUpdate":true,"noteIndex":0},"citationItems":[{"id":520,"uris":["http://zotero.org/groups/122386/items/ZG2F6UI2"],"itemData":{"id":520,"type":"article-journal","abstract":"Emissions were measured on-board a ship in the Baltic Sea, which is a sulfur emission control area (SECA), before and after the implementation of the strict fuel sulfur content (FSC) limit of 0.1 m/m% S on the 1st of January 2015. Prior to January 2015, the ship used a heavy fuel oil (HFO) but switched to a low-sulfur residual marine fuel oil (RMB30) after the implementation of the new FSC limit. The emitted particulate matter (PM) was measured in terms of mass, number, size distribution, volatility, elemental composition, content of organics, black and elemental carbon, polycyclic aromatic hydrocarbons (PAHs), microstructure and micro-composition, along with the gaseous emissions at different operating conditions. The fuel change reduced emissions of PM mass up to 67%. The number of particles emitted remained unchanged and were dominated by nanoparticles. Furthermore, the fuel change resulted in an 80% reduction of SO2 emissions and decreased emissions of total volatile organic compounds (VOCs). The emissions of both monoaromatic and lighter polyaromatic hydrocarbon compounds increased with RMB30, while the heavy, PM-bound PAH species that belong to the carcinogenic PAH family were reduced. Emissions of BC remained similar between the two fuels. This study indicates that the use of low-sulfur residual marine fuel oil is a way to comply with the new FSC regulation and will reduce the anthropogenic load of SO2 emissions and secondary PM formed from SO2. Emissions of primary particles, however, remain unchanged and do not decrease as much as would be expected if distilled fuel was used. This applies both to the number of particles emitted and some toxic components, such as heavy metals, PAHs or elemental carbon (EC). The micro-composition analyses showed that the soot particles emitted from RMB30 combustion often do not have any trace of sulfur compared with particles from HFO combustion, which always have a sulfur content over 1%m/m. The soot sulfur content can impact aging and cloud condensation properties. This study is an in-depth comparison of the impact of these two fuels on the emissions of particles as well as their composition and microstructure. To evaluate the impact of the use of low-sulfur residual marine fuel oils on emissions from ships, additional research is needed to investigate the varied fuel types and compositions as well as the wide range of engine conditions and properties.","container-title":"Atmospheric Environment","DOI":"10.1016/j.atmosenv.2016.09.022","ISSN":"1352-2310","journalAbbreviation":"Atmospheric Environment","page":"338-345","title":"Impact of the 0.1% fuel sulfur content limit in SECA on particle and gaseous emissions from marine vessels","volume":"145","author":[{"family":"Zetterdahl","given":"Maria"},{"family":"Moldanová","given":"Jana"},{"family":"Pei","given":"Xiangyu"},{"family":"Pathak","given":"Ravi Kant"},{"family":"Demirdjian","given":"Benjamin"}],"issued":{"date-parts":[["2016",11,1]]}}}],"schema":"https://github.com/citation-style-language/schema/raw/master/csl-citation.json"} </w:instrText>
      </w:r>
      <w:r w:rsidRPr="00C66C24">
        <w:fldChar w:fldCharType="separate"/>
      </w:r>
      <w:proofErr w:type="spellStart"/>
      <w:r w:rsidRPr="00C66C24">
        <w:rPr>
          <w:rFonts w:ascii="Calibri" w:hAnsi="Calibri" w:cs="Calibri"/>
        </w:rPr>
        <w:t>Zetterdahl</w:t>
      </w:r>
      <w:proofErr w:type="spellEnd"/>
      <w:r w:rsidRPr="00C66C24">
        <w:rPr>
          <w:rFonts w:ascii="Calibri" w:hAnsi="Calibri" w:cs="Calibri"/>
        </w:rPr>
        <w:t xml:space="preserve"> et al. (2016)</w:t>
      </w:r>
      <w:r w:rsidRPr="00C66C24">
        <w:fldChar w:fldCharType="end"/>
      </w:r>
      <w:r w:rsidRPr="00C66C24">
        <w:t>, showed that by switching the marine fuel from high sulphur Heavy Fuel Oil (HFO) to a low sulphur distillate fuel there is a reduction of both the PM mass (by up to 67%) and average particle size. Although particulate mass is reduced, the number of particles emitted, their dimension and their effect on human health and in the environment</w:t>
      </w:r>
      <w:r w:rsidR="00954994" w:rsidRPr="00C66C24">
        <w:t>,</w:t>
      </w:r>
      <w:r w:rsidRPr="00C66C24">
        <w:t xml:space="preserve"> still need to be addressed. This effect can already be observed in existing SECAs and is analysed in chapter</w:t>
      </w:r>
      <w:r w:rsidR="00954994" w:rsidRPr="00C66C24">
        <w:t xml:space="preserve"> 3</w:t>
      </w:r>
      <w:r w:rsidR="00027685" w:rsidRPr="00C66C24">
        <w:t xml:space="preserve"> under </w:t>
      </w:r>
      <w:r w:rsidR="00027685" w:rsidRPr="00C66C24">
        <w:fldChar w:fldCharType="begin"/>
      </w:r>
      <w:r w:rsidR="00027685" w:rsidRPr="00C66C24">
        <w:instrText xml:space="preserve"> REF _Ref157524103 \h </w:instrText>
      </w:r>
      <w:r w:rsidR="00027685" w:rsidRPr="00C66C24">
        <w:fldChar w:fldCharType="separate"/>
      </w:r>
      <w:r w:rsidR="00027685" w:rsidRPr="00C66C24">
        <w:t>Discharge waters and contaminants</w:t>
      </w:r>
      <w:r w:rsidR="00027685" w:rsidRPr="00C66C24">
        <w:fldChar w:fldCharType="end"/>
      </w:r>
      <w:r w:rsidRPr="00C66C24">
        <w:t>.</w:t>
      </w:r>
    </w:p>
    <w:p w14:paraId="76F64436" w14:textId="77777777" w:rsidR="0066097B" w:rsidRPr="00C66C24" w:rsidRDefault="0066097B" w:rsidP="0066097B">
      <w:pPr>
        <w:spacing w:before="0" w:after="0" w:line="259" w:lineRule="auto"/>
        <w:rPr>
          <w:u w:val="single"/>
        </w:rPr>
      </w:pPr>
    </w:p>
    <w:p w14:paraId="60A3D0D7" w14:textId="77777777" w:rsidR="0066097B" w:rsidRPr="00C66C24" w:rsidRDefault="0066097B" w:rsidP="0066097B">
      <w:pPr>
        <w:spacing w:before="0" w:after="0" w:line="259" w:lineRule="auto"/>
        <w:rPr>
          <w:i/>
          <w:iCs w:val="0"/>
        </w:rPr>
      </w:pPr>
      <w:r w:rsidRPr="00C66C24">
        <w:rPr>
          <w:i/>
          <w:iCs w:val="0"/>
        </w:rPr>
        <w:t>Black Carbon (BC)</w:t>
      </w:r>
    </w:p>
    <w:p w14:paraId="078FA073" w14:textId="31CF10DF"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Currently, black carbon emissions are not directly regulated at international level. However, both the Arctic Council and the IMO are actively considering the impacts of BC in the Arctic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{"citationID":"ahHg2zGe","properties":{"formattedCitation":"(AMAP, 2021)","plainCitation":"(AMAP, 2021)","noteIndex":0},"citationItems":[{"id":51988,"uris":["http://zotero.org/groups/122386/items/HAJTBIN3"],"itemData":{"id":51988,"type":"report","title":"Arctic Climate Change Update 2021: Key Trends and Impacts. Summary for Policy-makers","title-short":"Arctic Climate Change Update 2021","URL":"https://www.amap.no/documents/doc/arctic-climate-change-update-2021-key-trends-and-impacts.-summary-for-policy-makers/3508","author":[{"literal":"AMAP"}],"issued":{"date-parts":[["2021"]]}}}],"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(AMAP, 2021)</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The climate change effects of </w:t>
      </w:r>
      <w:r w:rsidR="00A65385" w:rsidRPr="00C66C24">
        <w:rPr>
          <w:rFonts w:ascii="Calibri" w:eastAsia="Calibri" w:hAnsi="Calibri" w:cs="Calibri"/>
          <w:color w:val="000000" w:themeColor="text1"/>
        </w:rPr>
        <w:t>BC</w:t>
      </w:r>
      <w:r w:rsidRPr="00C66C24">
        <w:rPr>
          <w:rFonts w:ascii="Calibri" w:eastAsia="Calibri" w:hAnsi="Calibri" w:cs="Calibri"/>
          <w:color w:val="000000" w:themeColor="text1"/>
        </w:rPr>
        <w:t xml:space="preserve"> emissions from shipping are increasingly understood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{"citationID":"a2k1g3i9n3d","properties":{"formattedCitation":"(Commer et al., 2015; IMO, 2020a)","plainCitation":"(Commer et al., 2015; IMO, 2020a)","dontUpdate":true,"noteIndex":0},"citationItems":[{"id":21841,"uris":["http://zotero.org/groups/122386/items/QCVKUYXF"],"itemData":{"id":21841,"type":"report","event-place":"USA","page":"103","publisher":"International Council of Clean Transportation","publisher-place":"USA","title":"Black Carbon emissions and fuel use in shipping, 2015","URL":"https://theicct.org/wp-content/uploads/2021/06/Global-Marine-BC-Inventory-2015_ICCT-Report_15122017_vF.pdf","author":[{"family":"Commer","given":"Brian"},{"family":"Olmer","given":"Naya"},{"family":"Mao","given":"Xiaoli"},{"family":"Roy","given":"Biswajoy"},{"family":"Rutherford","given":"Dan"}],"issued":{"date-parts":[["2015"]]}}},{"id":1068,"uris":["http://zotero.org/groups/122386/items/HJNG5DQJ"],"itemData":{"id":1068,"type":"report","event-place":"London, UK","publisher":"International Maritime Organization","publisher-place":"London, UK","title":"Fourth IMO greenhouse gas study","URL":"https://wwwcdn.imo.org/localresources/en/OurWork/Environment/Documents/Fourth%20IMO%20GHG%20Study%202020%20-%20Full%20report%20and%20annexes.pdf","author":[{"literal":"IMO"}],"accessed":{"date-parts":[["2020",12,20]]},"issued":{"date-parts":[["2020"]]}}}],"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(Comer et al., 2015; IMO, 2020a)</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w:t>
      </w:r>
    </w:p>
    <w:p w14:paraId="2C0B152D" w14:textId="3C0EA4A5"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The Sub-Committee on Prevention of Air Pollution from Ships has been instructing and guiding the work at IMO, by revising existing data on measurement methods, drafting recommendatory goal-based control measures, identify ways to apply thresholds values for black carbon and research on the marine fuels to further consider direct control measures</w:t>
      </w:r>
      <w:r w:rsidR="003F4083">
        <w:rPr>
          <w:rFonts w:ascii="Calibri" w:eastAsia="Calibri" w:hAnsi="Calibri" w:cs="Calibri"/>
          <w:color w:val="000000" w:themeColor="text1"/>
        </w:rPr>
        <w:t>)</w:t>
      </w:r>
      <w:r w:rsidRPr="0007382B">
        <w:rPr>
          <w:rFonts w:ascii="Calibri" w:eastAsia="Calibri" w:hAnsi="Calibri" w:cs="Calibri"/>
          <w:color w:val="000000" w:themeColor="text1"/>
        </w:rPr>
        <w:t>.</w:t>
      </w:r>
      <w:r w:rsidRPr="00C66C24">
        <w:rPr>
          <w:rFonts w:ascii="Calibri" w:eastAsia="Calibri" w:hAnsi="Calibri" w:cs="Calibri"/>
          <w:color w:val="000000" w:themeColor="text1"/>
        </w:rPr>
        <w:t xml:space="preserve"> From July 2024, the carriage and use of heavy fuel oil by ships in the Arctic was banned since HFO is considered to be the main source of black carbon emissions as well as it is a persistent oil which is extremely difficult to clean in the event of a spill, with the potential to get trapped in and under Arctic Sea ice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{"citationID":"pqLkECJl","properties":{"formattedCitation":"(IMO, 2021b)","plainCitation":"(IMO, 2021b)","noteIndex":0},"citationItems":[{"id":59395,"uris":["http://zotero.org/groups/122386/items/FQ6SG3EQ"],"itemData":{"id":59395,"type":"document","publisher":"International Maritime Organization","title":"Resolution MEPC.329(76). Amendments to the annex of the international convention for the prevention of pollution from ships, 1973, as modified by the protocol of 1978 relating thereto","URL":"https://wwwcdn.imo.org/localresources/en/KnowledgeCentre/IndexofIMOResolutions/MEPCDocuments/MEPC.329(76).pdf","author":[{"literal":"IMO"}],"issued":{"date-parts":[["2021"]]}}}],"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(IMO, 2021b)</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Subsequently, the guidelines on recommendatory goal-based control measures to reduce the impact of Black Carbon in the Arctic </w:t>
      </w:r>
      <w:r w:rsidR="00A65385" w:rsidRPr="00C66C24">
        <w:rPr>
          <w:rFonts w:ascii="Calibri" w:eastAsia="Calibri" w:hAnsi="Calibri" w:cs="Calibri"/>
          <w:color w:val="000000" w:themeColor="text1"/>
        </w:rPr>
        <w:t>are</w:t>
      </w:r>
      <w:r w:rsidRPr="00C66C24">
        <w:rPr>
          <w:rFonts w:ascii="Calibri" w:eastAsia="Calibri" w:hAnsi="Calibri" w:cs="Calibri"/>
          <w:color w:val="000000" w:themeColor="text1"/>
        </w:rPr>
        <w:t xml:space="preserve"> gaining shape with discussions pointing for the adoption of </w:t>
      </w:r>
      <w:r w:rsidR="00A65385" w:rsidRPr="00C66C24">
        <w:rPr>
          <w:rFonts w:ascii="Calibri" w:eastAsia="Calibri" w:hAnsi="Calibri" w:cs="Calibri"/>
          <w:color w:val="000000" w:themeColor="text1"/>
        </w:rPr>
        <w:t xml:space="preserve">the </w:t>
      </w:r>
      <w:r w:rsidRPr="00C66C24">
        <w:rPr>
          <w:rFonts w:ascii="Calibri" w:eastAsia="Calibri" w:hAnsi="Calibri" w:cs="Calibri"/>
          <w:color w:val="000000" w:themeColor="text1"/>
        </w:rPr>
        <w:t>guidelines in its next session (</w:t>
      </w:r>
      <w:r w:rsidR="00A376D1" w:rsidRPr="00C66C24">
        <w:rPr>
          <w:rFonts w:ascii="Calibri" w:eastAsia="Calibri" w:hAnsi="Calibri" w:cs="Calibri"/>
          <w:color w:val="000000" w:themeColor="text1"/>
        </w:rPr>
        <w:t>currently scheduled for February 2024).</w:t>
      </w:r>
    </w:p>
    <w:p w14:paraId="40381812" w14:textId="77777777" w:rsidR="0066097B" w:rsidRPr="00C66C24" w:rsidRDefault="0066097B" w:rsidP="0066097B">
      <w:pPr>
        <w:keepNext/>
        <w:keepLines/>
        <w:spacing w:before="0" w:after="0" w:line="259" w:lineRule="auto"/>
      </w:pPr>
    </w:p>
    <w:p w14:paraId="43003146" w14:textId="5AAF8A3E" w:rsidR="0066097B" w:rsidRPr="00C66C24" w:rsidRDefault="0066097B" w:rsidP="0066097B">
      <w:pPr>
        <w:spacing w:before="0" w:after="0" w:line="259" w:lineRule="auto"/>
        <w:rPr>
          <w:i/>
          <w:iCs w:val="0"/>
        </w:rPr>
      </w:pPr>
      <w:r w:rsidRPr="00C66C24">
        <w:rPr>
          <w:i/>
          <w:iCs w:val="0"/>
        </w:rPr>
        <w:t>Ozone Depleting Substances (ODS)</w:t>
      </w:r>
    </w:p>
    <w:p w14:paraId="796F0FE3" w14:textId="5BBCEE3B"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Global initiatives not specific to the maritime sector firstly set commitments to phase-out of consumption and production of ODS, to prevent emissions such as the 1985 </w:t>
      </w:r>
      <w:r w:rsidRPr="00C66C24">
        <w:rPr>
          <w:rFonts w:ascii="Calibri" w:hAnsi="Calibri"/>
          <w:bCs/>
          <w:color w:val="000000" w:themeColor="text1"/>
        </w:rPr>
        <w:t>Vienna Convention</w:t>
      </w:r>
      <w:r w:rsidRPr="00C66C24" w:rsidDel="000403DF">
        <w:rPr>
          <w:rFonts w:ascii="Calibri" w:hAnsi="Calibri"/>
          <w:bCs/>
          <w:color w:val="000000" w:themeColor="text1"/>
        </w:rPr>
        <w:t xml:space="preserve"> </w:t>
      </w:r>
      <w:r w:rsidRPr="00C66C24">
        <w:rPr>
          <w:rFonts w:ascii="Calibri" w:hAnsi="Calibri"/>
          <w:color w:val="000000" w:themeColor="text1"/>
        </w:rPr>
        <w:t>for the Protection of the Ozone Layer</w:t>
      </w:r>
      <w:r w:rsidRPr="00C66C24">
        <w:rPr>
          <w:rFonts w:ascii="Calibri" w:eastAsia="Calibri" w:hAnsi="Calibri" w:cs="Calibri"/>
          <w:bCs/>
          <w:color w:val="000000" w:themeColor="text1"/>
        </w:rPr>
        <w:t xml:space="preserve"> </w:t>
      </w:r>
      <w:r w:rsidRPr="00C66C24">
        <w:rPr>
          <w:rFonts w:ascii="Calibri" w:eastAsia="Calibri" w:hAnsi="Calibri" w:cs="Calibri"/>
          <w:bCs/>
          <w:color w:val="000000" w:themeColor="text1"/>
        </w:rPr>
        <w:fldChar w:fldCharType="begin"/>
      </w:r>
      <w:r w:rsidRPr="00C66C24">
        <w:rPr>
          <w:rFonts w:ascii="Calibri" w:eastAsia="Calibri" w:hAnsi="Calibri" w:cs="Calibri"/>
          <w:bCs/>
          <w:color w:val="000000" w:themeColor="text1"/>
        </w:rPr>
        <w:instrText xml:space="preserve"> ADDIN ZOTERO_ITEM CSL_CITATION {"citationID":"6lilpSxc","properties":{"formattedCitation":"(UNEP, 1985)","plainCitation":"(UNEP, 1985)","noteIndex":0},"citationItems":[{"id":51991,"uris":["http://zotero.org/groups/122386/items/S5IDDKQT"],"itemData":{"id":51991,"type":"document","publisher":"United Nations Environment Programme","title":"The Vienna Convention for the Protection of the Ozone Layer","title-short":"The Vienna Convention","URL":"https://ozone.unep.org/treaties/vienna-convention","author":[{"literal":"UNEP"}],"issued":{"date-parts":[["1985"]]}}}],"schema":"https://github.com/citation-style-language/schema/raw/master/csl-citation.json"} </w:instrText>
      </w:r>
      <w:r w:rsidRPr="00C66C24">
        <w:rPr>
          <w:rFonts w:ascii="Calibri" w:eastAsia="Calibri" w:hAnsi="Calibri" w:cs="Calibri"/>
          <w:bCs/>
          <w:color w:val="000000" w:themeColor="text1"/>
        </w:rPr>
        <w:fldChar w:fldCharType="separate"/>
      </w:r>
      <w:r w:rsidRPr="00C66C24">
        <w:rPr>
          <w:rFonts w:ascii="Calibri" w:hAnsi="Calibri" w:cs="Calibri"/>
          <w:bCs/>
        </w:rPr>
        <w:t>(UNEP, 1985)</w:t>
      </w:r>
      <w:r w:rsidRPr="00C66C24">
        <w:rPr>
          <w:rFonts w:ascii="Calibri" w:eastAsia="Calibri" w:hAnsi="Calibri" w:cs="Calibri"/>
          <w:bCs/>
          <w:color w:val="000000" w:themeColor="text1"/>
        </w:rPr>
        <w:fldChar w:fldCharType="end"/>
      </w:r>
      <w:r w:rsidRPr="00C66C24">
        <w:rPr>
          <w:rFonts w:ascii="Calibri" w:eastAsia="Calibri" w:hAnsi="Calibri" w:cs="Calibri"/>
          <w:bCs/>
          <w:color w:val="000000" w:themeColor="text1"/>
        </w:rPr>
        <w:t xml:space="preserve">, the 1987 </w:t>
      </w:r>
      <w:r w:rsidRPr="00C66C24">
        <w:rPr>
          <w:rFonts w:ascii="Calibri" w:hAnsi="Calibri"/>
          <w:bCs/>
          <w:color w:val="000000" w:themeColor="text1"/>
        </w:rPr>
        <w:t>Montreal Protocol</w:t>
      </w:r>
      <w:r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{"citationID":"PacTSw7x","properties":{"formattedCitation":"(UNEP, 1987)","plainCitation":"(UNEP, 1987)","noteIndex":0},"citationItems":[{"id":51992,"uris":["http://zotero.org/groups/122386/items/PI8FH839"],"itemData":{"id":51992,"type":"document","publisher":"United Nations Environment Programme","title":"The Montreal Protocol on Substances that Deplete the Ozone Layer","title-short":"The Montreal Protocol","URL":"https://ozone.unep.org/treaties/montreal-protocol","author":[{"literal":"UNEP"}],"issued":{"date-parts":[["1987"]]}}}],"schema":"https://github.com/citation-style-language/schema/raw/master/csl-citation.json"}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(UNEP, 1987)</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on substances that deplete the ozone layer (noted as one of the most successful examples of international cooperation), and the 2018 Kigali Amendment on the phasing down of hydrofluorocarbons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{"citationID":"aknqjot1h2","properties":{"formattedCitation":"(UNEP, 2018)","plainCitation":"(UNEP, 2018)","noteIndex":0},"citationItems":[{"id":21275,"uris":["http://zotero.org/groups/122386/items/W365DVBQ"],"itemData":{"id":21275,"type":"webpage","title":"EU ratifies Kigali Amendment to the Montreal Protocol","URL":"https://ec.europa.eu/clima/news/eu-ratifies-kigali-amendment-montreal-protocol_en","author":[{"family":"UNEP","given":""}],"accessed":{"date-parts":[["2020",10,25]]},"issued":{"date-parts":[["2018"]]}}}],"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(UNEP, 2018)</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w:t>
      </w:r>
    </w:p>
    <w:p w14:paraId="34C15FEA"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In shipping, deliberate emissions of ODS are prohibited under MARPOL Annex VI, regulation 12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{"citationID":"cGUHwxKv","properties":{"formattedCitation":"(IMO, 2006)","plainCitation":"(IMO, 2006)","noteIndex":0},"citationItems":[{"id":34096,"uris":["http://zotero.org/groups/122386/items/GI6E2IYU"],"itemData":{"id":34096,"type":"document","note":"Marpol Annex VI, 2006, Marpol Consolidation 2006: Annex VI — Regulations for the Prevention of Air Pollution from Ships, International Maritime Organization","title":"MARPOL Annex VI","URL":"http://www.marpoltraining.com/MMSKOREAN/MARPOL/Annex_VI/index.htm","author":[{"family":"IMO","given":""}],"issued":{"date-parts":[["2006"]]}}}],"schema":"https://github.com/citation-style-language/schema/raw/master/csl-citation.json"}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(IMO, 2006)</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These emissions are defined as the ones which occur, for example, during maintenance, servicing, repairing or disposing of cooling systems or equipment (however, they do not include minimal releases associated with the recapturing or recycling of ozone-depleting substances). </w:t>
      </w:r>
    </w:p>
    <w:p w14:paraId="798975F0" w14:textId="77777777" w:rsidR="0066097B" w:rsidRPr="00C66C24" w:rsidRDefault="0066097B" w:rsidP="0066097B">
      <w:pPr>
        <w:spacing w:before="0" w:after="0" w:line="259" w:lineRule="auto"/>
        <w:rPr>
          <w:rFonts w:ascii="Calibri" w:eastAsia="Calibri" w:hAnsi="Calibri" w:cs="Calibri"/>
          <w:color w:val="000000" w:themeColor="text1"/>
        </w:rPr>
      </w:pPr>
    </w:p>
    <w:p w14:paraId="297E618A" w14:textId="77777777" w:rsidR="0066097B" w:rsidRPr="00C66C24" w:rsidRDefault="0066097B" w:rsidP="0066097B">
      <w:pPr>
        <w:spacing w:before="0" w:after="0" w:line="259" w:lineRule="auto"/>
        <w:rPr>
          <w:i/>
          <w:iCs w:val="0"/>
        </w:rPr>
      </w:pPr>
      <w:r w:rsidRPr="00C66C24">
        <w:rPr>
          <w:i/>
          <w:iCs w:val="0"/>
        </w:rPr>
        <w:t>Emissions from shipboard incinerators</w:t>
      </w:r>
    </w:p>
    <w:p w14:paraId="7070AD97"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Incineration on board of ships is normally allowed only in a dedicated incinerator, with the specific requirements defined under MARPOL Annex VI. Examples of the main requirements are the temperature of the exhausts in the 800-1200°C range; the unburned components in ash residues at maximum 10% w/w; the CO in the exhaust maximum average 200mg/MJ. However, it is possible to incinerate sewage sludge and sludge oil generated during the normal operation of a ship, but not within ports, harbours and estuaries.</w:t>
      </w:r>
    </w:p>
    <w:p w14:paraId="2DC07E7B" w14:textId="77777777" w:rsidR="0066097B" w:rsidRPr="00C66C24" w:rsidRDefault="0066097B" w:rsidP="0066097B">
      <w:pPr>
        <w:spacing w:before="0" w:after="0" w:line="259" w:lineRule="auto"/>
        <w:rPr>
          <w:rFonts w:ascii="Calibri" w:eastAsia="Calibri" w:hAnsi="Calibri" w:cs="Calibri"/>
          <w:color w:val="000000" w:themeColor="text1"/>
        </w:rPr>
      </w:pPr>
    </w:p>
    <w:p w14:paraId="4CC0FBA4" w14:textId="77777777" w:rsidR="0066097B" w:rsidRPr="00C66C24" w:rsidRDefault="0066097B" w:rsidP="0066097B">
      <w:pPr>
        <w:spacing w:before="0" w:after="0" w:line="259" w:lineRule="auto"/>
        <w:rPr>
          <w:i/>
          <w:iCs w:val="0"/>
        </w:rPr>
      </w:pPr>
      <w:r w:rsidRPr="00C66C24">
        <w:rPr>
          <w:i/>
          <w:iCs w:val="0"/>
        </w:rPr>
        <w:t>Volatile Organic Compounds (</w:t>
      </w:r>
      <w:r w:rsidRPr="00C66C24">
        <w:rPr>
          <w:rFonts w:ascii="Calibri" w:eastAsia="Calibri" w:hAnsi="Calibri" w:cs="Calibri"/>
          <w:i/>
          <w:iCs w:val="0"/>
          <w:color w:val="000000" w:themeColor="text1"/>
        </w:rPr>
        <w:t>VOCs)</w:t>
      </w:r>
    </w:p>
    <w:p w14:paraId="22829CF2" w14:textId="3A7CAF4B"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According to the provisions of MARPOL Annex VI, VOCs emissions from cargo are to be regulated only for tankers (oil or chemical ones) and only in ports or at terminals. This regulation also applies to gas carriers when the type of loading and containment systems allow safe retention of non-methane VOCs on board, or their safe return ashore. Following on from the regional instruments put in place to prohibit the release of gaseous cargo residues (vapours) that are harmful to the environment (i.e. degassing and venting) for inland navigation vessels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{"citationID":"0atmVes3","properties":{"unsorted":true,"formattedCitation":"(CDNI, 2017)","plainCitation":"(CDNI, 2017)","noteIndex":0},"citationItems":[{"id":59403,"uris":["http://zotero.org/groups/122386/items/IW8EWHLV"],"itemData":{"id":59403,"type":"document","publisher":"Convention on the collection, deposit and reception of waste generated during navigation on the Rhine and other inland waterways","title":"Resolution CDNI 2017-I-4. Revision of the Convention on the collection, deposit and reception of waste generated during nvigation on the Rhine and other inland waterways (CDNI) and its Implementing Regulation. Provisions on the handling of gaseous residues from liquid fuel (vapours)","URL":"https://www.cdni-iwt.org/wp-content/uploads/2020/04/Resolution-2017-1-4_en.pdf","author":[{"literal":"CDNI"}],"issued":{"date-parts":[["2017"]]}}}],"schema":"https://github.com/citation-style-language/schema/raw/master/csl-citation.json"}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(CDNI, 2017)</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attention will now turn to analyse how these might be applied to the maritime transport sector too.</w:t>
      </w:r>
    </w:p>
    <w:p w14:paraId="07CBA5A4"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 </w:t>
      </w:r>
    </w:p>
    <w:p w14:paraId="2A9E411F" w14:textId="77777777" w:rsidR="0066097B" w:rsidRPr="00C66C24" w:rsidRDefault="0066097B" w:rsidP="0066097B">
      <w:pPr>
        <w:spacing w:before="0" w:after="0" w:line="259" w:lineRule="auto"/>
        <w:rPr>
          <w:rFonts w:ascii="Calibri" w:eastAsia="Calibri" w:hAnsi="Calibri" w:cs="Calibri"/>
          <w:color w:val="000000" w:themeColor="text1"/>
          <w:u w:val="single"/>
        </w:rPr>
      </w:pPr>
      <w:r w:rsidRPr="00C66C24">
        <w:rPr>
          <w:rFonts w:ascii="Calibri" w:eastAsia="Calibri" w:hAnsi="Calibri" w:cs="Calibri"/>
          <w:color w:val="000000" w:themeColor="text1"/>
          <w:u w:val="single"/>
        </w:rPr>
        <w:t>European Union framework</w:t>
      </w:r>
    </w:p>
    <w:p w14:paraId="1435131D" w14:textId="03C5DAAD"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color w:val="000000" w:themeColor="text1"/>
        </w:rPr>
        <w:t xml:space="preserve">At EU level there are several </w:t>
      </w:r>
      <w:r w:rsidR="0018077F" w:rsidRPr="00C66C24">
        <w:rPr>
          <w:rFonts w:ascii="Calibri" w:eastAsia="Calibri" w:hAnsi="Calibri" w:cs="Calibri"/>
          <w:color w:val="000000" w:themeColor="text1"/>
        </w:rPr>
        <w:t>legislations</w:t>
      </w:r>
      <w:r w:rsidRPr="00C66C24">
        <w:rPr>
          <w:rFonts w:ascii="Calibri" w:eastAsia="Calibri" w:hAnsi="Calibri" w:cs="Calibri"/>
          <w:color w:val="000000" w:themeColor="text1"/>
        </w:rPr>
        <w:t xml:space="preserve"> that target air pollution, however, not all of them are specific to the maritime transport sector. Besides the ratification of international conventions such as the </w:t>
      </w:r>
      <w:r w:rsidRPr="00C66C24">
        <w:rPr>
          <w:rFonts w:ascii="Calibri" w:eastAsia="Calibri" w:hAnsi="Calibri" w:cs="Calibri"/>
        </w:rPr>
        <w:t>Air Convention (LRTAP)</w:t>
      </w:r>
      <w:r w:rsidRPr="00C66C24">
        <w:rPr>
          <w:rFonts w:ascii="Calibri" w:eastAsia="Calibri" w:hAnsi="Calibri" w:cs="Calibri"/>
          <w:color w:val="000000" w:themeColor="text1"/>
        </w:rPr>
        <w:t xml:space="preserve">, </w:t>
      </w:r>
      <w:r w:rsidRPr="00C66C24">
        <w:rPr>
          <w:rFonts w:ascii="Calibri" w:eastAsia="Calibri" w:hAnsi="Calibri" w:cs="Calibri"/>
        </w:rPr>
        <w:t>EU directives limit the national emission totals of pollutants by Member States, including the transport sector. One example is the National Emission Reduction Commitments directive (NEC Directive), which entered into force in 2016, replacing existing rules on the annual ceilings for national emissions (Directive 2001/81/EC) and set national emission reductions for the Member States including for NOx, NMVOCs, SO</w:t>
      </w:r>
      <w:r w:rsidRPr="00C66C24">
        <w:rPr>
          <w:rFonts w:ascii="Calibri" w:eastAsia="Calibri" w:hAnsi="Calibri" w:cs="Calibri"/>
          <w:vertAlign w:val="subscript"/>
        </w:rPr>
        <w:t>2</w:t>
      </w:r>
      <w:r w:rsidRPr="00C66C24">
        <w:rPr>
          <w:rFonts w:ascii="Calibri" w:eastAsia="Calibri" w:hAnsi="Calibri" w:cs="Calibri"/>
        </w:rPr>
        <w:t>, NH</w:t>
      </w:r>
      <w:r w:rsidRPr="00C66C24">
        <w:rPr>
          <w:rFonts w:ascii="Calibri" w:eastAsia="Calibri" w:hAnsi="Calibri" w:cs="Calibri"/>
          <w:vertAlign w:val="subscript"/>
        </w:rPr>
        <w:t>3</w:t>
      </w:r>
      <w:r w:rsidRPr="00C66C24">
        <w:rPr>
          <w:rFonts w:ascii="Calibri" w:eastAsia="Calibri" w:hAnsi="Calibri" w:cs="Calibri"/>
        </w:rPr>
        <w:t xml:space="preserve"> and PM</w:t>
      </w:r>
      <w:r w:rsidRPr="00C66C24">
        <w:rPr>
          <w:rFonts w:ascii="Calibri" w:eastAsia="Calibri" w:hAnsi="Calibri" w:cs="Calibri"/>
          <w:vertAlign w:val="subscript"/>
        </w:rPr>
        <w:t>2.5</w:t>
      </w:r>
      <w:r w:rsidRPr="00C66C24">
        <w:rPr>
          <w:rStyle w:val="FootnoteReference"/>
        </w:rPr>
        <w:footnoteReference w:id="44"/>
      </w:r>
      <w:r w:rsidRPr="00C66C24">
        <w:rPr>
          <w:rFonts w:ascii="Calibri" w:eastAsia="Calibri" w:hAnsi="Calibri" w:cs="Calibri"/>
        </w:rPr>
        <w:t xml:space="preserve">. The objective is to </w:t>
      </w:r>
      <w:r w:rsidRPr="00C66C24">
        <w:rPr>
          <w:color w:val="000000"/>
          <w:shd w:val="clear" w:color="auto" w:fill="FFFFFF"/>
        </w:rPr>
        <w:t>achieve levels of air quality that do not give rise to significant negative impacts on and risks to human health and the environment. The Zero Pollution Action Plan further defines these targets for the target year 2030 to improve air quality to reduce the number of premature deaths caused by air pollution by 55%,</w:t>
      </w:r>
      <w:r w:rsidRPr="00C66C24">
        <w:rPr>
          <w:rFonts w:ascii="Calibri" w:eastAsia="Calibri" w:hAnsi="Calibri" w:cs="Calibri"/>
        </w:rPr>
        <w:t xml:space="preserve"> and to reduce by 25% the EU ecosystems where air pollution threatens biodiversity, both targets compared to 2005. Finally the NEC Directive also requires that the Member States draw up national air pollution control programmes, which should contribute to the successful implementation of air quality plans established under the Ambient Air Quality Directive</w:t>
      </w:r>
      <w:r w:rsidR="000429E8" w:rsidRPr="00C66C24">
        <w:rPr>
          <w:rFonts w:ascii="Calibri" w:eastAsia="Calibri" w:hAnsi="Calibri" w:cs="Calibri"/>
        </w:rPr>
        <w:t xml:space="preserve"> (AAQD)</w:t>
      </w:r>
      <w:r w:rsidRPr="00C66C24">
        <w:rPr>
          <w:rFonts w:ascii="Calibri" w:eastAsia="Calibri" w:hAnsi="Calibri" w:cs="Calibri"/>
        </w:rPr>
        <w:t xml:space="preserve"> </w:t>
      </w:r>
      <w:r w:rsidRPr="00C66C24">
        <w:rPr>
          <w:rFonts w:ascii="Calibri" w:eastAsia="Calibri" w:hAnsi="Calibri" w:cs="Calibri"/>
        </w:rPr>
        <w:fldChar w:fldCharType="begin"/>
      </w:r>
      <w:r w:rsidRPr="00C66C24">
        <w:rPr>
          <w:rFonts w:ascii="Calibri" w:eastAsia="Calibri" w:hAnsi="Calibri" w:cs="Calibri"/>
        </w:rPr>
        <w:instrText xml:space="preserve"> ADDIN ZOTERO_ITEM CSL_CITATION {"citationID":"a20i8tfm2sl","properties":{"formattedCitation":"(EC, 2016)","plainCitation":"(EC, 2016)","dontUpdate":true,"noteIndex":0},"citationItems":[{"id":52007,"uris":["http://zotero.org/groups/122386/items/4MB8WTDH"],"itemData":{"id":52007,"type":"document","publisher":"European Commission","title":"Directive (EU) 2016/2284 of the European Parliament and of the Council of 14 December 2016 on the reduction of national emissions of certain atmospheric pollutants, amending Directive 2003/35/EC and repealing Directive 2001/81/EC","URL":"https://eur-lex.europa.eu/legal-content/EN/TXT/?toc=OJ%3AL%3A2016%3A344%3ATOC&amp;uri=uriserv%3AOJ.L_.2016.344.01.0001.01.ENG","author":[{"literal":"EU"}],"issued":{"date-parts":[["2016"]]}}}],"schema":"https://github.com/citation-style-language/schema/raw/master/csl-citation.json"} </w:instrText>
      </w:r>
      <w:r w:rsidRPr="00C66C24">
        <w:rPr>
          <w:rFonts w:ascii="Calibri" w:eastAsia="Calibri" w:hAnsi="Calibri" w:cs="Calibri"/>
        </w:rPr>
        <w:fldChar w:fldCharType="separate"/>
      </w:r>
      <w:r w:rsidRPr="00C66C24">
        <w:rPr>
          <w:rFonts w:ascii="Calibri" w:hAnsi="Calibri" w:cs="Calibri"/>
        </w:rPr>
        <w:t>(EU, 2016b)</w:t>
      </w:r>
      <w:r w:rsidRPr="00C66C24">
        <w:rPr>
          <w:rFonts w:ascii="Calibri" w:eastAsia="Calibri" w:hAnsi="Calibri" w:cs="Calibri"/>
        </w:rPr>
        <w:fldChar w:fldCharType="end"/>
      </w:r>
      <w:r w:rsidRPr="00C66C24">
        <w:rPr>
          <w:rFonts w:ascii="Calibri" w:eastAsia="Calibri" w:hAnsi="Calibri" w:cs="Calibri"/>
        </w:rPr>
        <w:t>.</w:t>
      </w:r>
    </w:p>
    <w:p w14:paraId="532AF2A3"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Regarding sectoral legislation applicable to shipping, the following EU regulations and directives exist:</w:t>
      </w:r>
    </w:p>
    <w:p w14:paraId="31AB2C69" w14:textId="77777777" w:rsidR="0066097B" w:rsidRPr="00C66C24" w:rsidRDefault="0066097B" w:rsidP="0066097B">
      <w:pPr>
        <w:spacing w:before="0" w:after="0" w:line="259" w:lineRule="auto"/>
        <w:rPr>
          <w:rFonts w:ascii="Calibri" w:eastAsia="Calibri" w:hAnsi="Calibri" w:cs="Calibri"/>
          <w:color w:val="000000" w:themeColor="text1"/>
          <w:u w:val="single"/>
        </w:rPr>
      </w:pPr>
    </w:p>
    <w:p w14:paraId="0ED37FC8" w14:textId="77777777" w:rsidR="0066097B" w:rsidRPr="00C66C24" w:rsidRDefault="0066097B" w:rsidP="0066097B">
      <w:pPr>
        <w:spacing w:before="0" w:after="0" w:line="259" w:lineRule="auto"/>
        <w:rPr>
          <w:rFonts w:ascii="Calibri" w:eastAsia="Calibri" w:hAnsi="Calibri" w:cs="Calibri"/>
          <w:i/>
          <w:iCs w:val="0"/>
          <w:color w:val="000000" w:themeColor="text1"/>
        </w:rPr>
      </w:pPr>
      <w:r w:rsidRPr="00C66C24">
        <w:rPr>
          <w:rFonts w:ascii="Calibri" w:eastAsia="Calibri" w:hAnsi="Calibri" w:cs="Calibri"/>
          <w:i/>
          <w:iCs w:val="0"/>
          <w:color w:val="000000" w:themeColor="text1"/>
        </w:rPr>
        <w:t>Sulphur Oxides (SOx)</w:t>
      </w:r>
    </w:p>
    <w:p w14:paraId="62D9C1A5"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At the European level, the sulphur content of liquid fuels, including those for ships, has been regulated since 1999 with the Directive 1999/32/EC (‘’</w:t>
      </w:r>
      <w:r w:rsidRPr="00C66C24">
        <w:rPr>
          <w:rFonts w:ascii="Calibri" w:hAnsi="Calibri"/>
          <w:color w:val="000000" w:themeColor="text1"/>
        </w:rPr>
        <w:t>Sulphur Directive</w:t>
      </w:r>
      <w:r w:rsidRPr="00C66C24">
        <w:rPr>
          <w:rFonts w:ascii="Calibri" w:eastAsia="Calibri" w:hAnsi="Calibri" w:cs="Calibri"/>
          <w:color w:val="000000" w:themeColor="text1"/>
        </w:rPr>
        <w:t xml:space="preserve">’’) and since then limits have been continuously reduced by several amendments in 2005 and 2012 respectively. The Directive (EU) 2016/802,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{"citationID":"a2ptte3294q","properties":{"formattedCitation":"(EU, 2016)","plainCitation":"(EU, 2016)","dontUpdate":true,"noteIndex":0},"citationItems":[{"id":34077,"uris":["http://zotero.org/groups/122386/items/UZZR46S8"],"itemData":{"id":34077,"type":"document","publisher":"European Parliament and Council","title":"Directive (EU) 2016/802 of the European Parliament and of the Council of 11 May 2016 relating to a reduction in the sulphur content of certain liquid fuels. European Parliament and Council","URL":"http://data.europa.eu/eli/dir/2016/802/oj","author":[{"family":"EU","given":""}],"issued":{"date-parts":[["2016"]]}}}],"schema":"https://github.com/citation-style-language/schema/raw/master/csl-citation.json"}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(EU, 2016a)</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codified in 2016, broadly transposes in EU law the IMO limits on the sulphur content of marine fuels to 0.10% m/m inside SECAs as of 2015 and to 0.50% m/m in all other areas as of 2020, while a limit of 0.10% sulphur content also for ships at berth in EU ports was established in 2005.</w:t>
      </w:r>
    </w:p>
    <w:p w14:paraId="56E6B44D" w14:textId="12052469"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Member States are responsible for the enforcement of the Directive for </w:t>
      </w:r>
      <w:r w:rsidRPr="00C66C24">
        <w:t>all vessels of all flags, including vessels whose journey began outside the EU,</w:t>
      </w:r>
      <w:r w:rsidRPr="00C66C24">
        <w:rPr>
          <w:rFonts w:ascii="Calibri" w:eastAsia="Calibri" w:hAnsi="Calibri" w:cs="Calibri"/>
          <w:color w:val="000000" w:themeColor="text1"/>
        </w:rPr>
        <w:t xml:space="preserve"> in their territorial seas and exclusive economic zones, including the domestic one. Furthermore, the Member States, “shall endeavour to ensure availability of marine fuels that comply with the Directive” and inform</w:t>
      </w:r>
      <w:r w:rsidRPr="00C66C24">
        <w:rPr>
          <w:rFonts w:ascii="Calibri" w:eastAsia="Calibri" w:hAnsi="Calibri" w:cs="Calibri"/>
          <w:color w:val="000000" w:themeColor="text1"/>
          <w:sz w:val="16"/>
          <w:szCs w:val="16"/>
        </w:rPr>
        <w:t xml:space="preserve"> </w:t>
      </w:r>
      <w:r w:rsidRPr="00C66C24">
        <w:rPr>
          <w:rFonts w:ascii="Calibri" w:eastAsia="Calibri" w:hAnsi="Calibri" w:cs="Calibri"/>
          <w:color w:val="000000" w:themeColor="text1"/>
        </w:rPr>
        <w:t xml:space="preserve">the </w:t>
      </w:r>
      <w:r w:rsidR="000429E8" w:rsidRPr="00C66C24">
        <w:rPr>
          <w:rFonts w:ascii="Calibri" w:eastAsia="Calibri" w:hAnsi="Calibri" w:cs="Calibri"/>
          <w:color w:val="000000" w:themeColor="text1"/>
        </w:rPr>
        <w:t xml:space="preserve">European </w:t>
      </w:r>
      <w:r w:rsidRPr="00C66C24">
        <w:rPr>
          <w:rFonts w:ascii="Calibri" w:eastAsia="Calibri" w:hAnsi="Calibri" w:cs="Calibri"/>
          <w:color w:val="000000" w:themeColor="text1"/>
        </w:rPr>
        <w:t xml:space="preserve">Commission of such availability in its ports and terminals. The specific abatement methods defined by the Directive are mixture of marine fuel and boil-off gas, biofuels and EGCS. </w:t>
      </w:r>
    </w:p>
    <w:p w14:paraId="6B9FD43F" w14:textId="77777777" w:rsidR="0066097B" w:rsidRPr="00C66C24" w:rsidRDefault="0066097B" w:rsidP="0066097B">
      <w:pPr>
        <w:spacing w:before="0" w:after="0" w:line="259" w:lineRule="auto"/>
        <w:rPr>
          <w:rFonts w:ascii="Calibri" w:eastAsia="Calibri" w:hAnsi="Calibri" w:cs="Calibri"/>
          <w:color w:val="000000" w:themeColor="text1"/>
          <w:u w:val="single"/>
        </w:rPr>
      </w:pPr>
    </w:p>
    <w:p w14:paraId="6D9E72C4" w14:textId="77777777" w:rsidR="0066097B" w:rsidRPr="00C66C24" w:rsidRDefault="0066097B" w:rsidP="0066097B">
      <w:pPr>
        <w:spacing w:before="0" w:after="0" w:line="259" w:lineRule="auto"/>
        <w:rPr>
          <w:rFonts w:ascii="Calibri" w:eastAsia="Calibri" w:hAnsi="Calibri" w:cs="Calibri"/>
          <w:i/>
          <w:iCs w:val="0"/>
          <w:color w:val="000000" w:themeColor="text1"/>
        </w:rPr>
      </w:pPr>
      <w:r w:rsidRPr="00C66C24">
        <w:rPr>
          <w:rFonts w:ascii="Calibri" w:eastAsia="Calibri" w:hAnsi="Calibri" w:cs="Calibri"/>
          <w:i/>
          <w:iCs w:val="0"/>
          <w:color w:val="000000" w:themeColor="text1"/>
        </w:rPr>
        <w:t>Nitrogen Oxides (NOx)</w:t>
      </w:r>
    </w:p>
    <w:p w14:paraId="72A5A909" w14:textId="4F3E4C20"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While there is no direct EU regulation for EU legislation broadly addresses NOx reduction from international shipping, EU Member States are required to comply with the international legislation under MARPOL Annex VI and the NECAs. Attention is wide and concerns were raised at the IMO because of current non-compliance. </w:t>
      </w:r>
      <w:r w:rsidR="00220A4B" w:rsidRPr="00C66C24">
        <w:rPr>
          <w:rFonts w:ascii="Calibri" w:eastAsia="Calibri" w:hAnsi="Calibri" w:cs="Calibri"/>
          <w:color w:val="000000" w:themeColor="text1"/>
        </w:rPr>
        <w:t>Indeed</w:t>
      </w:r>
      <w:r w:rsidRPr="00C66C24">
        <w:rPr>
          <w:rFonts w:ascii="Calibri" w:eastAsia="Calibri" w:hAnsi="Calibri" w:cs="Calibri"/>
          <w:color w:val="000000" w:themeColor="text1"/>
        </w:rPr>
        <w:t xml:space="preserve">, applicable </w:t>
      </w:r>
      <w:r w:rsidR="00220A4B" w:rsidRPr="00C66C24">
        <w:rPr>
          <w:rFonts w:ascii="Calibri" w:eastAsia="Calibri" w:hAnsi="Calibri" w:cs="Calibri"/>
          <w:color w:val="000000" w:themeColor="text1"/>
        </w:rPr>
        <w:t>limits are being checked</w:t>
      </w:r>
      <w:r w:rsidRPr="00C66C24">
        <w:rPr>
          <w:rFonts w:ascii="Calibri" w:eastAsia="Calibri" w:hAnsi="Calibri" w:cs="Calibri"/>
          <w:color w:val="000000" w:themeColor="text1"/>
        </w:rPr>
        <w:t xml:space="preserve"> through emission remote sensing in NECAs at low engine loads. Moreover, NOx engine standards applicable in the EU for inland vessels are among the strictest in the world.</w:t>
      </w:r>
    </w:p>
    <w:p w14:paraId="5852A465" w14:textId="77777777" w:rsidR="0066097B" w:rsidRPr="00C66C24" w:rsidRDefault="0066097B" w:rsidP="0066097B">
      <w:pPr>
        <w:spacing w:before="0" w:after="0" w:line="259" w:lineRule="auto"/>
        <w:rPr>
          <w:lang w:eastAsia="en-IE"/>
        </w:rPr>
      </w:pPr>
    </w:p>
    <w:p w14:paraId="7579A6B5" w14:textId="77777777" w:rsidR="0066097B" w:rsidRPr="00C66C24" w:rsidRDefault="0066097B" w:rsidP="0066097B">
      <w:pPr>
        <w:spacing w:before="0" w:after="0" w:line="259" w:lineRule="auto"/>
      </w:pPr>
      <w:r w:rsidRPr="00C66C24">
        <w:rPr>
          <w:i/>
        </w:rPr>
        <w:t>Particulate Matter (PM</w:t>
      </w:r>
      <w:r w:rsidRPr="00C66C24">
        <w:rPr>
          <w:i/>
          <w:iCs w:val="0"/>
        </w:rPr>
        <w:t>)</w:t>
      </w:r>
    </w:p>
    <w:p w14:paraId="56FD5CCC" w14:textId="5862C5F6"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 xml:space="preserve">At the European level, particulate matter is broadly regulated. Emissions from engines used in Inland waterway vessels and rail are limited within the Non-road mobile machinery Directive </w:t>
      </w:r>
      <w:r w:rsidRPr="00C66C24">
        <w:rPr>
          <w:rFonts w:ascii="Calibri" w:eastAsia="Calibri" w:hAnsi="Calibri" w:cs="Calibri"/>
        </w:rPr>
        <w:fldChar w:fldCharType="begin"/>
      </w:r>
      <w:r w:rsidRPr="00C66C24">
        <w:rPr>
          <w:rFonts w:ascii="Calibri" w:eastAsia="Calibri" w:hAnsi="Calibri" w:cs="Calibri"/>
        </w:rPr>
        <w:instrText xml:space="preserve"> ADDIN ZOTERO_ITEM CSL_CITATION {"citationID":"I4IiDw44","properties":{"formattedCitation":"(EU, 2016d)","plainCitation":"(EU, 2016d)","noteIndex":0},"citationItems":[{"id":59396,"uris":["http://zotero.org/groups/122386/items/D743UHMQ"],"itemData":{"id":59396,"type":"document","publisher":"European Parliament and Council","title":"Regulation (EU) 2016/1628 of the European Parliament and of the Council of 14 September 2016 on requirements relating to gaseous and particulate pollutant emission limits and type-approval for internal combustion engines for non-road mobile machinery, amending Regulations (EU) No 1024/2012 and (EU) No 167/2013, and amending and repealing Directive 97/68/EC (Text with EEA relevance)","URL":"https://eur-lex.europa.eu/eli/reg/2016/1628/oj","author":[{"literal":"EU"}],"issued":{"date-parts":[["2016"]]}}}],"schema":"https://github.com/citation-style-language/schema/raw/master/csl-citation.json"} </w:instrText>
      </w:r>
      <w:r w:rsidRPr="00C66C24">
        <w:rPr>
          <w:rFonts w:ascii="Calibri" w:eastAsia="Calibri" w:hAnsi="Calibri" w:cs="Calibri"/>
        </w:rPr>
        <w:fldChar w:fldCharType="separate"/>
      </w:r>
      <w:r w:rsidRPr="00C66C24">
        <w:rPr>
          <w:rFonts w:ascii="Calibri" w:hAnsi="Calibri" w:cs="Calibri"/>
        </w:rPr>
        <w:t>(EU, 2016d)</w:t>
      </w:r>
      <w:r w:rsidRPr="00C66C24">
        <w:rPr>
          <w:rFonts w:ascii="Calibri" w:eastAsia="Calibri" w:hAnsi="Calibri" w:cs="Calibri"/>
        </w:rPr>
        <w:fldChar w:fldCharType="end"/>
      </w:r>
      <w:r w:rsidRPr="00C66C24">
        <w:rPr>
          <w:rFonts w:ascii="Calibri" w:eastAsia="Calibri" w:hAnsi="Calibri" w:cs="Calibri"/>
        </w:rPr>
        <w:t xml:space="preserve">, however in a less restrictive way when compared with road transport </w:t>
      </w:r>
      <w:r w:rsidRPr="00C66C24">
        <w:rPr>
          <w:rFonts w:ascii="Calibri" w:eastAsia="Calibri" w:hAnsi="Calibri" w:cs="Calibri"/>
        </w:rPr>
        <w:fldChar w:fldCharType="begin"/>
      </w:r>
      <w:r w:rsidRPr="00C66C24">
        <w:rPr>
          <w:rFonts w:ascii="Calibri" w:eastAsia="Calibri" w:hAnsi="Calibri" w:cs="Calibri"/>
        </w:rPr>
        <w:instrText xml:space="preserve"> ADDIN ZOTERO_ITEM CSL_CITATION {"citationID":"HVGyEVpA","properties":{"formattedCitation":"(DNV, 2016)","plainCitation":"(DNV, 2016)","noteIndex":0},"citationItems":[{"id":34011,"uris":["http://zotero.org/groups/122386/items/UH7HKYWB"],"itemData":{"id":34011,"type":"report","abstract":"Recent studies on the effects of particulate matter (PM)\nand international initiatives to reduce emissions to\nair have prompted a growing interest in particulate\nemissions and the role they play in accelerating climate\nchange. Recent studies looking at PM’s effects\non human health and how the shipping industry may\nbe contributing to PM emissions have lead international\norganisations to question the suitability of the\ncurrent legal framework on ship emissions.\nBlack carbon (BC) is one of the main points of discussion\nin this debate. BC is a light-absorbing component\nof particulate matter and is said to have a detrimental\neffect on climate forcing. The overall impact of shipping\non PM / BC is presumably limited, but it may\nhave a significant impact on a regional level, as ships\nmay operate close to arctic areas and the number of\nthese operations is expected to increase in the future.\nThe effects of PM on human health are not related to\nblack carbon alone; they are dependent on the size\ndistribution (ultrafine fraction of PM emissions) as\nwell as the chemical composition of particles. Health\nimplications have already been recognized and\naddressed in regulations for land-based (transport)\nsectors. However, they are still being discussed for\nthe shipping industry.\nThis study provides further background on particulate\nmatter and black carbon, their effects on the environment\nand human health as well as the current\nstatus of shipping’s contribution to the overall\nanthropogenic impact. The paper also discusses\npotential ways to measure PM and BC, their origin\nand possible abatement technologies / strategies.","page":"16","title":"Particulate matter and black carbon safer, smarter, greener The global impact and what this means for shipping","URL":"https://www.safety4sea.com/wp-content/uploads/2016/06/DNV-GL-Brochure-Black-Carbon-2016_06.pdf","author":[{"family":"DNV","given":""}],"issued":{"date-parts":[["2016"]]}}}],"schema":"https://github.com/citation-style-language/schema/raw/master/csl-citation.json"} </w:instrText>
      </w:r>
      <w:r w:rsidRPr="00C66C24">
        <w:rPr>
          <w:rFonts w:ascii="Calibri" w:eastAsia="Calibri" w:hAnsi="Calibri" w:cs="Calibri"/>
        </w:rPr>
        <w:fldChar w:fldCharType="separate"/>
      </w:r>
      <w:r w:rsidRPr="00C66C24">
        <w:rPr>
          <w:rFonts w:ascii="Calibri" w:hAnsi="Calibri" w:cs="Calibri"/>
        </w:rPr>
        <w:t>(DNV, 2016)</w:t>
      </w:r>
      <w:r w:rsidRPr="00C66C24">
        <w:rPr>
          <w:rFonts w:ascii="Calibri" w:eastAsia="Calibri" w:hAnsi="Calibri" w:cs="Calibri"/>
        </w:rPr>
        <w:fldChar w:fldCharType="end"/>
      </w:r>
      <w:r w:rsidRPr="00C66C24">
        <w:rPr>
          <w:rFonts w:ascii="Calibri" w:eastAsia="Calibri" w:hAnsi="Calibri" w:cs="Calibri"/>
        </w:rPr>
        <w:t xml:space="preserve">. </w:t>
      </w:r>
      <w:r w:rsidRPr="00C66C24">
        <w:rPr>
          <w:rFonts w:ascii="Calibri" w:eastAsia="Calibri" w:hAnsi="Calibri" w:cs="Calibri"/>
          <w:color w:val="000000" w:themeColor="text1"/>
        </w:rPr>
        <w:t xml:space="preserve">The </w:t>
      </w:r>
      <w:r w:rsidR="000429E8" w:rsidRPr="00C66C24">
        <w:rPr>
          <w:rFonts w:ascii="Calibri" w:eastAsia="Calibri" w:hAnsi="Calibri" w:cs="Calibri"/>
          <w:color w:val="000000" w:themeColor="text1"/>
        </w:rPr>
        <w:t>AAQD</w:t>
      </w:r>
      <w:r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{"citationID":"MctTB0hJ","properties":{"formattedCitation":"(EC, 2008)","plainCitation":"(EC, 2008)","noteIndex":0},"citationItems":[{"id":59397,"uris":["http://zotero.org/groups/122386/items/4KEVEY7R"],"itemData":{"id":59397,"type":"document","publisher":"European Parliament and Council","title":"Directive 2008/50/EC of the European Parliament and of the Council of 21 May 2008 on ambient air quality and cleaner air for Europe","title-short":"Ambient Air Quality","URL":"https://eur-lex.europa.eu/legal-content/EN/TXT/?uri=CELEX%3A02008L0050-20150918","author":[{"literal":"EC"}],"issued":{"date-parts":[["2008"]]}}}],"schema":"https://github.com/citation-style-language/schema/raw/master/csl-citation.json"}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(EC, 2008)</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and the </w:t>
      </w:r>
      <w:r w:rsidR="000429E8" w:rsidRPr="00C66C24">
        <w:rPr>
          <w:rFonts w:ascii="Calibri" w:eastAsia="Calibri" w:hAnsi="Calibri" w:cs="Calibri"/>
          <w:color w:val="000000" w:themeColor="text1"/>
        </w:rPr>
        <w:t>NEC</w:t>
      </w:r>
      <w:r w:rsidRPr="00C66C24">
        <w:rPr>
          <w:rFonts w:ascii="Calibri" w:eastAsia="Calibri" w:hAnsi="Calibri" w:cs="Calibri"/>
          <w:color w:val="000000" w:themeColor="text1"/>
        </w:rPr>
        <w:t xml:space="preserve"> Directive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{"citationID":"RKJNQjdB","properties":{"formattedCitation":"(EU, 2016c)","plainCitation":"(EU, 2016c)","noteIndex":0},"citationItems":[{"id":59398,"uris":["http://zotero.org/groups/122386/items/FQV7BA7B"],"itemData":{"id":59398,"type":"document","publisher":"European Parliament and Council","title":"Directive (EU) 2016/2284 of the European Parliament and of the Council of 14 December 2016 on the reduction of national emissions of certain atmospheric pollutants, amending Directive 2003/35/EC and repealing Directive 2001/81/EC (Text with EEA relevance)","URL":"https://eur-lex.europa.eu/legal-content/EN/TXT/?uri=uriserv:OJ.L_.2016.344.01.0001.01.ENG&amp;toc=OJ:L:2016:344:TOC","author":[{"literal":"EU"}],"issued":{"date-parts":[["2016"]]}}}],"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(EU, 2016c)</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cover PM in their reporting, which are not directly linked with the maritime transport emissions. </w:t>
      </w:r>
      <w:r w:rsidRPr="00C66C24">
        <w:rPr>
          <w:rFonts w:ascii="Calibri" w:eastAsia="Calibri" w:hAnsi="Calibri" w:cs="Calibri"/>
        </w:rPr>
        <w:t xml:space="preserve">Regarding road transport, the European legislation covers this emissions both on particle mass and particle number (see Euro 6 Regulation – </w:t>
      </w:r>
      <w:r w:rsidRPr="00C66C24">
        <w:rPr>
          <w:rFonts w:ascii="Calibri" w:eastAsia="Calibri" w:hAnsi="Calibri" w:cs="Calibri"/>
          <w:color w:val="000000" w:themeColor="text1"/>
        </w:rPr>
        <w:t xml:space="preserve">Regulation (EC) No 1151/2017)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{"citationID":"u0LulJV6","properties":{"formattedCitation":"(EC, 2017)","plainCitation":"(EC, 2017)","noteIndex":0},"citationItems":[{"id":30603,"uris":["http://zotero.org/groups/122386/items/3PL8685H"],"itemData":{"id":30603,"type":"document","language":"en","note":"Legislative Body: COM, GROW","title":"Commission Regulation (EU) 2017/1151 of 1 June 2017 supplementing Regulation (EC) No 715/2007 of the European Parliament and of the Council on type-approval of motor vehicles with respect to emissions from light passenger and commercial vehicles (Euro 5 and Euro 6) and on access to vehicle repair and maintenance information, amending Directive 2007/46/EC of the European Parliament and of the Council, Commission Regulation (EC) No 692/2008 and Commission Regulation (EU) No 1230/2012 and repealing Commission Regulation (EC) No 692/2008 (Text with EEA relevance)","URL":"http://data.europa.eu/eli/reg/2017/1151/oj/eng","author":[{"family":"EC","given":""}],"accessed":{"date-parts":[["2022",11,21]]},"issued":{"date-parts":[["2017"]]}}}],"schema":"https://github.com/citation-style-language/schema/raw/master/csl-citation.json"}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(EC, 2017)</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and Euro VI - Regulation (EC) No 582/2011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{"citationID":"I9WiTzcZ","properties":{"formattedCitation":"(EU, 2011)","plainCitation":"(EU, 2011)","noteIndex":0},"citationItems":[{"id":59399,"uris":["http://zotero.org/groups/122386/items/3IWBPDFT"],"itemData":{"id":59399,"type":"document","publisher":"European Parliament and Council","title":"Commission Regulation (EU) No 582/2011 of 25 May 2011 implementing and amending Regulation (EC) No 595/2009 of the European Parliament and of the Council with respect to emissions from heavy duty vehicles (Euro VI) and amending Annexes I and III to Directive 2007/46/EC of the European Parliament and of the Council (Text with EEA relevance)","URL":"https://eur-lex.europa.eu/eli/reg/2011/582/oj","author":[{"literal":"EU"}],"issued":{"date-parts":[["2011"]]}}}],"schema":"https://github.com/citation-style-language/schema/raw/master/csl-citation.json"}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(EU, 2011)</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p>
    <w:p w14:paraId="50DDDF71" w14:textId="77777777" w:rsidR="0066097B" w:rsidRPr="00C66C24" w:rsidRDefault="0066097B" w:rsidP="0066097B">
      <w:pPr>
        <w:spacing w:before="0" w:after="0" w:line="259" w:lineRule="auto"/>
        <w:rPr>
          <w:lang w:eastAsia="en-IE"/>
        </w:rPr>
      </w:pPr>
    </w:p>
    <w:p w14:paraId="6AD1CA04" w14:textId="77777777" w:rsidR="0066097B" w:rsidRPr="00C66C24" w:rsidRDefault="0066097B" w:rsidP="0066097B">
      <w:pPr>
        <w:spacing w:before="0" w:after="0" w:line="259" w:lineRule="auto"/>
        <w:rPr>
          <w:rFonts w:ascii="Calibri" w:eastAsia="Calibri" w:hAnsi="Calibri" w:cs="Calibri"/>
          <w:i/>
          <w:iCs w:val="0"/>
          <w:color w:val="000000" w:themeColor="text1"/>
        </w:rPr>
      </w:pPr>
      <w:r w:rsidRPr="00C66C24">
        <w:rPr>
          <w:rFonts w:ascii="Calibri" w:eastAsia="Calibri" w:hAnsi="Calibri" w:cs="Calibri"/>
          <w:i/>
          <w:iCs w:val="0"/>
          <w:color w:val="000000" w:themeColor="text1"/>
        </w:rPr>
        <w:t>Black Carbon (BC)</w:t>
      </w:r>
    </w:p>
    <w:p w14:paraId="0D3FDEBD" w14:textId="68BDFFA5"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While at the European level there is no regulation in place for the shipping sector, within the NEC Directive, Member States have a reporting obligation for </w:t>
      </w:r>
      <w:r w:rsidR="000429E8" w:rsidRPr="00C66C24">
        <w:rPr>
          <w:rFonts w:ascii="Calibri" w:eastAsia="Calibri" w:hAnsi="Calibri" w:cs="Calibri"/>
          <w:color w:val="000000" w:themeColor="text1"/>
        </w:rPr>
        <w:t>BC</w:t>
      </w:r>
      <w:r w:rsidRPr="00C66C24">
        <w:rPr>
          <w:rFonts w:ascii="Calibri" w:eastAsia="Calibri" w:hAnsi="Calibri" w:cs="Calibri"/>
          <w:color w:val="000000" w:themeColor="text1"/>
        </w:rPr>
        <w:t>, whenever they monitor this pollutant. Reports are also being developed to support international actions. As an example, the EU-funded Action on Black Carbon occurred from 2018-2020 to develop knowledge on sources</w:t>
      </w:r>
      <w:r w:rsidR="000429E8"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and emissions</w:t>
      </w:r>
      <w:r w:rsidR="000429E8"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and support the international processes. In addition, the recent EU policy for the Arctic also makes a reference to black carbon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{"citationID":"4buHqSok","properties":{"formattedCitation":"(EC, 2021d)","plainCitation":"(EC, 2021d)","dontUpdate":true,"noteIndex":0},"citationItems":[{"id":35268,"uris":["http://zotero.org/groups/122386/items/FNIYIQJN"],"itemData":{"id":35268,"type":"document","publisher":"European Commission","title":"JOIN/2021/27 final. 'Joint communication to the European Parliament, the Council, the European economic and social committee and the committee of the regions a stronger EU engagement for a peaceful, sustainable and prosperous Arctic'","URL":"https://eur-lex.europa.eu/legal-content/EN/TXT/?uri=CELEX%3A52021JC0027","author":[{"family":"EC","given":""}],"issued":{"date-parts":[["2021"]]}}}],"schema":"https://github.com/citation-style-language/schema/raw/master/csl-citation.json"}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(EC, 2021</w:t>
      </w:r>
      <w:r w:rsidR="00124941">
        <w:rPr>
          <w:rFonts w:ascii="Calibri" w:hAnsi="Calibri" w:cs="Calibri"/>
        </w:rPr>
        <w:t>d</w:t>
      </w:r>
      <w:r w:rsidRPr="00C66C24">
        <w:rPr>
          <w:rFonts w:ascii="Calibri" w:hAnsi="Calibri" w:cs="Calibri"/>
        </w:rPr>
        <w:t>)</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p>
    <w:p w14:paraId="66509FB2" w14:textId="77777777" w:rsidR="0066097B" w:rsidRPr="00C66C24" w:rsidRDefault="0066097B" w:rsidP="0066097B">
      <w:pPr>
        <w:spacing w:before="0" w:after="0" w:line="259" w:lineRule="auto"/>
        <w:rPr>
          <w:lang w:eastAsia="en-IE"/>
        </w:rPr>
      </w:pPr>
    </w:p>
    <w:p w14:paraId="3E0B61DB" w14:textId="77777777" w:rsidR="0066097B" w:rsidRPr="00C66C24" w:rsidRDefault="0066097B" w:rsidP="0066097B">
      <w:pPr>
        <w:spacing w:before="0" w:after="0" w:line="259" w:lineRule="auto"/>
        <w:rPr>
          <w:rFonts w:ascii="Calibri" w:eastAsia="Calibri" w:hAnsi="Calibri" w:cs="Calibri"/>
          <w:i/>
          <w:iCs w:val="0"/>
          <w:color w:val="000000" w:themeColor="text1"/>
        </w:rPr>
      </w:pPr>
      <w:r w:rsidRPr="00C66C24">
        <w:rPr>
          <w:rFonts w:ascii="Calibri" w:eastAsia="Calibri" w:hAnsi="Calibri" w:cs="Calibri"/>
          <w:i/>
          <w:iCs w:val="0"/>
          <w:color w:val="000000" w:themeColor="text1"/>
        </w:rPr>
        <w:t>Ozone Depleting Substances (ODS)</w:t>
      </w:r>
    </w:p>
    <w:p w14:paraId="55B5E181" w14:textId="4B42E4F9"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International agreements have been transposed into EU policy frameworks since the 1980s, with a high-level of ambition for the fast phase-out of ODS. The Regulation on Substances that Deplete the Ozone Layer</w:t>
      </w:r>
      <w:r w:rsidRPr="00C66C24">
        <w:rPr>
          <w:rStyle w:val="FootnoteReference"/>
        </w:rPr>
        <w:footnoteReference w:id="45"/>
      </w:r>
      <w:r w:rsidRPr="00C66C24">
        <w:rPr>
          <w:rFonts w:ascii="Calibri" w:eastAsia="Calibri" w:hAnsi="Calibri" w:cs="Calibri"/>
          <w:color w:val="000000" w:themeColor="text1"/>
        </w:rPr>
        <w:t xml:space="preserve"> aims to fulfil the Montreal Protocol, and also adds new, additional requirements to prevent emissions. In general, ODS production, use and trade are prohibited in the EU with only few exemptions. Moreover, intentional release of ozone-depleting substances into the atmosphere, including when contained in products and equipment, is prohibited under this Regulation, and all feasible measures must be taken to avoid unintentional emissions. </w:t>
      </w:r>
    </w:p>
    <w:p w14:paraId="3D98EEA0" w14:textId="77777777" w:rsidR="0066097B" w:rsidRPr="00C66C24" w:rsidRDefault="0066097B" w:rsidP="0066097B">
      <w:pPr>
        <w:spacing w:before="0" w:after="0" w:line="259" w:lineRule="auto"/>
        <w:rPr>
          <w:b/>
          <w:bCs/>
          <w:color w:val="44546A" w:themeColor="text2"/>
        </w:rPr>
      </w:pPr>
    </w:p>
    <w:p w14:paraId="2F074505" w14:textId="6AADAE82"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b/>
          <w:bCs/>
          <w:color w:val="000000" w:themeColor="text1"/>
        </w:rPr>
        <w:t>Monitoring and reporting framework</w:t>
      </w:r>
    </w:p>
    <w:p w14:paraId="44EFA2F0" w14:textId="77777777" w:rsidR="0066097B" w:rsidRPr="00C66C24" w:rsidRDefault="0066097B" w:rsidP="0066097B">
      <w:pPr>
        <w:spacing w:before="0" w:after="0" w:line="259" w:lineRule="auto"/>
        <w:rPr>
          <w:rFonts w:ascii="Calibri" w:eastAsia="Calibri" w:hAnsi="Calibri" w:cs="Calibri"/>
          <w:i/>
          <w:szCs w:val="22"/>
        </w:rPr>
      </w:pPr>
      <w:r w:rsidRPr="00C66C24">
        <w:rPr>
          <w:i/>
        </w:rPr>
        <w:t>Air pollution inventories</w:t>
      </w:r>
    </w:p>
    <w:p w14:paraId="384AAE06" w14:textId="3060EAC7" w:rsidR="0066097B" w:rsidRPr="00C66C24" w:rsidRDefault="0066097B" w:rsidP="0066097B">
      <w:pPr>
        <w:spacing w:before="0" w:after="0" w:line="259" w:lineRule="auto"/>
        <w:rPr>
          <w:rFonts w:ascii="Calibri" w:eastAsia="Times New Roman" w:hAnsi="Calibri" w:cs="Calibri"/>
          <w:lang w:eastAsia="en-IE"/>
        </w:rPr>
      </w:pPr>
      <w:r w:rsidRPr="00C66C24">
        <w:rPr>
          <w:rFonts w:ascii="Calibri" w:eastAsia="Times New Roman" w:hAnsi="Calibri" w:cs="Calibri"/>
          <w:lang w:eastAsia="en-IE"/>
        </w:rPr>
        <w:t>The joint EMEP/EEA (European Monitoring and Evaluation Programme/ European Environment Agency) air pollution inventories for navigation are annual estimates provided by Member States based on fuel consumption. These inventories are the outcome of the reporting required under the Air Convention (article 8), and include emissions of CO</w:t>
      </w:r>
      <w:r w:rsidRPr="00C66C24">
        <w:rPr>
          <w:rFonts w:ascii="Calibri" w:eastAsia="Times New Roman" w:hAnsi="Calibri" w:cs="Calibri"/>
          <w:vertAlign w:val="subscript"/>
          <w:lang w:eastAsia="en-IE"/>
        </w:rPr>
        <w:t>2</w:t>
      </w:r>
      <w:r w:rsidRPr="00C66C24">
        <w:rPr>
          <w:rFonts w:ascii="Calibri" w:eastAsia="Times New Roman" w:hAnsi="Calibri" w:cs="Calibri"/>
          <w:lang w:eastAsia="en-IE"/>
        </w:rPr>
        <w:t>, CH</w:t>
      </w:r>
      <w:r w:rsidRPr="00C66C24">
        <w:rPr>
          <w:rFonts w:ascii="Calibri" w:eastAsia="Times New Roman" w:hAnsi="Calibri" w:cs="Calibri"/>
          <w:vertAlign w:val="subscript"/>
          <w:lang w:eastAsia="en-IE"/>
        </w:rPr>
        <w:t>4</w:t>
      </w:r>
      <w:r w:rsidRPr="00C66C24">
        <w:rPr>
          <w:rFonts w:ascii="Calibri" w:eastAsia="Times New Roman" w:hAnsi="Calibri" w:cs="Calibri"/>
          <w:lang w:eastAsia="en-IE"/>
        </w:rPr>
        <w:t>, N</w:t>
      </w:r>
      <w:r w:rsidRPr="00C66C24">
        <w:rPr>
          <w:rFonts w:ascii="Calibri" w:eastAsia="Times New Roman" w:hAnsi="Calibri" w:cs="Calibri"/>
          <w:vertAlign w:val="subscript"/>
          <w:lang w:eastAsia="en-IE"/>
        </w:rPr>
        <w:t>2</w:t>
      </w:r>
      <w:r w:rsidRPr="00C66C24">
        <w:rPr>
          <w:rFonts w:ascii="Calibri" w:eastAsia="Times New Roman" w:hAnsi="Calibri" w:cs="Calibri"/>
          <w:lang w:eastAsia="en-IE"/>
        </w:rPr>
        <w:t>O, carbon monoxide (CO), non-methane volatile organic compounds (NMVOCs), SOx, NOx and PM for all water-born transport ranging from recreational craft to large ocean-going cargo vessels. For the purposes of the inventories, the definition of both navigation and fishing activities are consistent with ones defined under the auspices of the IPCC reporting and presented previously in the GHG section.</w:t>
      </w:r>
    </w:p>
    <w:p w14:paraId="2402F80B" w14:textId="77777777" w:rsidR="0066097B" w:rsidRPr="00C66C24" w:rsidRDefault="0066097B" w:rsidP="0066097B">
      <w:pPr>
        <w:spacing w:before="0" w:after="0" w:line="259" w:lineRule="auto"/>
        <w:rPr>
          <w:rFonts w:ascii="Calibri" w:eastAsia="Calibri" w:hAnsi="Calibri" w:cs="Calibri"/>
          <w:b/>
          <w:color w:val="000000" w:themeColor="text1"/>
        </w:rPr>
      </w:pPr>
    </w:p>
    <w:p w14:paraId="20F28C00" w14:textId="77777777" w:rsidR="0066097B" w:rsidRPr="00C66C24" w:rsidRDefault="0066097B" w:rsidP="0066097B">
      <w:pPr>
        <w:spacing w:before="0" w:after="0" w:line="259" w:lineRule="auto"/>
        <w:rPr>
          <w:rFonts w:ascii="Calibri" w:eastAsia="Calibri" w:hAnsi="Calibri" w:cs="Calibri"/>
          <w:i/>
          <w:iCs w:val="0"/>
          <w:szCs w:val="22"/>
        </w:rPr>
      </w:pPr>
      <w:r w:rsidRPr="00C66C24">
        <w:rPr>
          <w:i/>
          <w:iCs w:val="0"/>
        </w:rPr>
        <w:t>Sulphur Oxides (SOx)</w:t>
      </w:r>
    </w:p>
    <w:p w14:paraId="13F192DA" w14:textId="240CB1BB"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The Sulphur Directive requires for EU Member State to ensure frequent and accurate sampling of the marine fuels available on the market or to be used onboard ships, as well as regular verifications of the ships’ logbooks, bunker delivery notes and sampling of the fuel onboard ship. Furthermore, Member States have to deliver an annual report to the European Commission (by the 30 of June) fulfilling several requirements on the monitoring and sampling carried out in the previous year, such as total annual number of vessels inspected, samples taken, as well as non-compliant vessels, penalties applied, a list of all the name and address of marine fuels suppliers in the relevant Member States, etc.</w:t>
      </w:r>
    </w:p>
    <w:p w14:paraId="359B672C"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According to the Directive, ships have to keep onboard the information regarding the fuel used and in case of inspection produce the evidence. The Sulphur Directive also stipulates that the ship’s logbook should be correctly completed including fuel-changeover operations when entering in SECA areas. In 2015, a Commission Decision (EU) 2015/253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{"citationID":"a1lr2sagjkn","properties":{"formattedCitation":"(EC, 2015)","plainCitation":"(EC, 2015)","noteIndex":0},"citationItems":[{"id":23806,"uris":["http://zotero.org/groups/122386/items/UK6PV8SX"],"itemData":{"id":23806,"type":"document","publisher":"European Commission","title":"Commission Implementing Decision (EU) 2015/253 of 16 February 2015 laying down the rules concerning the sampling and reporting under Council Directive 1999/32/EC as regards the sulphur content of marine fuels","URL":"http://data.europa.eu/eli/dec_impl/2015/253/oj","author":[{"literal":"EC"}],"issued":{"date-parts":[["2015"]]}}}],"schema":"https://github.com/citation-style-language/schema/raw/master/csl-citation.json"}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(EC, 2015)</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laid down the rules for the fuel sampling and reporting aiming for the cost-efficient and coherent implementation and enforcement of the Directive. It defines the fuel sampling methods and information to be included in the annual report and, defines that Member States shall inspect 10% of the ships’ logbooks and bunker delivery notes on board from the total number of individual ships calling in EU ports per year.</w:t>
      </w:r>
    </w:p>
    <w:p w14:paraId="25D1E2BF" w14:textId="77777777" w:rsidR="0066097B" w:rsidRPr="00C66C24" w:rsidRDefault="0066097B" w:rsidP="0066097B">
      <w:pPr>
        <w:spacing w:before="0" w:after="0" w:line="259" w:lineRule="auto"/>
        <w:rPr>
          <w:u w:val="single"/>
        </w:rPr>
      </w:pPr>
    </w:p>
    <w:p w14:paraId="7FF4721B" w14:textId="77777777" w:rsidR="0066097B" w:rsidRPr="00C66C24" w:rsidRDefault="0066097B" w:rsidP="0066097B">
      <w:pPr>
        <w:spacing w:before="0" w:after="0" w:line="259" w:lineRule="auto"/>
        <w:rPr>
          <w:i/>
          <w:iCs w:val="0"/>
        </w:rPr>
      </w:pPr>
      <w:r w:rsidRPr="00C66C24">
        <w:rPr>
          <w:i/>
          <w:iCs w:val="0"/>
        </w:rPr>
        <w:t>Nitrogen Oxides (NOx)</w:t>
      </w:r>
    </w:p>
    <w:p w14:paraId="5FCA62E7" w14:textId="4E609CCE"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The control of Diesel engine</w:t>
      </w:r>
      <w:r w:rsidR="009B7EB9"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NOx</w:t>
      </w:r>
      <w:r w:rsidR="009B7EB9"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emissions is achieved through the survey and certification requirements leading to the issue of an Engine International Air Pollution Prevention (EIAPP) Certificate and the subsequent demonstration of in-service compliance in accordance with the requirements of the mandatory regulations, NOx Technical Code 2008 (resolution MEPC.177(58);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{"citationID":"a2m3b4gcv5a","properties":{"formattedCitation":"\\uldash{(IMO, 2008)}","plainCitation":"(IMO, 2008)","dontUpdate":true,"noteIndex":0},"citationItems":[{"id":52298,"uris":["http://zotero.org/groups/122386/items/SRL7CX22"],"itemData":{"id":52298,"type":"document","publisher":"International Maritime Organization","title":"Resolution MEPC.177(58). Amendments to the technical code on control of emission of nitrogen oxides from marine diesel engines","URL":"https://wwwcdn.imo.org/localresources/en/OurWork/Environment/Documents/177(58).pdf","author":[{"literal":"IMO"}],"issued":{"date-parts":[["2008"]]}}}],"schema":"https://github.com/citation-style-language/schema/raw/master/csl-citation.json"}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IMO, 2008</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r w:rsidR="00722D52"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This is performed in an early stage in laboratory on a test bed (pre-certification) or directly on-board (combined pre-certification and initial certification). In both cases, this is done </w:t>
      </w:r>
      <w:r w:rsidRPr="00C66C24" w:rsidDel="00C05E0C">
        <w:rPr>
          <w:rFonts w:ascii="Calibri" w:eastAsia="Calibri" w:hAnsi="Calibri" w:cs="Calibri"/>
          <w:color w:val="000000" w:themeColor="text1"/>
        </w:rPr>
        <w:t xml:space="preserve">according to </w:t>
      </w:r>
      <w:r w:rsidRPr="00C66C24">
        <w:rPr>
          <w:rFonts w:ascii="Calibri" w:eastAsia="Calibri" w:hAnsi="Calibri" w:cs="Calibri"/>
          <w:color w:val="000000" w:themeColor="text1"/>
        </w:rPr>
        <w:t>standard test cycles with predefined speed and load profiles</w:t>
      </w:r>
      <w:r w:rsidR="00722D52"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and performed in reference conditions. </w:t>
      </w:r>
      <w:r w:rsidRPr="00C66C24" w:rsidDel="00254715">
        <w:rPr>
          <w:rFonts w:ascii="Calibri" w:eastAsia="Calibri" w:hAnsi="Calibri" w:cs="Calibri"/>
          <w:color w:val="000000" w:themeColor="text1"/>
        </w:rPr>
        <w:t>Ensuring c</w:t>
      </w:r>
      <w:r w:rsidRPr="00C66C24">
        <w:rPr>
          <w:rFonts w:ascii="Calibri" w:eastAsia="Calibri" w:hAnsi="Calibri" w:cs="Calibri"/>
          <w:color w:val="000000" w:themeColor="text1"/>
        </w:rPr>
        <w:t>ompliance with the limits established in MARPOL Annex VI should translate into low NOx emissions in real applications. Nevertheless, in order for this to take place, the testing conditions must be fully representative of those encountered in real world operation in term of load profiles, ambient temperature, fuel quality, etc.</w:t>
      </w:r>
    </w:p>
    <w:p w14:paraId="724123BD" w14:textId="77777777" w:rsidR="0066097B" w:rsidRPr="00C66C24" w:rsidRDefault="0066097B" w:rsidP="0066097B">
      <w:pPr>
        <w:spacing w:before="0" w:after="0" w:line="259" w:lineRule="auto"/>
        <w:rPr>
          <w:rFonts w:ascii="Calibri" w:eastAsia="Calibri" w:hAnsi="Calibri" w:cs="Calibri"/>
          <w:color w:val="000000" w:themeColor="text1"/>
        </w:rPr>
      </w:pPr>
    </w:p>
    <w:p w14:paraId="4804F21C" w14:textId="77777777" w:rsidR="0066097B" w:rsidRPr="00C66C24" w:rsidRDefault="0066097B" w:rsidP="0066097B">
      <w:pPr>
        <w:spacing w:before="0" w:after="0" w:line="259" w:lineRule="auto"/>
        <w:rPr>
          <w:i/>
          <w:iCs w:val="0"/>
        </w:rPr>
      </w:pPr>
      <w:r w:rsidRPr="00C66C24">
        <w:rPr>
          <w:i/>
          <w:iCs w:val="0"/>
        </w:rPr>
        <w:t xml:space="preserve">Particulate Matter (PM) </w:t>
      </w:r>
    </w:p>
    <w:p w14:paraId="00C8FE1B" w14:textId="179DE47F"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From a monitoring perspective, although</w:t>
      </w:r>
      <w:r w:rsidRPr="00C66C24">
        <w:rPr>
          <w:rFonts w:ascii="Calibri" w:eastAsia="Calibri" w:hAnsi="Calibri" w:cs="Calibri"/>
          <w:szCs w:val="22"/>
        </w:rPr>
        <w:t xml:space="preserve"> there is no specific reporting and monitoring scheme exclusively dedicated to PM emissions, the existing reporting and monitoring mechanisms, along with regulatory measures targeting SOx, NOx, and fuel quality, indirectly contribute to the reduction of PM emissions from the maritime sector. T</w:t>
      </w:r>
      <w:r w:rsidRPr="00C66C24">
        <w:rPr>
          <w:rFonts w:ascii="Calibri" w:eastAsia="Calibri" w:hAnsi="Calibri" w:cs="Calibri"/>
          <w:color w:val="000000" w:themeColor="text1"/>
        </w:rPr>
        <w:t xml:space="preserve">here are inventories targeting PM, however, these inventories are estimations based on calculations of local emission factors linked to fuel consumption. The challenge is to accurately determine emission factors which adequately reflect the variety of ship operations, a problem which is further </w:t>
      </w:r>
      <w:r w:rsidR="00A20BEB" w:rsidRPr="00C66C24">
        <w:rPr>
          <w:rFonts w:ascii="Calibri" w:eastAsia="Calibri" w:hAnsi="Calibri" w:cs="Calibri"/>
          <w:color w:val="000000" w:themeColor="text1"/>
        </w:rPr>
        <w:t>complicated</w:t>
      </w:r>
      <w:r w:rsidRPr="00C66C24">
        <w:rPr>
          <w:rFonts w:ascii="Calibri" w:eastAsia="Calibri" w:hAnsi="Calibri" w:cs="Calibri"/>
          <w:color w:val="000000" w:themeColor="text1"/>
        </w:rPr>
        <w:t xml:space="preserve"> by the fact that </w:t>
      </w:r>
      <w:r w:rsidR="00A20BEB" w:rsidRPr="00C66C24">
        <w:rPr>
          <w:rFonts w:ascii="Calibri" w:eastAsia="Calibri" w:hAnsi="Calibri" w:cs="Calibri"/>
          <w:color w:val="000000" w:themeColor="text1"/>
        </w:rPr>
        <w:t xml:space="preserve">available </w:t>
      </w:r>
      <w:r w:rsidRPr="00C66C24">
        <w:rPr>
          <w:rFonts w:ascii="Calibri" w:eastAsia="Calibri" w:hAnsi="Calibri" w:cs="Calibri"/>
          <w:color w:val="000000" w:themeColor="text1"/>
        </w:rPr>
        <w:t>PM measurement t</w:t>
      </w:r>
      <w:r w:rsidR="00A20BEB" w:rsidRPr="00C66C24">
        <w:rPr>
          <w:rFonts w:ascii="Calibri" w:eastAsia="Calibri" w:hAnsi="Calibri" w:cs="Calibri"/>
          <w:color w:val="000000" w:themeColor="text1"/>
        </w:rPr>
        <w:t>ools</w:t>
      </w:r>
      <w:r w:rsidRPr="00C66C24">
        <w:rPr>
          <w:rFonts w:ascii="Calibri" w:eastAsia="Calibri" w:hAnsi="Calibri" w:cs="Calibri"/>
          <w:color w:val="000000" w:themeColor="text1"/>
        </w:rPr>
        <w:t xml:space="preserve"> are not </w:t>
      </w:r>
      <w:r w:rsidR="005B6E4B" w:rsidRPr="00C66C24">
        <w:rPr>
          <w:rFonts w:ascii="Calibri" w:eastAsia="Calibri" w:hAnsi="Calibri" w:cs="Calibri"/>
          <w:color w:val="000000" w:themeColor="text1"/>
        </w:rPr>
        <w:t>commonly used</w:t>
      </w:r>
      <w:r w:rsidRPr="00C66C24">
        <w:rPr>
          <w:rFonts w:ascii="Calibri" w:eastAsia="Calibri" w:hAnsi="Calibri" w:cs="Calibri"/>
          <w:color w:val="000000" w:themeColor="text1"/>
        </w:rPr>
        <w:t xml:space="preserve"> in </w:t>
      </w:r>
      <w:r w:rsidR="005B6E4B" w:rsidRPr="00C66C24">
        <w:rPr>
          <w:rFonts w:ascii="Calibri" w:eastAsia="Calibri" w:hAnsi="Calibri" w:cs="Calibri"/>
          <w:color w:val="000000" w:themeColor="text1"/>
        </w:rPr>
        <w:t>the shipping sector</w:t>
      </w:r>
      <w:r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{"citationID":"AFYcdVqC","properties":{"formattedCitation":"(DNV, 2016)","plainCitation":"(DNV, 2016)","noteIndex":0},"citationItems":[{"id":34011,"uris":["http://zotero.org/groups/122386/items/UH7HKYWB"],"itemData":{"id":34011,"type":"report","abstract":"Recent studies on the effects of particulate matter (PM)\nand international initiatives to reduce emissions to\nair have prompted a growing interest in particulate\nemissions and the role they play in accelerating climate\nchange. Recent studies looking at PM’s effects\non human health and how the shipping industry may\nbe contributing to PM emissions have lead international\norganisations to question the suitability of the\ncurrent legal framework on ship emissions.\nBlack carbon (BC) is one of the main points of discussion\nin this debate. BC is a light-absorbing component\nof particulate matter and is said to have a detrimental\neffect on climate forcing. The overall impact of shipping\non PM / BC is presumably limited, but it may\nhave a significant impact on a regional level, as ships\nmay operate close to arctic areas and the number of\nthese operations is expected to increase in the future.\nThe effects of PM on human health are not related to\nblack carbon alone; they are dependent on the size\ndistribution (ultrafine fraction of PM emissions) as\nwell as the chemical composition of particles. Health\nimplications have already been recognized and\naddressed in regulations for land-based (transport)\nsectors. However, they are still being discussed for\nthe shipping industry.\nThis study provides further background on particulate\nmatter and black carbon, their effects on the environment\nand human health as well as the current\nstatus of shipping’s contribution to the overall\nanthropogenic impact. The paper also discusses\npotential ways to measure PM and BC, their origin\nand possible abatement technologies / strategies.","page":"16","title":"Particulate matter and black carbon safer, smarter, greener The global impact and what this means for shipping","URL":"https://www.safety4sea.com/wp-content/uploads/2016/06/DNV-GL-Brochure-Black-Carbon-2016_06.pdf","author":[{"family":"DNV","given":""}],"issued":{"date-parts":[["2016"]]}}}],"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(DNV, 2016)</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p>
    <w:p w14:paraId="39C914CC" w14:textId="77777777" w:rsidR="0066097B" w:rsidRPr="00C66C24" w:rsidRDefault="0066097B" w:rsidP="0066097B">
      <w:pPr>
        <w:spacing w:before="0" w:after="0" w:line="259" w:lineRule="auto"/>
        <w:rPr>
          <w:rFonts w:ascii="Calibri" w:eastAsia="Calibri" w:hAnsi="Calibri" w:cs="Calibri"/>
          <w:color w:val="000000" w:themeColor="text1"/>
        </w:rPr>
      </w:pPr>
    </w:p>
    <w:p w14:paraId="722F986B" w14:textId="42F5B9CE" w:rsidR="0066097B" w:rsidRPr="00C66C24" w:rsidRDefault="0066097B" w:rsidP="0066097B">
      <w:pPr>
        <w:spacing w:before="0" w:after="0" w:line="259" w:lineRule="auto"/>
        <w:rPr>
          <w:rFonts w:ascii="Calibri" w:eastAsia="Calibri" w:hAnsi="Calibri" w:cs="Calibri"/>
          <w:b/>
          <w:bCs/>
          <w:color w:val="000000" w:themeColor="text1"/>
        </w:rPr>
      </w:pPr>
      <w:r w:rsidRPr="00C66C24">
        <w:rPr>
          <w:rFonts w:ascii="Calibri" w:eastAsia="Calibri" w:hAnsi="Calibri" w:cs="Calibri"/>
          <w:b/>
          <w:bCs/>
          <w:color w:val="000000" w:themeColor="text1"/>
        </w:rPr>
        <w:t>Observations from Remote Piloted Aircraft Systems and other remote sensing technology used by Member States</w:t>
      </w:r>
    </w:p>
    <w:p w14:paraId="26F74306" w14:textId="67E5E38F"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rPr>
        <w:t xml:space="preserve">EMSA’s Remotely Piloted Aircraft Systems (RPAS) services are designed to assist with maritime surveillance activities linked with the implementation of Member States’ Coast Guard functions. These unmanned aerial vehicles, or drones, are equipped with different types of sensors and cameras that can collect and transmit real-time data to users, helping them with tasks such as monitoring ship emissions, detecting oil pollution, and maritime surveillance operations. </w:t>
      </w:r>
    </w:p>
    <w:p w14:paraId="76D30449" w14:textId="7957C8FA"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RPAS can be utilized for air pollution monitoring by using gas sensors (‘sniffers’) to measure the SOx, NOx, and CO</w:t>
      </w:r>
      <w:r w:rsidRPr="00C66C24">
        <w:rPr>
          <w:rFonts w:ascii="Calibri" w:eastAsia="Calibri" w:hAnsi="Calibri" w:cs="Calibri"/>
          <w:vertAlign w:val="subscript"/>
        </w:rPr>
        <w:t>2</w:t>
      </w:r>
      <w:r w:rsidRPr="00C66C24">
        <w:rPr>
          <w:rFonts w:ascii="Calibri" w:eastAsia="Calibri" w:hAnsi="Calibri" w:cs="Calibri"/>
        </w:rPr>
        <w:t xml:space="preserve"> content in a ship’s plume. The fuel sulphur content (FSC) of the ship’s fuel can be estimated by considering the ratio between SOx and CO</w:t>
      </w:r>
      <w:r w:rsidRPr="00C66C24">
        <w:rPr>
          <w:rFonts w:ascii="Calibri" w:eastAsia="Calibri" w:hAnsi="Calibri" w:cs="Calibri"/>
          <w:vertAlign w:val="subscript"/>
        </w:rPr>
        <w:t>2</w:t>
      </w:r>
      <w:r w:rsidRPr="00C66C24">
        <w:rPr>
          <w:rFonts w:ascii="Calibri" w:eastAsia="Calibri" w:hAnsi="Calibri" w:cs="Calibri"/>
        </w:rPr>
        <w:t>, adjusted by an emission factor. In the case of nitrogen, the emission can again be estimated by considering the ratio with CO</w:t>
      </w:r>
      <w:r w:rsidRPr="00C66C24">
        <w:rPr>
          <w:rFonts w:ascii="Calibri" w:eastAsia="Calibri" w:hAnsi="Calibri" w:cs="Calibri"/>
          <w:vertAlign w:val="subscript"/>
        </w:rPr>
        <w:t>2</w:t>
      </w:r>
      <w:r w:rsidRPr="00C66C24">
        <w:rPr>
          <w:rFonts w:ascii="Calibri" w:eastAsia="Calibri" w:hAnsi="Calibri" w:cs="Calibri"/>
        </w:rPr>
        <w:t xml:space="preserve"> and additionally factoring in the fuel efficiency of the engine, expressed in g/kWh. Both fuel sulphur content and NOx emission rate are estimated with a certain level of uncertainty, which under specific circumstances may account to up to 30% (FSC) and 50% (NOx emission rate) of the value. </w:t>
      </w:r>
    </w:p>
    <w:p w14:paraId="18584CD3" w14:textId="77777777"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EMSA’s RPAS are also equipped with optical cameras and AIS receivers, which can capture images of the monitored vessels and retrieve their information, such as geographical position and heading. Data related to fuel sulphur content is also shared with the EU platform that logs and exchanges information on the results of individual compliance verifications conducted by Member States’ competent authorities under the Sulphur Directive (THETIS-EU).</w:t>
      </w:r>
    </w:p>
    <w:p w14:paraId="0E87E823" w14:textId="37C60B78" w:rsidR="0066097B" w:rsidRPr="00C66C24" w:rsidRDefault="0066097B" w:rsidP="00CE4730">
      <w:pPr>
        <w:spacing w:before="0" w:after="120" w:line="259" w:lineRule="auto"/>
        <w:rPr>
          <w:rFonts w:ascii="Calibri" w:eastAsia="Calibri" w:hAnsi="Calibri" w:cs="Calibri"/>
        </w:rPr>
      </w:pPr>
      <w:r w:rsidRPr="00C66C24">
        <w:rPr>
          <w:rFonts w:ascii="Calibri" w:eastAsia="Calibri" w:hAnsi="Calibri" w:cs="Calibri"/>
        </w:rPr>
        <w:t xml:space="preserve">The gas measurements gathered by RPAS complement the emission monitoring activities undertaken by Member State authorities, ensuring all vessels transiting in European waters comply with legal requirements. Specifically, aerial measurements may be collected in open sea areas, where inspections are not feasible, and/or when vessels do not expect measurements (for example in high seas SECA areas). </w:t>
      </w:r>
    </w:p>
    <w:p w14:paraId="0879B120" w14:textId="0CA0357F" w:rsidR="0066097B" w:rsidRPr="00C66C24" w:rsidRDefault="0066097B" w:rsidP="0060547B">
      <w:pPr>
        <w:pStyle w:val="Heading6"/>
        <w:spacing w:before="0" w:after="120"/>
        <w:ind w:left="714" w:hanging="357"/>
      </w:pPr>
      <w:bookmarkStart w:id="275" w:name="_Toc152054890"/>
      <w:r w:rsidRPr="00C66C24">
        <w:t>Water Pollution</w:t>
      </w:r>
      <w:bookmarkEnd w:id="275"/>
    </w:p>
    <w:p w14:paraId="3F8CBD0A" w14:textId="4AA7FFD3" w:rsidR="0066097B" w:rsidRPr="00C66C24" w:rsidRDefault="0066097B" w:rsidP="0066097B">
      <w:pPr>
        <w:spacing w:before="0" w:after="0" w:line="259" w:lineRule="auto"/>
        <w:rPr>
          <w:rFonts w:ascii="Calibri" w:eastAsia="Calibri" w:hAnsi="Calibri" w:cs="Calibri"/>
          <w:b/>
          <w:i/>
          <w:szCs w:val="22"/>
        </w:rPr>
      </w:pPr>
      <w:r w:rsidRPr="00C66C24">
        <w:rPr>
          <w:rFonts w:ascii="Calibri" w:eastAsia="Calibri" w:hAnsi="Calibri" w:cs="Calibri"/>
        </w:rPr>
        <w:t>Ships can be a source of pollution in sea water which covers all types of releases that can originate from the normal operations of a ship as well as accidental releases. The pollution includes several types of substances such as oil, chemicals carried in bulk, garbage or sewage, other discharge waters and contaminants emitted into the water column, such as anti-foulants, as well as ballast waters, pollutants deposited via the atmosphere, and underwater radiated noise. A ship-related pollution problem arises from the dredging and relocation of contaminated sediments in waterways and ports.</w:t>
      </w:r>
    </w:p>
    <w:p w14:paraId="153D0D1D" w14:textId="77777777" w:rsidR="0066097B" w:rsidRPr="00C66C24" w:rsidRDefault="0066097B" w:rsidP="0066097B">
      <w:pPr>
        <w:spacing w:before="0" w:after="0" w:line="259" w:lineRule="auto"/>
      </w:pPr>
    </w:p>
    <w:p w14:paraId="622CDB43" w14:textId="43B2BCC1" w:rsidR="0066097B" w:rsidRPr="00C66C24" w:rsidRDefault="0066097B" w:rsidP="0060547B">
      <w:pPr>
        <w:pStyle w:val="Heading7"/>
        <w:spacing w:before="0" w:after="120"/>
        <w:ind w:left="714" w:hanging="357"/>
      </w:pPr>
      <w:bookmarkStart w:id="276" w:name="_Toc152054891"/>
      <w:r w:rsidRPr="00C66C24">
        <w:t>Contaminants and oil spills</w:t>
      </w:r>
      <w:bookmarkEnd w:id="276"/>
    </w:p>
    <w:p w14:paraId="6DE48F59" w14:textId="77777777" w:rsidR="0066097B" w:rsidRPr="00C66C24" w:rsidRDefault="0066097B" w:rsidP="0066097B">
      <w:pPr>
        <w:spacing w:before="0" w:after="0" w:line="259" w:lineRule="auto"/>
        <w:rPr>
          <w:b/>
          <w:bCs/>
        </w:rPr>
      </w:pPr>
      <w:r w:rsidRPr="00C66C24">
        <w:rPr>
          <w:b/>
          <w:bCs/>
        </w:rPr>
        <w:t>Regulatory framework</w:t>
      </w:r>
    </w:p>
    <w:p w14:paraId="745C4CC1" w14:textId="77777777" w:rsidR="0066097B" w:rsidRPr="00C66C24" w:rsidRDefault="0066097B" w:rsidP="0066097B">
      <w:pPr>
        <w:spacing w:before="0" w:after="0" w:line="259" w:lineRule="auto"/>
        <w:rPr>
          <w:u w:val="single"/>
        </w:rPr>
      </w:pPr>
      <w:r w:rsidRPr="00C66C24">
        <w:rPr>
          <w:u w:val="single"/>
        </w:rPr>
        <w:t>International framework</w:t>
      </w:r>
    </w:p>
    <w:p w14:paraId="13F97909" w14:textId="77777777"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 xml:space="preserve">From an international perspective, the MARPOL Convention </w:t>
      </w:r>
      <w:r w:rsidRPr="00C66C24">
        <w:rPr>
          <w:rFonts w:ascii="Calibri" w:eastAsia="Calibri" w:hAnsi="Calibri" w:cs="Calibri"/>
          <w:szCs w:val="22"/>
        </w:rPr>
        <w:t>(</w:t>
      </w:r>
      <w:r w:rsidRPr="00C66C24">
        <w:rPr>
          <w:szCs w:val="22"/>
          <w:lang w:eastAsia="en-GB"/>
        </w:rPr>
        <w:t>The International Convention for the Prevention of Pollution from Ships)</w:t>
      </w:r>
      <w:r w:rsidRPr="00C66C24">
        <w:rPr>
          <w:rFonts w:ascii="Calibri" w:eastAsia="Calibri" w:hAnsi="Calibri" w:cs="Calibri"/>
        </w:rPr>
        <w:t xml:space="preserve">  covers the regulations for the prevention of pollution  and details the discharge requirements for ships </w:t>
      </w:r>
      <w:r w:rsidRPr="00C66C24">
        <w:rPr>
          <w:rFonts w:ascii="Calibri" w:eastAsia="Calibri" w:hAnsi="Calibri" w:cs="Calibri"/>
        </w:rPr>
        <w:fldChar w:fldCharType="begin"/>
      </w:r>
      <w:r w:rsidRPr="00C66C24">
        <w:rPr>
          <w:rFonts w:ascii="Calibri" w:eastAsia="Calibri" w:hAnsi="Calibri" w:cs="Calibri"/>
        </w:rPr>
        <w:instrText xml:space="preserve"> ADDIN ZOTERO_ITEM CSL_CITATION {"citationID":"a13a8higu4h","properties":{"formattedCitation":"(IMO, 1983)","plainCitation":"(IMO, 1983)","noteIndex":0},"citationItems":[{"id":52442,"uris":["http://zotero.org/groups/122386/items/PAHVS5DK"],"itemData":{"id":52442,"type":"document","publisher":"International Maritime Organization","title":"MARPOL Annex I","URL":"http://www.marpoltraining.com/MMSKOREAN/MARPOL/Annex_I/index.htm","author":[{"literal":"IMO"}],"issued":{"date-parts":[["1983"]]}}}],"schema":"https://github.com/citation-style-language/schema/raw/master/csl-citation.json"} </w:instrText>
      </w:r>
      <w:r w:rsidRPr="00C66C24">
        <w:rPr>
          <w:rFonts w:ascii="Calibri" w:eastAsia="Calibri" w:hAnsi="Calibri" w:cs="Calibri"/>
        </w:rPr>
        <w:fldChar w:fldCharType="separate"/>
      </w:r>
      <w:r w:rsidRPr="00C66C24">
        <w:rPr>
          <w:rFonts w:ascii="Calibri" w:hAnsi="Calibri" w:cs="Calibri"/>
        </w:rPr>
        <w:t>(IMO, 1983)</w:t>
      </w:r>
      <w:r w:rsidRPr="00C66C24">
        <w:rPr>
          <w:rFonts w:ascii="Calibri" w:eastAsia="Calibri" w:hAnsi="Calibri" w:cs="Calibri"/>
        </w:rPr>
        <w:fldChar w:fldCharType="end"/>
      </w:r>
      <w:r w:rsidRPr="00C66C24">
        <w:rPr>
          <w:rFonts w:ascii="Calibri" w:eastAsia="Calibri" w:hAnsi="Calibri" w:cs="Calibri"/>
        </w:rPr>
        <w:t>. The introduction of MARPOL in 1983 was the response to the rising number of tanker accidents in that period. The Convention introduced several concepts and regulations that paved the way for safer procedures to prevent the occurrence of oil spills. These concepts include separated ballast tanks, double hull regulation, together with other safety-related instruments such as enhanced seafarers training.</w:t>
      </w:r>
    </w:p>
    <w:p w14:paraId="64A4F78E" w14:textId="77777777" w:rsidR="0066097B" w:rsidRPr="00C66C24" w:rsidRDefault="0066097B" w:rsidP="0066097B">
      <w:pPr>
        <w:spacing w:before="0" w:after="0" w:line="259" w:lineRule="auto"/>
        <w:rPr>
          <w:rFonts w:ascii="Calibri" w:eastAsia="Calibri" w:hAnsi="Calibri" w:cs="Calibri"/>
        </w:rPr>
      </w:pPr>
    </w:p>
    <w:p w14:paraId="27B9DFA6" w14:textId="77777777" w:rsidR="0066097B" w:rsidRPr="00C66C24" w:rsidRDefault="0066097B" w:rsidP="0066097B">
      <w:pPr>
        <w:spacing w:before="0" w:after="0" w:line="259" w:lineRule="auto"/>
        <w:rPr>
          <w:rFonts w:ascii="Calibri" w:eastAsia="Calibri" w:hAnsi="Calibri" w:cs="Calibri"/>
          <w:i/>
          <w:iCs w:val="0"/>
        </w:rPr>
      </w:pPr>
      <w:r w:rsidRPr="00C66C24">
        <w:rPr>
          <w:rFonts w:ascii="Calibri" w:eastAsia="Calibri" w:hAnsi="Calibri" w:cs="Calibri"/>
          <w:i/>
          <w:iCs w:val="0"/>
        </w:rPr>
        <w:t>Oil</w:t>
      </w:r>
    </w:p>
    <w:p w14:paraId="20C5ADB6" w14:textId="77777777"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 xml:space="preserve">MARPOL Annex I covers the regulations for the control of pollution by oil. For example, it is illegal if a ship discharges oil with concentration above 15 ppm (parts per million). This applies to tankers above 400 GT while </w:t>
      </w:r>
      <w:proofErr w:type="spellStart"/>
      <w:r w:rsidRPr="00C66C24">
        <w:rPr>
          <w:rFonts w:ascii="Calibri" w:eastAsia="Calibri" w:hAnsi="Calibri" w:cs="Calibri"/>
        </w:rPr>
        <w:t>en</w:t>
      </w:r>
      <w:proofErr w:type="spellEnd"/>
      <w:r w:rsidRPr="00C66C24">
        <w:rPr>
          <w:rFonts w:ascii="Calibri" w:eastAsia="Calibri" w:hAnsi="Calibri" w:cs="Calibri"/>
        </w:rPr>
        <w:t>-route outside a special area, for oil, which originates from cargo pump room bilges and has not been processed through oil filtering equipment.</w:t>
      </w:r>
    </w:p>
    <w:p w14:paraId="5AA5E0C1" w14:textId="77777777" w:rsidR="0066097B" w:rsidRPr="00C66C24" w:rsidRDefault="0066097B" w:rsidP="0066097B">
      <w:pPr>
        <w:spacing w:before="0" w:after="0" w:line="259" w:lineRule="auto"/>
        <w:rPr>
          <w:rFonts w:ascii="Calibri" w:eastAsia="Calibri" w:hAnsi="Calibri" w:cs="Calibri"/>
        </w:rPr>
      </w:pPr>
    </w:p>
    <w:p w14:paraId="28AC2A73" w14:textId="77777777" w:rsidR="0066097B" w:rsidRPr="00C66C24" w:rsidRDefault="0066097B" w:rsidP="0066097B">
      <w:pPr>
        <w:spacing w:before="0" w:after="0" w:line="259" w:lineRule="auto"/>
        <w:rPr>
          <w:rFonts w:ascii="Calibri" w:eastAsia="Calibri" w:hAnsi="Calibri" w:cs="Calibri"/>
          <w:i/>
          <w:iCs w:val="0"/>
        </w:rPr>
      </w:pPr>
      <w:r w:rsidRPr="00C66C24">
        <w:rPr>
          <w:rFonts w:ascii="Calibri" w:eastAsia="Calibri" w:hAnsi="Calibri" w:cs="Calibri"/>
          <w:i/>
          <w:iCs w:val="0"/>
        </w:rPr>
        <w:t>Noxious substances</w:t>
      </w:r>
    </w:p>
    <w:p w14:paraId="6FE54B8D" w14:textId="77777777"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 xml:space="preserve">MARPOL Annex II covers the regulations for the control of pollution by Noxious Liquid Substances in Bulk. For example, it is illegal if a ship discharges noxious liquid substances at a rate exceeding the maximum rate for which the underwater discharge outlets were designed. This applies to ships while </w:t>
      </w:r>
      <w:proofErr w:type="spellStart"/>
      <w:r w:rsidRPr="00C66C24">
        <w:rPr>
          <w:rFonts w:ascii="Calibri" w:eastAsia="Calibri" w:hAnsi="Calibri" w:cs="Calibri"/>
        </w:rPr>
        <w:t>en</w:t>
      </w:r>
      <w:proofErr w:type="spellEnd"/>
      <w:r w:rsidRPr="00C66C24">
        <w:rPr>
          <w:rFonts w:ascii="Calibri" w:eastAsia="Calibri" w:hAnsi="Calibri" w:cs="Calibri"/>
        </w:rPr>
        <w:t xml:space="preserve"> route at a speed less than 7 knots discharging residues of noxious liquid substances in Category X, Y or Z (as per the International Bulk Chemical Code) at a distance less than 12 nautical miles from the nearest land and in a depth of water less than 25 meters.</w:t>
      </w:r>
    </w:p>
    <w:p w14:paraId="4A904EE4" w14:textId="77777777" w:rsidR="0066097B" w:rsidRPr="00C66C24" w:rsidRDefault="0066097B" w:rsidP="0066097B">
      <w:pPr>
        <w:spacing w:before="0" w:after="0" w:line="259" w:lineRule="auto"/>
        <w:rPr>
          <w:rFonts w:ascii="Calibri" w:eastAsia="Calibri" w:hAnsi="Calibri" w:cs="Calibri"/>
        </w:rPr>
      </w:pPr>
    </w:p>
    <w:p w14:paraId="1D2F659C" w14:textId="77777777" w:rsidR="0066097B" w:rsidRPr="00C66C24" w:rsidRDefault="0066097B" w:rsidP="0066097B">
      <w:pPr>
        <w:spacing w:before="0" w:after="0" w:line="259" w:lineRule="auto"/>
        <w:rPr>
          <w:rFonts w:ascii="Calibri" w:eastAsia="Calibri" w:hAnsi="Calibri" w:cs="Calibri"/>
          <w:i/>
          <w:iCs w:val="0"/>
        </w:rPr>
      </w:pPr>
      <w:r w:rsidRPr="00C66C24">
        <w:rPr>
          <w:rFonts w:ascii="Calibri" w:eastAsia="Calibri" w:hAnsi="Calibri" w:cs="Calibri"/>
          <w:i/>
          <w:iCs w:val="0"/>
        </w:rPr>
        <w:t xml:space="preserve">Goods containing harmful substances </w:t>
      </w:r>
    </w:p>
    <w:p w14:paraId="3E59D0E9" w14:textId="77777777" w:rsidR="0066097B" w:rsidRPr="00C66C24" w:rsidRDefault="0066097B" w:rsidP="0066097B">
      <w:pPr>
        <w:spacing w:before="0" w:after="0" w:line="259" w:lineRule="auto"/>
        <w:rPr>
          <w:spacing w:val="-6"/>
        </w:rPr>
      </w:pPr>
      <w:r w:rsidRPr="00C66C24">
        <w:rPr>
          <w:rFonts w:ascii="Calibri" w:eastAsia="Calibri" w:hAnsi="Calibri" w:cs="Calibri"/>
        </w:rPr>
        <w:t xml:space="preserve">MARPOL </w:t>
      </w:r>
      <w:r w:rsidRPr="00C66C24">
        <w:rPr>
          <w:spacing w:val="-6"/>
        </w:rPr>
        <w:t>Annex III covers the regulations for the control of pollution by harmful substances carried by sea in packaged form. For example, it is illegal if a ship jettisons harmful substances in packaged form where it is not necessary for securing the safety of the ship or saving life at sea. This applies to the jettisoning of packaged goods as per the International Maritime Dangerous Goods Code.</w:t>
      </w:r>
    </w:p>
    <w:p w14:paraId="16B0602D" w14:textId="77777777" w:rsidR="0066097B" w:rsidRPr="00C66C24" w:rsidRDefault="0066097B" w:rsidP="0066097B">
      <w:pPr>
        <w:spacing w:before="0" w:after="0" w:line="259" w:lineRule="auto"/>
        <w:rPr>
          <w:spacing w:val="-6"/>
        </w:rPr>
      </w:pPr>
    </w:p>
    <w:p w14:paraId="0766568C" w14:textId="77777777" w:rsidR="0066097B" w:rsidRPr="00C66C24" w:rsidRDefault="0066097B" w:rsidP="0066097B">
      <w:pPr>
        <w:spacing w:before="0" w:after="0" w:line="259" w:lineRule="auto"/>
        <w:rPr>
          <w:rFonts w:ascii="Calibri" w:eastAsia="Calibri" w:hAnsi="Calibri" w:cs="Calibri"/>
          <w:i/>
          <w:iCs w:val="0"/>
        </w:rPr>
      </w:pPr>
      <w:r w:rsidRPr="00C66C24">
        <w:rPr>
          <w:rFonts w:ascii="Calibri" w:eastAsia="Calibri" w:hAnsi="Calibri" w:cs="Calibri"/>
          <w:i/>
          <w:iCs w:val="0"/>
        </w:rPr>
        <w:t>Sewage</w:t>
      </w:r>
    </w:p>
    <w:p w14:paraId="7C12F52C" w14:textId="77777777"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 xml:space="preserve">MARPOL Annex III covers the regulations for the control of pollution by sewage. For example, it is illegal if a ship discharges sewage which is not pre-treated. This applies to ships while </w:t>
      </w:r>
      <w:proofErr w:type="spellStart"/>
      <w:r w:rsidRPr="00C66C24">
        <w:rPr>
          <w:rFonts w:ascii="Calibri" w:eastAsia="Calibri" w:hAnsi="Calibri" w:cs="Calibri"/>
        </w:rPr>
        <w:t>en</w:t>
      </w:r>
      <w:proofErr w:type="spellEnd"/>
      <w:r w:rsidRPr="00C66C24">
        <w:rPr>
          <w:rFonts w:ascii="Calibri" w:eastAsia="Calibri" w:hAnsi="Calibri" w:cs="Calibri"/>
        </w:rPr>
        <w:t xml:space="preserve">-route at a speed less than 4 knots and at a distance less than 12 nautical miles from the nearest land, instantaneously discharging sewage held in holding tanks, which is not </w:t>
      </w:r>
      <w:proofErr w:type="spellStart"/>
      <w:r w:rsidRPr="00C66C24">
        <w:rPr>
          <w:rFonts w:ascii="Calibri" w:eastAsia="Calibri" w:hAnsi="Calibri" w:cs="Calibri"/>
        </w:rPr>
        <w:t>comminuted</w:t>
      </w:r>
      <w:proofErr w:type="spellEnd"/>
      <w:r w:rsidRPr="00C66C24">
        <w:rPr>
          <w:rFonts w:ascii="Calibri" w:eastAsia="Calibri" w:hAnsi="Calibri" w:cs="Calibri"/>
        </w:rPr>
        <w:t xml:space="preserve"> or disinfected. Regarding MARPOL Annex IV on sewage, most of the ship-source sewage discharge into sea is legal, in line with MARPOL discharge norms. The Baltic Sea is an exception as the IMO designate it as a Special area under MARPOL Annex IV, meaning that discharge of sewage from passenger ships (including cruise ships) is prohibited.</w:t>
      </w:r>
    </w:p>
    <w:p w14:paraId="7E54A1A6" w14:textId="77777777" w:rsidR="0066097B" w:rsidRPr="00C66C24" w:rsidRDefault="0066097B" w:rsidP="0066097B">
      <w:pPr>
        <w:spacing w:before="0" w:after="0" w:line="259" w:lineRule="auto"/>
        <w:rPr>
          <w:rFonts w:ascii="Calibri" w:eastAsia="Calibri" w:hAnsi="Calibri" w:cs="Calibri"/>
          <w:i/>
          <w:iCs w:val="0"/>
        </w:rPr>
      </w:pPr>
    </w:p>
    <w:p w14:paraId="0FCA6980" w14:textId="77777777" w:rsidR="0066097B" w:rsidRPr="00C66C24" w:rsidRDefault="0066097B" w:rsidP="0066097B">
      <w:pPr>
        <w:spacing w:before="0" w:after="0" w:line="259" w:lineRule="auto"/>
        <w:rPr>
          <w:rFonts w:ascii="Calibri" w:eastAsia="Calibri" w:hAnsi="Calibri" w:cs="Calibri"/>
          <w:i/>
          <w:iCs w:val="0"/>
        </w:rPr>
      </w:pPr>
      <w:r w:rsidRPr="00C66C24">
        <w:rPr>
          <w:rFonts w:ascii="Calibri" w:eastAsia="Calibri" w:hAnsi="Calibri" w:cs="Calibri"/>
          <w:i/>
          <w:iCs w:val="0"/>
        </w:rPr>
        <w:t>Garbage</w:t>
      </w:r>
    </w:p>
    <w:p w14:paraId="633E0148" w14:textId="77777777" w:rsidR="0066097B" w:rsidRPr="00C66C24" w:rsidRDefault="0066097B" w:rsidP="0066097B">
      <w:pPr>
        <w:spacing w:before="0" w:after="0" w:line="259" w:lineRule="auto"/>
        <w:rPr>
          <w:rFonts w:ascii="Calibri" w:hAnsi="Calibri"/>
        </w:rPr>
      </w:pPr>
      <w:r w:rsidRPr="000213F9">
        <w:rPr>
          <w:rFonts w:ascii="Calibri" w:eastAsia="Calibri" w:hAnsi="Calibri" w:cs="Calibri"/>
        </w:rPr>
        <w:t xml:space="preserve">MARPOL Annex V (garbage) regulates the discharge into the marine environment of plastic, domestic wastes, cooking oil, incinerator ashes, operational waste, fishing gear and animal carcasses generated during the normal operation of the ship and liable to be disposed of continuously or periodically. For example, it is illegal if a ship discharges garbage food waste, which cannot pass through a screen with openings less than 25 mm. This applies to ships while </w:t>
      </w:r>
      <w:proofErr w:type="spellStart"/>
      <w:r w:rsidRPr="000213F9">
        <w:rPr>
          <w:rFonts w:ascii="Calibri" w:eastAsia="Calibri" w:hAnsi="Calibri" w:cs="Calibri"/>
        </w:rPr>
        <w:t>en</w:t>
      </w:r>
      <w:proofErr w:type="spellEnd"/>
      <w:r w:rsidRPr="000213F9">
        <w:rPr>
          <w:rFonts w:ascii="Calibri" w:eastAsia="Calibri" w:hAnsi="Calibri" w:cs="Calibri"/>
        </w:rPr>
        <w:t xml:space="preserve">-route within a special area at a distance less than 12 nautical miles from the nearest land and for food waste which was not </w:t>
      </w:r>
      <w:proofErr w:type="spellStart"/>
      <w:r w:rsidRPr="000213F9">
        <w:rPr>
          <w:rFonts w:ascii="Calibri" w:eastAsia="Calibri" w:hAnsi="Calibri" w:cs="Calibri"/>
        </w:rPr>
        <w:t>comminuted</w:t>
      </w:r>
      <w:proofErr w:type="spellEnd"/>
      <w:r w:rsidRPr="000213F9">
        <w:rPr>
          <w:rFonts w:ascii="Calibri" w:eastAsia="Calibri" w:hAnsi="Calibri" w:cs="Calibri"/>
        </w:rPr>
        <w:t xml:space="preserve"> or grounded.</w:t>
      </w:r>
    </w:p>
    <w:p w14:paraId="5CC40052" w14:textId="77777777" w:rsidR="0066097B" w:rsidRPr="00C66C24" w:rsidRDefault="0066097B" w:rsidP="0066097B">
      <w:pPr>
        <w:spacing w:before="0" w:after="0" w:line="259" w:lineRule="auto"/>
        <w:rPr>
          <w:rFonts w:ascii="Calibri" w:eastAsia="Calibri" w:hAnsi="Calibri" w:cs="Calibri"/>
        </w:rPr>
      </w:pPr>
    </w:p>
    <w:p w14:paraId="664D2978" w14:textId="77777777" w:rsidR="0066097B" w:rsidRPr="00C66C24" w:rsidRDefault="0066097B" w:rsidP="0066097B">
      <w:pPr>
        <w:spacing w:before="0" w:after="0" w:line="259" w:lineRule="auto"/>
        <w:rPr>
          <w:rFonts w:ascii="Calibri" w:eastAsia="Calibri" w:hAnsi="Calibri" w:cs="Calibri"/>
          <w:u w:val="single"/>
        </w:rPr>
      </w:pPr>
      <w:r w:rsidRPr="00C66C24">
        <w:rPr>
          <w:rFonts w:ascii="Calibri" w:eastAsia="Calibri" w:hAnsi="Calibri" w:cs="Calibri"/>
          <w:u w:val="single"/>
        </w:rPr>
        <w:t>European Union Framework</w:t>
      </w:r>
    </w:p>
    <w:p w14:paraId="393CDF13" w14:textId="66BBCCAD"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 xml:space="preserve">The Ship-Source Pollution Directive (SSP Directive 2005/35/EC), tackles the issue of illicit discharges from ships and thereafter introduces rules for adequate penalties for infringements </w:t>
      </w:r>
      <w:r w:rsidRPr="00C66C24">
        <w:rPr>
          <w:rFonts w:ascii="Calibri" w:eastAsia="Calibri" w:hAnsi="Calibri" w:cs="Calibri"/>
        </w:rPr>
        <w:fldChar w:fldCharType="begin"/>
      </w:r>
      <w:r w:rsidRPr="00C66C24">
        <w:rPr>
          <w:rFonts w:ascii="Calibri" w:eastAsia="Calibri" w:hAnsi="Calibri" w:cs="Calibri"/>
        </w:rPr>
        <w:instrText xml:space="preserve"> ADDIN ZOTERO_ITEM CSL_CITATION {"citationID":"abd9372l9g","properties":{"formattedCitation":"(EU, 2005, 2009b)","plainCitation":"(EU, 2005, 2009b)","noteIndex":0},"citationItems":[{"id":21757,"uris":["http://zotero.org/groups/122386/items/JNWIQEV8"],"itemData":{"id":21757,"type":"document","publisher":"European Union","title":"Directive 2005/35/EC of the European Parliament and of the Council of 7 September 2005 on ship-source pollution and on the introduction of penalties for infringements","URL":"http://data.europa.eu/eli/dir/2005/35/oj","author":[{"family":"EU","given":""}],"issued":{"date-parts":[["2005"]]}}},{"id":21750,"uris":["http://zotero.org/groups/122386/items/LENBFED9"],"itemData":{"id":21750,"type":"document","publisher":"European Parliament and Council","title":"Directive 2009/123/EC of the European Parliament and of the Council of 21 October 2009 amending Directive 2005/35/EC on ship-source pollution and on the introduction of penalties for infringements","URL":"http://data.europa.eu/eli/dir/2009/123/oj","author":[{"family":"EU","given":""}],"issued":{"date-parts":[["2009"]]}}}],"schema":"https://github.com/citation-style-language/schema/raw/master/csl-citation.json"} </w:instrText>
      </w:r>
      <w:r w:rsidRPr="00C66C24">
        <w:rPr>
          <w:rFonts w:ascii="Calibri" w:eastAsia="Calibri" w:hAnsi="Calibri" w:cs="Calibri"/>
        </w:rPr>
        <w:fldChar w:fldCharType="separate"/>
      </w:r>
      <w:r w:rsidRPr="00C66C24">
        <w:rPr>
          <w:rFonts w:ascii="Calibri" w:hAnsi="Calibri" w:cs="Calibri"/>
        </w:rPr>
        <w:t>(EU, 2005, 2009b)</w:t>
      </w:r>
      <w:r w:rsidRPr="00C66C24">
        <w:rPr>
          <w:rFonts w:ascii="Calibri" w:eastAsia="Calibri" w:hAnsi="Calibri" w:cs="Calibri"/>
        </w:rPr>
        <w:fldChar w:fldCharType="end"/>
      </w:r>
      <w:r w:rsidRPr="00C66C24">
        <w:rPr>
          <w:rFonts w:ascii="Calibri" w:eastAsia="Calibri" w:hAnsi="Calibri" w:cs="Calibri"/>
        </w:rPr>
        <w:t xml:space="preserve">. </w:t>
      </w:r>
    </w:p>
    <w:p w14:paraId="6F46A6C1" w14:textId="77777777"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 xml:space="preserve">Geographically, the SSP Directive covers illegal discharges of polluting substances carried by any ship except for warships or other state owned or operated ships used only for government non-commercial service),. Ships are covered by this directive irrespective of their flag and the maritime zone in which the illegal discharge was committed. It encompasses all shipping maritime zones as set under the </w:t>
      </w:r>
      <w:r w:rsidRPr="00C66C24">
        <w:rPr>
          <w:rFonts w:ascii="Calibri" w:eastAsia="Calibri" w:hAnsi="Calibri" w:cs="Calibri"/>
          <w:i/>
        </w:rPr>
        <w:t>United Nations Convention on the Law of the Sea</w:t>
      </w:r>
      <w:r w:rsidRPr="00C66C24">
        <w:rPr>
          <w:rFonts w:ascii="Calibri" w:eastAsia="Calibri" w:hAnsi="Calibri" w:cs="Calibri"/>
        </w:rPr>
        <w:t xml:space="preserve"> </w:t>
      </w:r>
      <w:r w:rsidRPr="00C66C24">
        <w:rPr>
          <w:rFonts w:ascii="Calibri" w:eastAsia="Calibri" w:hAnsi="Calibri" w:cs="Calibri"/>
        </w:rPr>
        <w:fldChar w:fldCharType="begin"/>
      </w:r>
      <w:r w:rsidRPr="00C66C24">
        <w:rPr>
          <w:rFonts w:ascii="Calibri" w:eastAsia="Calibri" w:hAnsi="Calibri" w:cs="Calibri"/>
        </w:rPr>
        <w:instrText xml:space="preserve"> ADDIN ZOTERO_ITEM CSL_CITATION {"citationID":"nrRzHEQX","properties":{"formattedCitation":"(UNCLOS, 1982)","plainCitation":"(UNCLOS, 1982)","noteIndex":0},"citationItems":[{"id":21744,"uris":["http://zotero.org/groups/122386/items/L6845CLI"],"itemData":{"id":21744,"type":"document","license":"UNTS 396","publisher":"United Nations","title":"United Nations Convention on the Law of the Sea","title-short":"UNCLOS","URL":"https://www.un.org/depts/los/convention_agreements/texts/unclos/unclos_e.pdf","author":[{"family":"UNCLOS","given":""}],"issued":{"date-parts":[["1982"]]}}}],"schema":"https://github.com/citation-style-language/schema/raw/master/csl-citation.json"} </w:instrText>
      </w:r>
      <w:r w:rsidRPr="00C66C24">
        <w:rPr>
          <w:rFonts w:ascii="Calibri" w:eastAsia="Calibri" w:hAnsi="Calibri" w:cs="Calibri"/>
        </w:rPr>
        <w:fldChar w:fldCharType="separate"/>
      </w:r>
      <w:r w:rsidRPr="00C66C24">
        <w:rPr>
          <w:rFonts w:ascii="Calibri" w:hAnsi="Calibri" w:cs="Calibri"/>
        </w:rPr>
        <w:t>(UNCLOS, 1982)</w:t>
      </w:r>
      <w:r w:rsidRPr="00C66C24">
        <w:rPr>
          <w:rFonts w:ascii="Calibri" w:eastAsia="Calibri" w:hAnsi="Calibri" w:cs="Calibri"/>
        </w:rPr>
        <w:fldChar w:fldCharType="end"/>
      </w:r>
      <w:r w:rsidRPr="00C66C24">
        <w:rPr>
          <w:rFonts w:ascii="Calibri" w:eastAsia="Calibri" w:hAnsi="Calibri" w:cs="Calibri"/>
        </w:rPr>
        <w:t>, from a territorial waters to the high sea, including extends to straits used for international navigation to the extent that a Member State exercises jurisdiction over them.</w:t>
      </w:r>
    </w:p>
    <w:p w14:paraId="04782590" w14:textId="77777777"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The SSP Directive defines infringements caused by ships and obligations of Member States to follow up such infringements. It implies that the penalties imposed must be effective, proportionate and dissuasive. The SSP Directive works together with the Directive on Port Reception Facilities (PRF Directive) which ensures adequate facilities for ships to discharge their waste in ports.</w:t>
      </w:r>
    </w:p>
    <w:p w14:paraId="1045CB13" w14:textId="77777777" w:rsidR="0066097B" w:rsidRPr="00C66C24" w:rsidRDefault="0066097B" w:rsidP="0066097B">
      <w:pPr>
        <w:spacing w:before="0" w:after="0" w:line="259" w:lineRule="auto"/>
        <w:rPr>
          <w:rFonts w:ascii="Calibri" w:eastAsia="Calibri" w:hAnsi="Calibri" w:cs="Calibri"/>
        </w:rPr>
      </w:pPr>
      <w:r w:rsidRPr="00C66C24">
        <w:rPr>
          <w:rFonts w:ascii="Calibri" w:eastAsia="Calibri" w:hAnsi="Calibri" w:cs="Calibri"/>
        </w:rPr>
        <w:t>The SSP implies penalties for the following offences:</w:t>
      </w:r>
    </w:p>
    <w:p w14:paraId="608C4F7F" w14:textId="77777777" w:rsidR="0066097B" w:rsidRPr="00C66C24" w:rsidRDefault="0066097B" w:rsidP="00B14BA4">
      <w:pPr>
        <w:pStyle w:val="ListParagraph"/>
        <w:numPr>
          <w:ilvl w:val="0"/>
          <w:numId w:val="19"/>
        </w:numPr>
        <w:spacing w:before="0" w:after="0" w:line="259" w:lineRule="auto"/>
        <w:contextualSpacing w:val="0"/>
        <w:rPr>
          <w:rFonts w:ascii="Calibri" w:eastAsia="Calibri" w:hAnsi="Calibri" w:cs="Calibri"/>
          <w:i/>
          <w:iCs w:val="0"/>
          <w:lang w:val="en-GB"/>
        </w:rPr>
      </w:pPr>
      <w:r w:rsidRPr="00C66C24">
        <w:rPr>
          <w:rFonts w:ascii="Calibri" w:eastAsia="Calibri" w:hAnsi="Calibri" w:cs="Calibri"/>
          <w:lang w:val="en-GB"/>
        </w:rPr>
        <w:t>If a discharge of oil is illegal based on international standards set in MARPOL Annex I;</w:t>
      </w:r>
    </w:p>
    <w:p w14:paraId="01D2B2CD" w14:textId="77777777" w:rsidR="0066097B" w:rsidRPr="00C66C24" w:rsidRDefault="0066097B" w:rsidP="00B14BA4">
      <w:pPr>
        <w:pStyle w:val="ListParagraph"/>
        <w:numPr>
          <w:ilvl w:val="0"/>
          <w:numId w:val="19"/>
        </w:numPr>
        <w:spacing w:before="0" w:after="0" w:line="259" w:lineRule="auto"/>
        <w:contextualSpacing w:val="0"/>
        <w:rPr>
          <w:rFonts w:ascii="Calibri" w:eastAsia="Calibri" w:hAnsi="Calibri" w:cs="Calibri"/>
          <w:i/>
          <w:iCs w:val="0"/>
          <w:lang w:val="en-GB"/>
        </w:rPr>
      </w:pPr>
      <w:r w:rsidRPr="00C66C24">
        <w:rPr>
          <w:rFonts w:ascii="Calibri" w:eastAsia="Calibri" w:hAnsi="Calibri" w:cs="Calibri"/>
          <w:lang w:val="en-GB"/>
        </w:rPr>
        <w:t>If a discharge of Noxious Liquid Substances in Bulk is illegal based on international standards set in MARPOL Annex II;</w:t>
      </w:r>
    </w:p>
    <w:p w14:paraId="0B221906" w14:textId="77777777" w:rsidR="0066097B" w:rsidRPr="00C66C24" w:rsidRDefault="0066097B" w:rsidP="00B14BA4">
      <w:pPr>
        <w:pStyle w:val="ListParagraph"/>
        <w:numPr>
          <w:ilvl w:val="0"/>
          <w:numId w:val="19"/>
        </w:numPr>
        <w:spacing w:before="0" w:after="0" w:line="259" w:lineRule="auto"/>
        <w:contextualSpacing w:val="0"/>
        <w:rPr>
          <w:rFonts w:ascii="Calibri" w:eastAsia="Calibri" w:hAnsi="Calibri" w:cs="Calibri"/>
          <w:i/>
          <w:iCs w:val="0"/>
          <w:lang w:val="en-GB"/>
        </w:rPr>
      </w:pPr>
      <w:r w:rsidRPr="00C66C24">
        <w:rPr>
          <w:rFonts w:ascii="Calibri" w:eastAsia="Calibri" w:hAnsi="Calibri" w:cs="Calibri"/>
          <w:lang w:val="en-GB"/>
        </w:rPr>
        <w:t xml:space="preserve">If a discharge of </w:t>
      </w:r>
      <w:r w:rsidRPr="00C66C24">
        <w:rPr>
          <w:spacing w:val="-6"/>
          <w:lang w:val="en-GB"/>
        </w:rPr>
        <w:t>harmful substances carried by sea in packaged form</w:t>
      </w:r>
      <w:r w:rsidRPr="00C66C24">
        <w:rPr>
          <w:rFonts w:ascii="Calibri" w:eastAsia="Calibri" w:hAnsi="Calibri" w:cs="Calibri"/>
          <w:lang w:val="en-GB"/>
        </w:rPr>
        <w:t xml:space="preserve"> is illegal based on international standards set in MARPOL Annex III;</w:t>
      </w:r>
    </w:p>
    <w:p w14:paraId="3626B7A6" w14:textId="77777777" w:rsidR="0066097B" w:rsidRPr="00C66C24" w:rsidRDefault="0066097B" w:rsidP="00B14BA4">
      <w:pPr>
        <w:pStyle w:val="ListParagraph"/>
        <w:numPr>
          <w:ilvl w:val="0"/>
          <w:numId w:val="19"/>
        </w:numPr>
        <w:spacing w:before="0" w:after="0" w:line="259" w:lineRule="auto"/>
        <w:contextualSpacing w:val="0"/>
        <w:rPr>
          <w:rFonts w:ascii="Calibri" w:eastAsia="Calibri" w:hAnsi="Calibri" w:cs="Calibri"/>
          <w:i/>
          <w:iCs w:val="0"/>
          <w:lang w:val="en-GB"/>
        </w:rPr>
      </w:pPr>
      <w:r w:rsidRPr="00C66C24">
        <w:rPr>
          <w:rFonts w:ascii="Calibri" w:eastAsia="Calibri" w:hAnsi="Calibri" w:cs="Calibri"/>
          <w:lang w:val="en-GB"/>
        </w:rPr>
        <w:t xml:space="preserve">If a discharge of </w:t>
      </w:r>
      <w:r w:rsidRPr="00C66C24">
        <w:rPr>
          <w:spacing w:val="-6"/>
          <w:lang w:val="en-GB"/>
        </w:rPr>
        <w:t>sewage</w:t>
      </w:r>
      <w:r w:rsidRPr="00C66C24">
        <w:rPr>
          <w:rFonts w:ascii="Calibri" w:eastAsia="Calibri" w:hAnsi="Calibri" w:cs="Calibri"/>
          <w:lang w:val="en-GB"/>
        </w:rPr>
        <w:t xml:space="preserve"> is illegal based on international standards set in MARPOL Annex IV;</w:t>
      </w:r>
    </w:p>
    <w:p w14:paraId="06603C2E" w14:textId="77777777" w:rsidR="0066097B" w:rsidRPr="00C66C24" w:rsidRDefault="0066097B" w:rsidP="00B14BA4">
      <w:pPr>
        <w:pStyle w:val="ListParagraph"/>
        <w:numPr>
          <w:ilvl w:val="0"/>
          <w:numId w:val="19"/>
        </w:numPr>
        <w:spacing w:before="0" w:after="0" w:line="259" w:lineRule="auto"/>
        <w:contextualSpacing w:val="0"/>
        <w:rPr>
          <w:rFonts w:ascii="Calibri" w:eastAsia="Calibri" w:hAnsi="Calibri" w:cs="Calibri"/>
          <w:lang w:val="en-GB"/>
        </w:rPr>
      </w:pPr>
      <w:r w:rsidRPr="00C66C24">
        <w:rPr>
          <w:rFonts w:ascii="Calibri" w:eastAsia="Calibri" w:hAnsi="Calibri" w:cs="Calibri"/>
          <w:lang w:val="en-GB"/>
        </w:rPr>
        <w:t xml:space="preserve">If a discharge of </w:t>
      </w:r>
      <w:r w:rsidRPr="00C66C24">
        <w:rPr>
          <w:spacing w:val="-6"/>
          <w:lang w:val="en-GB"/>
        </w:rPr>
        <w:t>garbage</w:t>
      </w:r>
      <w:r w:rsidRPr="00C66C24">
        <w:rPr>
          <w:rFonts w:ascii="Calibri" w:eastAsia="Calibri" w:hAnsi="Calibri" w:cs="Calibri"/>
          <w:lang w:val="en-GB"/>
        </w:rPr>
        <w:t xml:space="preserve"> is illegal based on international standards set in MARPOL Annex V.</w:t>
      </w:r>
    </w:p>
    <w:p w14:paraId="34F175F2" w14:textId="77777777" w:rsidR="0066097B" w:rsidRPr="00C66C24" w:rsidRDefault="0066097B" w:rsidP="0066097B">
      <w:pPr>
        <w:spacing w:before="0" w:after="0" w:line="259" w:lineRule="auto"/>
        <w:rPr>
          <w:rFonts w:ascii="Calibri" w:eastAsia="Calibri" w:hAnsi="Calibri" w:cs="Calibri"/>
          <w:b/>
          <w:bCs/>
        </w:rPr>
      </w:pPr>
    </w:p>
    <w:p w14:paraId="2E469876" w14:textId="77777777" w:rsidR="0066097B" w:rsidRPr="00C66C24" w:rsidRDefault="0066097B" w:rsidP="0066097B">
      <w:pPr>
        <w:spacing w:before="0" w:after="0" w:line="259" w:lineRule="auto"/>
        <w:rPr>
          <w:rFonts w:ascii="Calibri" w:eastAsia="Calibri" w:hAnsi="Calibri" w:cs="Calibri"/>
          <w:b/>
          <w:bCs/>
        </w:rPr>
      </w:pPr>
      <w:r w:rsidRPr="00C66C24">
        <w:rPr>
          <w:rFonts w:ascii="Calibri" w:eastAsia="Calibri" w:hAnsi="Calibri" w:cs="Calibri"/>
          <w:b/>
          <w:bCs/>
        </w:rPr>
        <w:t>Monitoring and reporting framework</w:t>
      </w:r>
    </w:p>
    <w:p w14:paraId="6553AEA6" w14:textId="371037D2" w:rsidR="0066097B" w:rsidRPr="00867A30" w:rsidRDefault="0066097B" w:rsidP="0066097B">
      <w:pPr>
        <w:spacing w:before="0" w:after="0" w:line="259" w:lineRule="auto"/>
        <w:rPr>
          <w:rFonts w:eastAsia="Calibri" w:cstheme="minorHAnsi"/>
          <w:szCs w:val="22"/>
        </w:rPr>
      </w:pPr>
      <w:r w:rsidRPr="00867A30">
        <w:rPr>
          <w:rFonts w:eastAsia="Calibri" w:cstheme="minorHAnsi"/>
          <w:szCs w:val="22"/>
        </w:rPr>
        <w:t xml:space="preserve">Prior to 2024, the Ship-Source Pollution Directive required Member States authorities to report on the application of the Directive every three years. However, there was no requirements for the type of information to be reported and as a result there was little information collected. With the 2024 amendment of the SSP Directive, the reporting framework has been improved and more monitoring data will be available to analyse of pollution incidence and penalties imposed. </w:t>
      </w:r>
      <w:r w:rsidRPr="00867A30">
        <w:rPr>
          <w:rFonts w:eastAsia="Calibri" w:cstheme="minorHAnsi"/>
          <w:szCs w:val="22"/>
        </w:rPr>
        <w:fldChar w:fldCharType="begin"/>
      </w:r>
      <w:r w:rsidRPr="00C66C24">
        <w:rPr>
          <w:rFonts w:ascii="Calibri" w:eastAsia="Calibri" w:hAnsi="Calibri" w:cs="Calibri"/>
        </w:rPr>
        <w:instrText xml:space="preserve"> ADDIN ZOTERO_ITEM CSL_CITATION {"citationID":"a2ff091cvgr","properties":{"formattedCitation":"(EC, 2023b)","plainCitation":"(EC, 2023b)","dontUpdate":true,"noteIndex":0},"citationItems":[{"id":52180,"uris":["http://zotero.org/groups/122386/items/EKH7EBAV"],"itemData":{"id":52180,"type":"document","language":"EN","title":"Proposal for a directive of the European Parliament and of the Council - amending Directive 2005/35/EC on ship-source pollution and on the introduction of penalties, including criminal penalties, for pollution offences","URL":"https://transport.ec.europa.eu/system/files/2023-06/COM_2023_273_Ship-source_pollution.pdf","author":[{"family":"EC","given":""}],"accessed":{"date-parts":[["2023",10,24]]},"issued":{"date-parts":[["2023"]]}}}],"schema":"https://github.com/citation-style-language/schema/raw/master/csl-citation.json"} </w:instrText>
      </w:r>
      <w:r w:rsidRPr="00867A30">
        <w:rPr>
          <w:rFonts w:eastAsia="Calibri" w:cstheme="minorHAnsi"/>
          <w:szCs w:val="22"/>
        </w:rPr>
        <w:fldChar w:fldCharType="separate"/>
      </w:r>
      <w:r w:rsidRPr="00867A30">
        <w:rPr>
          <w:rFonts w:eastAsia="Calibri" w:cstheme="minorHAnsi"/>
          <w:szCs w:val="22"/>
        </w:rPr>
        <w:t>(EC, 2023</w:t>
      </w:r>
      <w:r w:rsidR="000E0B6C">
        <w:rPr>
          <w:rFonts w:eastAsia="Calibri" w:cstheme="minorHAnsi"/>
          <w:szCs w:val="22"/>
        </w:rPr>
        <w:t>e</w:t>
      </w:r>
      <w:r w:rsidRPr="00867A30">
        <w:rPr>
          <w:rFonts w:eastAsia="Calibri" w:cstheme="minorHAnsi"/>
          <w:szCs w:val="22"/>
        </w:rPr>
        <w:t>)</w:t>
      </w:r>
      <w:r w:rsidRPr="00867A30">
        <w:rPr>
          <w:rFonts w:eastAsia="Calibri" w:cstheme="minorHAnsi"/>
          <w:szCs w:val="22"/>
        </w:rPr>
        <w:fldChar w:fldCharType="end"/>
      </w:r>
      <w:r w:rsidRPr="00867A30">
        <w:rPr>
          <w:rFonts w:eastAsia="Calibri" w:cstheme="minorHAnsi"/>
          <w:szCs w:val="22"/>
        </w:rPr>
        <w:t>.</w:t>
      </w:r>
    </w:p>
    <w:p w14:paraId="565FF098" w14:textId="77777777" w:rsidR="0066097B" w:rsidRPr="00C66C24" w:rsidRDefault="0066097B" w:rsidP="0066097B">
      <w:pPr>
        <w:spacing w:before="0" w:after="0" w:line="259" w:lineRule="auto"/>
        <w:rPr>
          <w:rFonts w:eastAsia="Calibri" w:cstheme="minorHAnsi"/>
          <w:b/>
        </w:rPr>
      </w:pPr>
    </w:p>
    <w:p w14:paraId="399DCC57" w14:textId="77777777" w:rsidR="0066097B" w:rsidRPr="00C66C24" w:rsidRDefault="0066097B" w:rsidP="0066097B">
      <w:pPr>
        <w:spacing w:before="0" w:after="0" w:line="259" w:lineRule="auto"/>
        <w:rPr>
          <w:rFonts w:eastAsia="Calibri" w:cstheme="minorHAnsi"/>
          <w:u w:val="single"/>
        </w:rPr>
      </w:pPr>
      <w:r w:rsidRPr="00C66C24">
        <w:rPr>
          <w:rFonts w:eastAsia="Calibri" w:cstheme="minorHAnsi"/>
          <w:u w:val="single"/>
        </w:rPr>
        <w:t>CleanSeaNet service</w:t>
      </w:r>
    </w:p>
    <w:p w14:paraId="75B4E644" w14:textId="0EF99594" w:rsidR="0066097B" w:rsidRPr="00C66C24" w:rsidRDefault="0066097B" w:rsidP="0066097B">
      <w:pPr>
        <w:spacing w:before="0" w:after="0" w:line="259" w:lineRule="auto"/>
        <w:rPr>
          <w:rFonts w:cstheme="minorHAnsi"/>
          <w:szCs w:val="22"/>
        </w:rPr>
      </w:pPr>
      <w:r w:rsidRPr="00C66C24">
        <w:rPr>
          <w:rFonts w:eastAsia="Calibri" w:cstheme="minorHAnsi"/>
          <w:szCs w:val="22"/>
        </w:rPr>
        <w:t>The SSP Directive was the impetus behind the creation of the CleanSeaNet  service, the European satellite-based oil spill monitoring and vessel detection service, set-up and managed by EMSA. The service provides support to EU Member States and countries of the European Economic Area in detecting and tracing illegal discharges at sea of mineral oil and noxious liquid substances that behave like oil, which in turn enhances Member States’ capabilities in addressing illegal discharges from ships to penalise them. Alert reports are generated and sent to the affected Member States, who then validate the information by their own means for verification on site or inspecting the vessel the ’potential polluter’.at port. Verification feedback from Member States is important in confirming and providing additional information on the pollution type and its source (e.g. offender).</w:t>
      </w:r>
      <w:r w:rsidRPr="00C66C24">
        <w:rPr>
          <w:rFonts w:cstheme="minorHAnsi"/>
          <w:szCs w:val="22"/>
        </w:rPr>
        <w:t xml:space="preserve"> </w:t>
      </w:r>
      <w:r w:rsidRPr="00C66C24">
        <w:rPr>
          <w:rFonts w:eastAsia="Calibri" w:cstheme="minorHAnsi"/>
          <w:szCs w:val="22"/>
        </w:rPr>
        <w:t>Member State can report not only CleanSeaNet service feedback forms on the potential pollution identified but also by pollution incident reports (POLREP) exchanged as part of SafeSeaNet and inspection requests related to suspected MARPOL infringements submitted via THETIS. F</w:t>
      </w:r>
      <w:r w:rsidRPr="00AC62F3">
        <w:rPr>
          <w:rFonts w:ascii="Calibri" w:eastAsia="Calibri" w:hAnsi="Calibri" w:cs="Calibri"/>
          <w:szCs w:val="22"/>
        </w:rPr>
        <w:t>or example, Member States submit on average only approximately 200 SafeSeaNet pollution incident reports and 120 inspection requests via THETIS annually</w:t>
      </w:r>
      <w:r w:rsidRPr="00AC62F3">
        <w:rPr>
          <w:rFonts w:ascii="Calibri" w:eastAsia="Calibri" w:hAnsi="Calibri" w:cs="Calibri"/>
          <w:szCs w:val="22"/>
        </w:rPr>
        <w:footnoteReference w:id="46"/>
      </w:r>
      <w:r w:rsidRPr="00AC62F3">
        <w:rPr>
          <w:rFonts w:ascii="Calibri" w:eastAsia="Calibri" w:hAnsi="Calibri" w:cs="Calibri"/>
          <w:szCs w:val="22"/>
        </w:rPr>
        <w:t>. Feedback to CleanSeaNet alerts is higher, with Member States submitting on average 1400 feedback forms annually</w:t>
      </w:r>
      <w:r w:rsidRPr="00C66C24">
        <w:rPr>
          <w:rStyle w:val="FootnoteReference"/>
        </w:rPr>
        <w:footnoteReference w:id="47"/>
      </w:r>
      <w:r w:rsidRPr="00C66C24">
        <w:rPr>
          <w:rFonts w:cstheme="minorHAnsi"/>
          <w:spacing w:val="-6"/>
          <w:szCs w:val="22"/>
        </w:rPr>
        <w:t>.</w:t>
      </w:r>
    </w:p>
    <w:p w14:paraId="37F2B58A" w14:textId="17EC19B2" w:rsidR="0066097B" w:rsidRPr="00AC62F3" w:rsidRDefault="0066097B" w:rsidP="0066097B">
      <w:pPr>
        <w:spacing w:line="257" w:lineRule="auto"/>
        <w:rPr>
          <w:rFonts w:ascii="Calibri" w:eastAsia="Calibri" w:hAnsi="Calibri" w:cs="Calibri"/>
          <w:szCs w:val="22"/>
        </w:rPr>
      </w:pPr>
      <w:r w:rsidRPr="00AC62F3">
        <w:rPr>
          <w:rFonts w:ascii="Calibri" w:eastAsia="Calibri" w:hAnsi="Calibri" w:cs="Calibri"/>
          <w:szCs w:val="22"/>
        </w:rPr>
        <w:t>Voluntary reporting procedures regarding ship-source pollution exist at regional level under the Regional Sea Conventions in Europe. Reporting by relevant parties to Regional Sea Conventions is more advanced in some regions e.g. Baltic and North Sea (where reports on aerial surveillance activities are published annually), and less advanced in others e.g. Black Sea. In 2018-2019, 14 Member States reported to HELCOM</w:t>
      </w:r>
      <w:r w:rsidRPr="00C66C24">
        <w:rPr>
          <w:rStyle w:val="FootnoteReference"/>
        </w:rPr>
        <w:footnoteReference w:id="48"/>
      </w:r>
      <w:r w:rsidRPr="00C66C24">
        <w:rPr>
          <w:rFonts w:cstheme="minorHAnsi"/>
          <w:spacing w:val="-6"/>
          <w:szCs w:val="22"/>
        </w:rPr>
        <w:t xml:space="preserve"> </w:t>
      </w:r>
      <w:r w:rsidRPr="00AC62F3">
        <w:rPr>
          <w:rFonts w:ascii="Calibri" w:eastAsia="Calibri" w:hAnsi="Calibri" w:cs="Calibri"/>
          <w:szCs w:val="22"/>
        </w:rPr>
        <w:t>and</w:t>
      </w:r>
      <w:r w:rsidRPr="00C66C24">
        <w:rPr>
          <w:rFonts w:cstheme="minorHAnsi"/>
          <w:spacing w:val="-6"/>
          <w:szCs w:val="22"/>
        </w:rPr>
        <w:t xml:space="preserve"> </w:t>
      </w:r>
      <w:r w:rsidRPr="00AC62F3">
        <w:rPr>
          <w:rFonts w:ascii="Calibri" w:eastAsia="Calibri" w:hAnsi="Calibri" w:cs="Calibri"/>
          <w:szCs w:val="22"/>
        </w:rPr>
        <w:t>the Bonn Agreement</w:t>
      </w:r>
      <w:r w:rsidRPr="00C66C24">
        <w:rPr>
          <w:rStyle w:val="FootnoteReference"/>
        </w:rPr>
        <w:footnoteReference w:id="49"/>
      </w:r>
      <w:r w:rsidRPr="00C66C24">
        <w:rPr>
          <w:rFonts w:cstheme="minorHAnsi"/>
          <w:spacing w:val="-6"/>
          <w:szCs w:val="22"/>
        </w:rPr>
        <w:t xml:space="preserve"> </w:t>
      </w:r>
      <w:r w:rsidRPr="00AC62F3">
        <w:rPr>
          <w:rFonts w:ascii="Calibri" w:eastAsia="Calibri" w:hAnsi="Calibri" w:cs="Calibri"/>
          <w:szCs w:val="22"/>
        </w:rPr>
        <w:t xml:space="preserve">on oil spills. The regional reporting commitments are however limited to a regional sea which means a narrow geographical scope. </w:t>
      </w:r>
    </w:p>
    <w:p w14:paraId="752B4C44" w14:textId="77777777" w:rsidR="0066097B" w:rsidRPr="00C66C24" w:rsidRDefault="0066097B" w:rsidP="0066097B">
      <w:pPr>
        <w:spacing w:before="0" w:after="0" w:line="259" w:lineRule="auto"/>
        <w:rPr>
          <w:rFonts w:eastAsia="Calibri" w:cstheme="minorHAnsi"/>
          <w:szCs w:val="22"/>
        </w:rPr>
      </w:pPr>
    </w:p>
    <w:p w14:paraId="1919C471" w14:textId="5A273452" w:rsidR="0066097B" w:rsidRPr="00C66C24" w:rsidRDefault="0066097B" w:rsidP="0066097B">
      <w:pPr>
        <w:keepNext/>
        <w:spacing w:before="0" w:after="0" w:line="259" w:lineRule="auto"/>
        <w:rPr>
          <w:spacing w:val="-6"/>
          <w:szCs w:val="22"/>
        </w:rPr>
      </w:pPr>
      <w:r w:rsidRPr="00C66C24">
        <w:rPr>
          <w:rFonts w:ascii="Calibri" w:eastAsia="Calibri" w:hAnsi="Calibri" w:cs="Calibri"/>
          <w:szCs w:val="22"/>
        </w:rPr>
        <w:t xml:space="preserve">International IMO reporting procedures regarding observed ship source pollution and relevant MARPOL enforcement cases also exist. The MARPOL Convention (article 11) requires the parties to the Convention to communicate to the IMO certain types of information, including </w:t>
      </w:r>
      <w:r w:rsidR="00124A93" w:rsidRPr="00C66C24">
        <w:rPr>
          <w:rFonts w:ascii="Calibri" w:eastAsia="Calibri" w:hAnsi="Calibri" w:cs="Calibri"/>
          <w:szCs w:val="22"/>
        </w:rPr>
        <w:t>“</w:t>
      </w:r>
      <w:r w:rsidRPr="00C66C24">
        <w:rPr>
          <w:rFonts w:ascii="Calibri" w:eastAsia="Calibri" w:hAnsi="Calibri" w:cs="Calibri"/>
          <w:szCs w:val="22"/>
        </w:rPr>
        <w:t>an annual statistical report, in a form standardized by the Organization, of penalties actually imposed for infringement of the present Convention</w:t>
      </w:r>
      <w:r w:rsidR="00124A93" w:rsidRPr="00C66C24">
        <w:rPr>
          <w:rFonts w:ascii="Calibri" w:eastAsia="Calibri" w:hAnsi="Calibri" w:cs="Calibri"/>
          <w:szCs w:val="22"/>
        </w:rPr>
        <w:t>”</w:t>
      </w:r>
      <w:r w:rsidRPr="00C66C24">
        <w:rPr>
          <w:rFonts w:ascii="Calibri" w:eastAsia="Calibri" w:hAnsi="Calibri" w:cs="Calibri"/>
          <w:szCs w:val="22"/>
        </w:rPr>
        <w:t xml:space="preserve"> </w:t>
      </w:r>
      <w:r w:rsidRPr="00C66C24">
        <w:rPr>
          <w:rFonts w:ascii="Calibri" w:eastAsia="Calibri" w:hAnsi="Calibri" w:cs="Calibri"/>
          <w:szCs w:val="22"/>
        </w:rPr>
        <w:fldChar w:fldCharType="begin"/>
      </w:r>
      <w:r w:rsidRPr="00C66C24">
        <w:rPr>
          <w:rFonts w:ascii="Calibri" w:eastAsia="Calibri" w:hAnsi="Calibri" w:cs="Calibri"/>
          <w:szCs w:val="22"/>
        </w:rPr>
        <w:instrText xml:space="preserve"> ADDIN ZOTERO_ITEM CSL_CITATION {"citationID":"aq056sfg9i","properties":{"formattedCitation":"(IMO, 1983)","plainCitation":"(IMO, 1983)","noteIndex":0},"citationItems":[{"id":52442,"uris":["http://zotero.org/groups/122386/items/PAHVS5DK"],"itemData":{"id":52442,"type":"document","publisher":"International Maritime Organization","title":"MARPOL Annex I","URL":"http://www.marpoltraining.com/MMSKOREAN/MARPOL/Annex_I/index.htm","author":[{"literal":"IMO"}],"issued":{"date-parts":[["1983"]]}}}],"schema":"https://github.com/citation-style-language/schema/raw/master/csl-citation.json"} </w:instrText>
      </w:r>
      <w:r w:rsidRPr="00C66C24">
        <w:rPr>
          <w:rFonts w:ascii="Calibri" w:eastAsia="Calibri" w:hAnsi="Calibri" w:cs="Calibri"/>
          <w:szCs w:val="22"/>
        </w:rPr>
        <w:fldChar w:fldCharType="separate"/>
      </w:r>
      <w:r w:rsidRPr="00C66C24">
        <w:rPr>
          <w:rFonts w:ascii="Calibri" w:eastAsia="Calibri" w:hAnsi="Calibri" w:cs="Calibri"/>
          <w:szCs w:val="22"/>
        </w:rPr>
        <w:t>(IMO, 1983)</w:t>
      </w:r>
      <w:r w:rsidRPr="00C66C24">
        <w:rPr>
          <w:rFonts w:ascii="Calibri" w:eastAsia="Calibri" w:hAnsi="Calibri" w:cs="Calibri"/>
          <w:szCs w:val="22"/>
        </w:rPr>
        <w:fldChar w:fldCharType="end"/>
      </w:r>
      <w:r w:rsidRPr="00C66C24">
        <w:rPr>
          <w:rFonts w:ascii="Calibri" w:eastAsia="Calibri" w:hAnsi="Calibri" w:cs="Calibri"/>
          <w:szCs w:val="22"/>
        </w:rPr>
        <w:t>. Reporting to IMO on marine incidents, including marine safety investigations, has been low and with significant gaps for European parties of IMO. There is no representative information on the number of incidents nor penalties imposed. Contracting Parties of MARPOL should submit their reports using the Global Integrated Shipping Information System</w:t>
      </w:r>
      <w:r w:rsidRPr="00C66C24">
        <w:rPr>
          <w:rStyle w:val="FootnoteReference"/>
        </w:rPr>
        <w:footnoteReference w:id="50"/>
      </w:r>
      <w:r w:rsidRPr="00C66C24">
        <w:rPr>
          <w:rFonts w:ascii="Calibri" w:eastAsia="Calibri" w:hAnsi="Calibri" w:cs="Calibri"/>
          <w:szCs w:val="22"/>
        </w:rPr>
        <w:t>.</w:t>
      </w:r>
    </w:p>
    <w:p w14:paraId="0C91E0B8" w14:textId="77777777" w:rsidR="0066097B" w:rsidRPr="00C66C24" w:rsidRDefault="0066097B" w:rsidP="0066097B">
      <w:pPr>
        <w:spacing w:before="0" w:after="0" w:line="259" w:lineRule="auto"/>
      </w:pPr>
    </w:p>
    <w:p w14:paraId="5366B920" w14:textId="77777777" w:rsidR="0066097B" w:rsidRPr="00C66C24" w:rsidRDefault="0066097B" w:rsidP="0060547B">
      <w:pPr>
        <w:pStyle w:val="Heading7"/>
        <w:spacing w:before="0" w:after="120"/>
        <w:ind w:left="714" w:hanging="357"/>
      </w:pPr>
      <w:bookmarkStart w:id="277" w:name="_Toc152054892"/>
      <w:r w:rsidRPr="00C66C24">
        <w:t xml:space="preserve">Discharge waters </w:t>
      </w:r>
      <w:bookmarkEnd w:id="277"/>
    </w:p>
    <w:p w14:paraId="26D8E901" w14:textId="03D3B03D" w:rsidR="0066097B" w:rsidRPr="005D6619" w:rsidRDefault="0066097B" w:rsidP="0066097B">
      <w:pPr>
        <w:spacing w:before="0" w:after="0" w:line="259" w:lineRule="auto"/>
        <w:rPr>
          <w:lang w:val="fr-FR"/>
        </w:rPr>
      </w:pPr>
      <w:r w:rsidRPr="00C66C24">
        <w:rPr>
          <w:rFonts w:ascii="Calibri" w:eastAsia="Calibri" w:hAnsi="Calibri" w:cs="Calibri"/>
          <w:color w:val="000000" w:themeColor="text1"/>
        </w:rPr>
        <w:t xml:space="preserve">In addition to MARPOL Annex I and II, several other types of ship source pollution and </w:t>
      </w:r>
      <w:r w:rsidRPr="00C66C24">
        <w:t xml:space="preserve">water discharges from ships are regulated. These include sewage, oily discharges, ballast waters and discharge waters from </w:t>
      </w:r>
      <w:r w:rsidRPr="00C66C24">
        <w:rPr>
          <w:rFonts w:ascii="Calibri" w:eastAsia="Calibri" w:hAnsi="Calibri" w:cs="Calibri"/>
          <w:color w:val="000000" w:themeColor="text1"/>
        </w:rPr>
        <w:t>Exhaust Gas Cleaning Systems (EGCS) in Annex VI.</w:t>
      </w:r>
      <w:r w:rsidRPr="00C66C24">
        <w:t xml:space="preserve"> A</w:t>
      </w:r>
      <w:r w:rsidRPr="00C66C24">
        <w:rPr>
          <w:rFonts w:ascii="Calibri" w:eastAsia="Calibri" w:hAnsi="Calibri" w:cs="Calibri"/>
          <w:color w:val="000000" w:themeColor="text1"/>
        </w:rPr>
        <w:t xml:space="preserve">n EGCS, also known as scrubbers, </w:t>
      </w:r>
      <w:r w:rsidR="00124A93" w:rsidRPr="00C66C24">
        <w:rPr>
          <w:rFonts w:ascii="Calibri" w:eastAsia="Calibri" w:hAnsi="Calibri" w:cs="Calibri"/>
          <w:color w:val="000000" w:themeColor="text1"/>
        </w:rPr>
        <w:t>which are</w:t>
      </w:r>
      <w:r w:rsidRPr="00C66C24">
        <w:rPr>
          <w:rFonts w:ascii="Calibri" w:eastAsia="Calibri" w:hAnsi="Calibri" w:cs="Calibri"/>
          <w:color w:val="000000" w:themeColor="text1"/>
        </w:rPr>
        <w:t xml:space="preserve"> an abatement technology that aims to reduce SOx emissions from high sulphur fuels by using a fine alkaline water spray through the gas that will produce the SOx, (and to certain extent NOx, and other contaminants such as black carbon, PAH and metals) to be dissolved and washed out during the scrubbing process. The development of this type of technology </w:t>
      </w:r>
      <w:r w:rsidRPr="00C66C24">
        <w:rPr>
          <w:rStyle w:val="normaltextrun"/>
          <w:rFonts w:ascii="Calibri" w:eastAsia="Calibri" w:hAnsi="Calibri" w:cs="Calibri"/>
          <w:color w:val="000000" w:themeColor="text1"/>
        </w:rPr>
        <w:t xml:space="preserve">is driven by the introduction of Sulphur Emission Control Areas (SECAs) and by the “global sulphur cap” mentioned in section </w:t>
      </w:r>
      <w:r w:rsidR="00124A93" w:rsidRPr="00C66C24">
        <w:rPr>
          <w:rStyle w:val="normaltextrun"/>
          <w:rFonts w:ascii="Calibri" w:eastAsia="Calibri" w:hAnsi="Calibri" w:cs="Calibri"/>
          <w:color w:val="000000" w:themeColor="text1"/>
        </w:rPr>
        <w:fldChar w:fldCharType="begin"/>
      </w:r>
      <w:r w:rsidR="00124A93" w:rsidRPr="00C66C24">
        <w:rPr>
          <w:rStyle w:val="normaltextrun"/>
          <w:rFonts w:ascii="Calibri" w:eastAsia="Calibri" w:hAnsi="Calibri" w:cs="Calibri"/>
          <w:color w:val="000000" w:themeColor="text1"/>
        </w:rPr>
        <w:instrText xml:space="preserve"> REF _Ref157417125 \r \h </w:instrText>
      </w:r>
      <w:r w:rsidR="00124A93" w:rsidRPr="00C66C24">
        <w:rPr>
          <w:rStyle w:val="normaltextrun"/>
          <w:rFonts w:ascii="Calibri" w:eastAsia="Calibri" w:hAnsi="Calibri" w:cs="Calibri"/>
          <w:color w:val="000000" w:themeColor="text1"/>
        </w:rPr>
      </w:r>
      <w:r w:rsidR="00124A93" w:rsidRPr="00C66C24">
        <w:rPr>
          <w:rStyle w:val="normaltextrun"/>
          <w:rFonts w:ascii="Calibri" w:eastAsia="Calibri" w:hAnsi="Calibri" w:cs="Calibri"/>
          <w:color w:val="000000" w:themeColor="text1"/>
        </w:rPr>
        <w:fldChar w:fldCharType="separate"/>
      </w:r>
      <w:r w:rsidR="00124A93" w:rsidRPr="00C66C24">
        <w:rPr>
          <w:rStyle w:val="normaltextrun"/>
          <w:rFonts w:ascii="Calibri" w:eastAsia="Calibri" w:hAnsi="Calibri" w:cs="Calibri"/>
          <w:color w:val="000000" w:themeColor="text1"/>
        </w:rPr>
        <w:t>A1.1.2</w:t>
      </w:r>
      <w:r w:rsidR="00124A93" w:rsidRPr="00C66C24">
        <w:rPr>
          <w:rStyle w:val="normaltextrun"/>
          <w:rFonts w:ascii="Calibri" w:eastAsia="Calibri" w:hAnsi="Calibri" w:cs="Calibri"/>
          <w:color w:val="000000" w:themeColor="text1"/>
        </w:rPr>
        <w:fldChar w:fldCharType="end"/>
      </w:r>
      <w:r w:rsidR="00A3436D" w:rsidRPr="00C66C24">
        <w:rPr>
          <w:rStyle w:val="normaltextrun"/>
          <w:rFonts w:ascii="Calibri" w:eastAsia="Calibri" w:hAnsi="Calibri" w:cs="Calibri"/>
          <w:color w:val="000000" w:themeColor="text1"/>
        </w:rPr>
        <w:t xml:space="preserve">- </w:t>
      </w:r>
      <w:r w:rsidR="00A3436D" w:rsidRPr="00C66C24">
        <w:rPr>
          <w:rStyle w:val="normaltextrun"/>
          <w:rFonts w:ascii="Calibri" w:eastAsia="Calibri" w:hAnsi="Calibri" w:cs="Calibri"/>
          <w:color w:val="000000" w:themeColor="text1"/>
        </w:rPr>
        <w:fldChar w:fldCharType="begin"/>
      </w:r>
      <w:r w:rsidR="00A3436D" w:rsidRPr="00C66C24">
        <w:rPr>
          <w:rStyle w:val="normaltextrun"/>
          <w:rFonts w:ascii="Calibri" w:eastAsia="Calibri" w:hAnsi="Calibri" w:cs="Calibri"/>
          <w:color w:val="000000" w:themeColor="text1"/>
        </w:rPr>
        <w:instrText xml:space="preserve"> REF _Ref157417125 \h </w:instrText>
      </w:r>
      <w:r w:rsidR="00A3436D" w:rsidRPr="00C66C24">
        <w:rPr>
          <w:rStyle w:val="normaltextrun"/>
          <w:rFonts w:ascii="Calibri" w:eastAsia="Calibri" w:hAnsi="Calibri" w:cs="Calibri"/>
          <w:color w:val="000000" w:themeColor="text1"/>
        </w:rPr>
      </w:r>
      <w:r w:rsidR="00A3436D" w:rsidRPr="00C66C24">
        <w:rPr>
          <w:rStyle w:val="normaltextrun"/>
          <w:rFonts w:ascii="Calibri" w:eastAsia="Calibri" w:hAnsi="Calibri" w:cs="Calibri"/>
          <w:color w:val="000000" w:themeColor="text1"/>
        </w:rPr>
        <w:fldChar w:fldCharType="separate"/>
      </w:r>
      <w:r w:rsidR="00A3436D" w:rsidRPr="00C66C24">
        <w:t>Air Quality and depletion of the ozone layer</w:t>
      </w:r>
      <w:r w:rsidR="00A3436D" w:rsidRPr="00C66C24">
        <w:rPr>
          <w:rStyle w:val="normaltextrun"/>
          <w:rFonts w:ascii="Calibri" w:eastAsia="Calibri" w:hAnsi="Calibri" w:cs="Calibri"/>
          <w:color w:val="000000" w:themeColor="text1"/>
        </w:rPr>
        <w:fldChar w:fldCharType="end"/>
      </w:r>
      <w:r w:rsidRPr="00C66C24">
        <w:rPr>
          <w:rStyle w:val="normaltextrun"/>
          <w:rFonts w:ascii="Calibri" w:eastAsia="Calibri" w:hAnsi="Calibri" w:cs="Calibri"/>
          <w:color w:val="000000" w:themeColor="text1"/>
        </w:rPr>
        <w:t xml:space="preserve">. </w:t>
      </w:r>
      <w:r w:rsidRPr="00C66C24">
        <w:rPr>
          <w:rFonts w:ascii="Calibri" w:eastAsia="Calibri" w:hAnsi="Calibri" w:cs="Calibri"/>
          <w:color w:val="000000" w:themeColor="text1"/>
        </w:rPr>
        <w:t>The scrubber process avoids pollution from SOx emissions from high sulphur fuels to the atmosphere and produces acidic wash water as a by-product.</w:t>
      </w:r>
      <w:r w:rsidR="00A3436D"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Discharges from the scrubbing process to the marine environment may therefore be harmful if the discharge water is not treated in an appropriate way </w:t>
      </w:r>
      <w:r w:rsidR="0067050E"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{"citationID":"a2lh88s6kok","properties":{"formattedCitation":"(Ji et al., 2023; J\\uc0\\u246{}nander et al., 2023)","plainCitation":"(Ji et al., 2023; Jönander et al., 2023)","noteIndex":0},"citationItems":[{"id":59447,"uris":["http://zotero.org/groups/122386/items/8FWH2PEA"],"itemData":{"id":59447,"type":"article-journal","abstract":"To meet the strict requirements of reducing sulfur emissions, an increasing number of commercial ships have installed exhaust gas cleaning systems (EGCSs). However, wash water produced during the cleaning process is discharged back to the marine environment. We investigated the effects of closed-loop scrubber (natrium-alkali method) wash water on three trophic species . Severe toxic effects were found when Dunaliella salina, Mysidopsis bahia, and Mugilogobius chulae were exposed to 0.63–6.25, 0.63–10, and 1.25–20% concentrations of wash water, respectively. The 50% effective concentration in 96 h (EC\n              50\n              -96 h) for D. salina was 2.48%, and the corresponding total polycyclic aromatic hydrocarbons (PAHs) and heavy metals were 22.81 and 23.67  μg L\n              −1\n              . The 50% lethal concentration in 7 d (LC\n              50\n              -7 d) values for M. bahia and M. chulae were 3.57% and 20.50%, respectively. The lowest observed effect concentration (LOEC) values for M. bahia and M. chulae were 1.25% and 2.5%, respectively, and the corresponding total PAHs and heavy metals were 11.50 and 11.93 and 22.99 and 23.86  μg L\n              −1\n              . M. bahia’s body weight was negatively correlated with the amount of wash water. Low concentrations of wash water (0–5%) had no significant effect on the reproduction of M. bahia. Although concentrations of 16 PAHs and 8 heavy metals are known, different compounds might react with each other and form more unknown toxic substances, and the measured toxicity comes from synergistic effects between various pollutants. Therefore, future work is needed to clarify other more toxic contaminants in wash water. We highly recommend that wash water be treated before being discharged to the marine environment.","container-title":"Toxicology and Industrial Health","DOI":"10.1177/07482337231176593","ISSN":"0748-2337, 1477-0393","issue":"9","journalAbbreviation":"Toxicol Ind Health","language":"en","page":"491-503","source":"DOI.org (Crossref)","title":"Toxic effects of ship exhaust gas closed-loop scrubber wash water","volume":"39","author":[{"family":"Ji","given":"Zhiyi"},{"family":"Yang","given":"Yunqi"},{"family":"Zhu","given":"Ying"},{"family":"Ling","given":"Yun"},{"family":"Ren","given":"Dezhang"},{"family":"Zhang","given":"Nahui"},{"family":"Huo","given":"Zhibao"}],"issued":{"date-parts":[["2023",9]]}}},{"id":59430,"uris":["http://zotero.org/groups/122386/items/NZBPNIEA"],"itemData":{"id":59430,"type":"article-journal","abstract":"Shipping is a large industry responsible for atmospheric emissions of hazardous substances including SO\n              X\n              , NO\n              X\n              , and particulate matter. Many ships have installed exhaust gas cleaning systems (scrubbers) to remove primarily SO\n              X\n              from the exhaust, but the hazardous substances are instead transferred to the water used in the scrubbing process. Ships with closed-loop scrubbers recirculate the water but can still discharge around 126-150 m\n              3\n              directly to the surrounding marine environment every day. The discharged water contains metals and organic substances, such as polycyclic aromatic hydrocarbons, that are known to be toxic to marine zooplankton. Here we show that closed-loop scrubber washwater is toxic to communities of marine mesozooplankton at our lowest tested dilution, 1.5% (v/v), and affects survival, reproduction, diversity, and ability to predate on microzooplankton. The cumulative toxic unit of the undiluted closed-loop scrubber washwater was estimated to 17, which indicates that the water could be toxic at levels below what was tested in this study. Among all detected substances, vanadium, copper, benzo[\n              ghi\n              ]perylene, nickel, and zinc were identified as toxicity-driving substances in the order listed. Closed-loop scrubber washwater has been shown to affect development and survival in single species of copepods, but here we find evidence of toxicity at the community level, irrespective of seasonal community structure, and that the exposure has potential to disrupt the interactions between trophic levels in the pelagic food web. We show that the closed-loop scrubber washwater cause both lethal and sublethal effects in marine zooplankton, due to contaminants, some of which are persistent in the marine environment.","container-title":"Frontiers in Marine Science","DOI":"10.3389/fmars.2023.1249964","ISSN":"2296-7745","journalAbbreviation":"Front. Mar. Sci.","page":"1249964","source":"DOI.org (Crossref)","title":"Exposure to closed-loop scrubber washwater alters biodiversity, reproduction, and grazing of marine zooplankton","volume":"10","author":[{"family":"Jönander","given":"Christina"},{"family":"Egardt","given":"Jenny"},{"family":"Hassellöv","given":"Ida-Maja"},{"family":"Tiselius","given":"Peter"},{"family":"Rasmussen","given":"Matilda"},{"family":"Dahllöf","given":"Ingela"}],"issued":{"date-parts":[["2023",11,20]]}}}],"schema":"https://github.com/citation-style-language/schema/raw/master/csl-citation.json"} </w:instrText>
      </w:r>
      <w:r w:rsidR="0067050E" w:rsidRPr="00C66C24">
        <w:rPr>
          <w:rFonts w:ascii="Calibri" w:eastAsia="Calibri" w:hAnsi="Calibri" w:cs="Calibri"/>
          <w:color w:val="000000" w:themeColor="text1"/>
        </w:rPr>
        <w:fldChar w:fldCharType="separate"/>
      </w:r>
      <w:r w:rsidR="001855E3" w:rsidRPr="00C66C24">
        <w:rPr>
          <w:rFonts w:ascii="Calibri" w:hAnsi="Calibri" w:cs="Calibri"/>
        </w:rPr>
        <w:t>(Ji et al., 2023;  et al., 2023)</w:t>
      </w:r>
      <w:r w:rsidR="0067050E"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A set of potentially toxic contaminants such as nitrates, metals, and other organic compounds may, in fact, be transferred to the marine environment (scrubber water discharges) as a result of the offset of air pollution (reduced SOx emissions to the atmosphere</w:t>
      </w:r>
      <w:r w:rsidR="00A3436D"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w:t>
      </w:r>
      <w:r w:rsidR="00852094"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{"citationID":"a1jhl62secl","properties":{"formattedCitation":"(Garc\\uc0\\u237{}a-G\\uc0\\u243{}mez et al., 2023; J\\uc0\\u246{}nander et al., 2023; Lunde Hermansson, Gustavsson, et al., 2023; Lunde Hermansson, Hassell\\uc0\\u246{}v, et al., 2023; Marin-Enriquez et al., 2023; OSPAR Commission, 2022; Petrovi\\uc0\\u263{} et al., 2022)","plainCitation":"(García-Gómez et al., 2023; Jönander et al., 2023; Lunde Hermansson, Gustavsson, et al., 2023; Lunde Hermansson, Hassellöv, et al., 2023; Marin-Enriquez et al., 2023; OSPAR Commission, 2022; Petrović et al., 2022)","noteIndex":0},"citationItems":[{"id":59429,"uris":["http://zotero.org/groups/122386/items/MNU834ZP"],"itemData":{"id":59429,"type":"article-journal","container-title":"Chemosphere","DOI":"10.1016/j.chemosphere.2023.140296","ISSN":"00456535","journalAbbreviation":"Chemosphere","language":"en","page":"140296","source":"DOI.org (Crossref)","title":"Characterization of scrubber water discharges from ships using comprehensive suspect screening strategies based on GC-APCI-HRMS","volume":"343","author":[{"family":"García-Gómez","given":"E."},{"family":"Gkotsis","given":"G."},{"family":"Nika","given":"M.C."},{"family":"Hassellöv","given":"I.M."},{"family":"Salo","given":"K."},{"family":"Hermansson","given":"A. Lunde"},{"family":"Ytreberg","given":"E."},{"family":"Thomaidis","given":"N.S."},{"family":"Gros","given":"M."},{"family":"Petrović","given":"M."}],"issued":{"date-parts":[["2023",12]]}}},{"id":59430,"uris":["http://zotero.org/groups/122386/items/NZBPNIEA"],"itemData":{"id":59430,"type":"article-journal","abstract":"Shipping is a large industry responsible for atmospheric emissions of hazardous substances including SO\n              X\n              , NO\n              X\n              , and particulate matter. Many ships have installed exhaust gas cleaning systems (scrubbers) to remove primarily SO\n              X\n              from the exhaust, but the hazardous substances are instead transferred to the water used in the scrubbing process. Ships with closed-loop scrubbers recirculate the water but can still discharge around 126-150 m\n              3\n              directly to the surrounding marine environment every day. The discharged water contains metals and organic substances, such as polycyclic aromatic hydrocarbons, that are known to be toxic to marine zooplankton. Here we show that closed-loop scrubber washwater is toxic to communities of marine mesozooplankton at our lowest tested dilution, 1.5% (v/v), and affects survival, reproduction, diversity, and ability to predate on microzooplankton. The cumulative toxic unit of the undiluted closed-loop scrubber washwater was estimated to 17, which indicates that the water could be toxic at levels below what was tested in this study. Among all detected substances, vanadium, copper, benzo[\n              ghi\n              ]perylene, nickel, and zinc were identified as toxicity-driving substances in the order listed. Closed-loop scrubber washwater has been shown to affect development and survival in single species of copepods, but here we find evidence of toxicity at the community level, irrespective of seasonal community structure, and that the exposure has potential to disrupt the interactions between trophic levels in the pelagic food web. We show that the closed-loop scrubber washwater cause both lethal and sublethal effects in marine zooplankton, due to contaminants, some of which are persistent in the marine environment.","container-title":"Frontiers in Marine Science","DOI":"10.3389/fmars.2023.1249964","ISSN":"2296-7745","journalAbbreviation":"Front. Mar. Sci.","page":"1249964","source":"DOI.org (Crossref)","title":"Exposure to closed-loop scrubber washwater alters biodiversity, reproduction, and grazing of marine zooplankton","volume":"10","author":[{"family":"Jönander","given":"Christina"},{"family":"Egardt","given":"Jenny"},{"family":"Hassellöv","given":"Ida-Maja"},{"family":"Tiselius","given":"Peter"},{"family":"Rasmussen","given":"Matilda"},{"family":"Dahllöf","given":"Ingela"}],"issued":{"date-parts":[["2023",11,20]]}}},{"id":59438,"uris":["http://zotero.org/groups/122386/items/CV82K748"],"itemData":{"id":59438,"type":"document","publisher":"Community Research and Development Information Service","title":"Deliverable 2.4 - Multivariate prediction of scrubber water toxicity. H2020 EMERGE (Evaluation, control and Mitigation of the EnviRonmental impacts of shippinG Emissions) Grant Agreement No. 874990.  47 pp.","URL":"https://ec.europa.eu/research/participants/documents/downloadPublic?documentIds=080166e5fb3d9231&amp;appId=PPGMS","author":[{"family":"Lunde Hermansson","given":"Anna"},{"family":"Gustavsson","given":"Mikael"},{"family":"Ytreberg","given":"Erik"},{"family":"Hassellöv","given":"Ida-Maja"}],"issued":{"date-parts":[["2023"]]}}},{"id":59433,"uris":["http://zotero.org/groups/122386/items/NIHXPYYZ"],"itemData":{"id":59433,"type":"article-journal","container-title":"Marine Pollution Bulletin","DOI":"10.1016/j.marpolbul.2023.114805","ISSN":"0025326X","journalAbbreviation":"Marine Pollution Bulletin","language":"en","page":"114805","source":"DOI.org (Crossref)","title":"Cumulative environmental risk assessment of metals and polycyclic aromatic hydrocarbons from ship activities in ports","volume":"189","author":[{"family":"Lunde Hermansson","given":"Anna"},{"family":"Hassellöv","given":"Ida-Maja"},{"family":"Jalkanen","given":"Jukka-Pekka"},{"family":"Ytreberg","given":"Erik"}],"issued":{"date-parts":[["2023",4]]}}},{"id":51811,"uris":["http://zotero.org/groups/122386/items/9GZFW662"],"itemData":{"id":51811,"type":"article-journal","abstract":"Environmental Impacts of Discharge Water from Exhaust Gas Cleaning Systems on Ships –Final report of the project ImpEx Following the implementation of international regulations to reduce sulphur oxide emissions in maritime shipping, scrubbers are used on about 25 % of the world merchant fleet (measured by deadweight tonnage).","container-title":"German Environmental Agency","ISSN":"862-4804","language":"en","source":"Zotero","title":"Environmental Impacts of Discharge Water from Exhaust Gas Cleaning Systems on Ships","URL":"http://www.umweltbundesamt.de/publikationen","author":[{"family":"Marin-Enriquez","given":"Octavio"},{"family":"Krutwa","given":"Annika"},{"family":"Behrends","given":"Brigitte"},{"family":"Fenske","given":"Martina"},{"family":"Spira","given":"Denise"},{"family":"Reifferscheid","given":"Georg"},{"family":"Lukas","given":"Marcus"},{"family":"Achten","given":"Christine"},{"family":"Holz","given":"Ines"}],"issued":{"date-parts":[["2023"]]}}},{"id":21747,"uris":["http://zotero.org/groups/122386/items/8RAKZPMS"],"itemData":{"id":21747,"type":"report","license":"This report was prepared for OSPAR Environmental Impacts of Human Activities (EIHA) group</w:instrText>
      </w:r>
      <w:r w:rsidR="001855E3" w:rsidRPr="005D6619">
        <w:rPr>
          <w:rFonts w:ascii="Calibri" w:eastAsia="Calibri" w:hAnsi="Calibri" w:cs="Calibri"/>
          <w:color w:val="000000" w:themeColor="text1"/>
          <w:lang w:val="fr-FR"/>
        </w:rPr>
        <w:instrText xml:space="preserve"> by the  Finnish Meteorological Institute in cooperation with the Chalmers University of Technology. The  content represents the authors’ opinion and should not be interpreted to represent OSPAR EIHA  view","publisher":"OSPAR Commission","title":"OSPAR Quality status report 2023: Modelling of discharges to the marine environment from open circuit flue gas scrubbers on ships in the OSPAR Maritime Area","URL":"https://oap-cloudfront.ospar.org/media/filer_public/fe/78/fe78b829-5ba5-47e3-805c-09315c16c29c/p00890_modelling_flue_gas_exhaust_scrubber_report_.pdf","author":[{"family":"OSPAR Commission","given":""}],"issued":{"date-parts":[["2022"]]}}},{"id":59444,"uris":["http://zotero.org/groups/122386/items/QN3RX7GY"],"itemData":{"id":59444,"type":"document","publisher":"European Commission","title":"Deliverable 2.2 - Report on measurements of dissolved and particulate contaminants in case study regions. H2020 EMERGE (Evaluation, control and Mitigation of the EnviRonmental impacts of shippinG Emissions). Grant agreement No. 874990.  56 pp.","URL":"https://ec.europa.eu/research/participants/documents/downloadPublic?documentIds=080166e5ef78dda7&amp;appId=PPGMS","author":[{"family":"Petrović","given":"Mira"},{"family":"Gros","given":"Meritxell"},{"family":"García","given":"Elisa"},{"family":"Hassellöv","given":"Martin"},{"family":"Gondikas","given":"Andreas"}],"issued":{"date-parts":[["2022"]]}}}],"schema":"https://github.com/citation-style-language/schema/raw/master/csl-citation.json"} </w:instrText>
      </w:r>
      <w:r w:rsidR="00852094" w:rsidRPr="00C66C24">
        <w:rPr>
          <w:rFonts w:ascii="Calibri" w:eastAsia="Calibri" w:hAnsi="Calibri" w:cs="Calibri"/>
          <w:color w:val="000000" w:themeColor="text1"/>
        </w:rPr>
        <w:fldChar w:fldCharType="separate"/>
      </w:r>
      <w:r w:rsidR="001855E3" w:rsidRPr="005D6619">
        <w:rPr>
          <w:rFonts w:ascii="Calibri" w:hAnsi="Calibri" w:cs="Calibri"/>
          <w:lang w:val="fr-FR"/>
        </w:rPr>
        <w:t xml:space="preserve">(García-Gómez et al., 2023; </w:t>
      </w:r>
      <w:proofErr w:type="spellStart"/>
      <w:r w:rsidR="001855E3" w:rsidRPr="005D6619">
        <w:rPr>
          <w:rFonts w:ascii="Calibri" w:hAnsi="Calibri" w:cs="Calibri"/>
          <w:lang w:val="fr-FR"/>
        </w:rPr>
        <w:t>Jönander</w:t>
      </w:r>
      <w:proofErr w:type="spellEnd"/>
      <w:r w:rsidR="001855E3" w:rsidRPr="005D6619">
        <w:rPr>
          <w:rFonts w:ascii="Calibri" w:hAnsi="Calibri" w:cs="Calibri"/>
          <w:lang w:val="fr-FR"/>
        </w:rPr>
        <w:t xml:space="preserve"> et al., 2023; </w:t>
      </w:r>
      <w:proofErr w:type="spellStart"/>
      <w:r w:rsidR="001855E3" w:rsidRPr="005D6619">
        <w:rPr>
          <w:rFonts w:ascii="Calibri" w:hAnsi="Calibri" w:cs="Calibri"/>
          <w:lang w:val="fr-FR"/>
        </w:rPr>
        <w:t>Hermansson</w:t>
      </w:r>
      <w:proofErr w:type="spellEnd"/>
      <w:r w:rsidR="001855E3" w:rsidRPr="005D6619">
        <w:rPr>
          <w:rFonts w:ascii="Calibri" w:hAnsi="Calibri" w:cs="Calibri"/>
          <w:lang w:val="fr-FR"/>
        </w:rPr>
        <w:t>, et al., 2023</w:t>
      </w:r>
      <w:r w:rsidR="002C0B51">
        <w:rPr>
          <w:rFonts w:ascii="Calibri" w:hAnsi="Calibri" w:cs="Calibri"/>
          <w:lang w:val="fr-FR"/>
        </w:rPr>
        <w:t>a</w:t>
      </w:r>
      <w:r w:rsidR="001855E3" w:rsidRPr="005D6619">
        <w:rPr>
          <w:rFonts w:ascii="Calibri" w:hAnsi="Calibri" w:cs="Calibri"/>
          <w:lang w:val="fr-FR"/>
        </w:rPr>
        <w:t>;</w:t>
      </w:r>
      <w:r w:rsidR="00A4048E">
        <w:rPr>
          <w:rFonts w:ascii="Calibri" w:hAnsi="Calibri" w:cs="Calibri"/>
          <w:lang w:val="fr-FR"/>
        </w:rPr>
        <w:t xml:space="preserve"> </w:t>
      </w:r>
      <w:r w:rsidR="001855E3" w:rsidRPr="005D6619">
        <w:rPr>
          <w:rFonts w:ascii="Calibri" w:hAnsi="Calibri" w:cs="Calibri"/>
          <w:lang w:val="fr-FR"/>
        </w:rPr>
        <w:t>2023</w:t>
      </w:r>
      <w:r w:rsidR="002C0B51">
        <w:rPr>
          <w:rFonts w:ascii="Calibri" w:hAnsi="Calibri" w:cs="Calibri"/>
          <w:lang w:val="fr-FR"/>
        </w:rPr>
        <w:t>b</w:t>
      </w:r>
      <w:r w:rsidR="001855E3" w:rsidRPr="005D6619">
        <w:rPr>
          <w:rFonts w:ascii="Calibri" w:hAnsi="Calibri" w:cs="Calibri"/>
          <w:lang w:val="fr-FR"/>
        </w:rPr>
        <w:t xml:space="preserve">; Marin-Enriquez et al., 2023; OSPAR Commission, 2022; </w:t>
      </w:r>
      <w:proofErr w:type="spellStart"/>
      <w:r w:rsidR="001855E3" w:rsidRPr="005D6619">
        <w:rPr>
          <w:rFonts w:ascii="Calibri" w:hAnsi="Calibri" w:cs="Calibri"/>
          <w:lang w:val="fr-FR"/>
        </w:rPr>
        <w:t>Petrović</w:t>
      </w:r>
      <w:proofErr w:type="spellEnd"/>
      <w:r w:rsidR="001855E3" w:rsidRPr="005D6619">
        <w:rPr>
          <w:rFonts w:ascii="Calibri" w:hAnsi="Calibri" w:cs="Calibri"/>
          <w:lang w:val="fr-FR"/>
        </w:rPr>
        <w:t xml:space="preserve"> et al., 2022)</w:t>
      </w:r>
      <w:r w:rsidR="00852094" w:rsidRPr="00C66C24">
        <w:rPr>
          <w:rFonts w:ascii="Calibri" w:eastAsia="Calibri" w:hAnsi="Calibri" w:cs="Calibri"/>
          <w:color w:val="000000" w:themeColor="text1"/>
        </w:rPr>
        <w:fldChar w:fldCharType="end"/>
      </w:r>
      <w:r w:rsidRPr="005D6619">
        <w:rPr>
          <w:rFonts w:ascii="Calibri" w:eastAsia="Calibri" w:hAnsi="Calibri" w:cs="Calibri"/>
          <w:color w:val="000000" w:themeColor="text1"/>
          <w:lang w:val="fr-FR"/>
        </w:rPr>
        <w:t xml:space="preserve">. </w:t>
      </w:r>
    </w:p>
    <w:p w14:paraId="6A6F7FD0" w14:textId="77777777" w:rsidR="0066097B" w:rsidRPr="005D6619" w:rsidRDefault="0066097B" w:rsidP="0066097B">
      <w:pPr>
        <w:spacing w:before="0" w:after="0" w:line="259" w:lineRule="auto"/>
        <w:rPr>
          <w:rFonts w:ascii="Calibri" w:eastAsia="Calibri" w:hAnsi="Calibri" w:cs="Calibri"/>
          <w:color w:val="000000" w:themeColor="text1"/>
          <w:lang w:val="fr-FR"/>
        </w:rPr>
      </w:pPr>
    </w:p>
    <w:p w14:paraId="52872E18" w14:textId="77777777" w:rsidR="0066097B" w:rsidRPr="00C66C24" w:rsidRDefault="0066097B" w:rsidP="0066097B">
      <w:pPr>
        <w:spacing w:before="0" w:after="0" w:line="259" w:lineRule="auto"/>
        <w:rPr>
          <w:b/>
          <w:bCs/>
        </w:rPr>
      </w:pPr>
      <w:r w:rsidRPr="00C66C24">
        <w:rPr>
          <w:b/>
          <w:bCs/>
        </w:rPr>
        <w:t>Regulatory framework</w:t>
      </w:r>
    </w:p>
    <w:p w14:paraId="27003F43" w14:textId="77777777" w:rsidR="0066097B" w:rsidRPr="00C66C24" w:rsidRDefault="0066097B" w:rsidP="0066097B">
      <w:pPr>
        <w:spacing w:before="0" w:after="0" w:line="259" w:lineRule="auto"/>
        <w:rPr>
          <w:u w:val="single"/>
        </w:rPr>
      </w:pPr>
      <w:r w:rsidRPr="00C66C24">
        <w:rPr>
          <w:u w:val="single"/>
        </w:rPr>
        <w:t>International framework</w:t>
      </w:r>
    </w:p>
    <w:p w14:paraId="4F87C06F" w14:textId="1262F9CB"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In the case of EGCS, at IMO, the discussion on the importance of not transferring such pollution from air to sea has started and attention has been brought to this issue with the adoption of different documents, such as MEPC.340(77) and MEPC.1/Circ.899 on scrubber discharge waters</w:t>
      </w:r>
      <w:r w:rsidR="006A3229" w:rsidRPr="00C66C24">
        <w:rPr>
          <w:rFonts w:ascii="Calibri" w:eastAsia="Calibri" w:hAnsi="Calibri" w:cs="Calibri"/>
          <w:color w:val="000000" w:themeColor="text1"/>
        </w:rPr>
        <w:t xml:space="preserve"> </w:t>
      </w:r>
      <w:r w:rsidR="006A3229"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{"citationID":"a2nrpei45es","properties":{"formattedCitation":"(IMO, 2021c, 2022a)","plainCitation":"(IMO, 2021c, 2022a)","noteIndex":0},"citationItems":[{"id":21755,"uris":["http://zotero.org/groups/122386/items/9FTZZAUM"],"itemData":{"id":21755,"type":"document","publisher":"International Maritime Organization","title":"Resolution MEPC.340(77). 2021 Guidelines for Exhaust Gas Cleaning Systems","URL":"https://wwwcdn.imo.org/localresources/en/KnowledgeCentre/IndexofIMOResolutions/MEPCDocuments/MEPC.340(77).pdf","author":[{"family":"IMO","given":""}],"issued":{"date-parts":[["2021"]]}}},{"id":59446,"uris":["http://zotero.org/groups/122386/items/Y7X4HIH5"],"itemData":{"id":59446,"type":"document","publisher":"International Maritime Organization","title":"MEPC.1/Circ.899. 2022 guidelines for risk and impact assessments of the discharge water from exhaust gas cleaning systems","URL":"https://wwwcdn.imo.org/localresources/en/OurWork/Environment/Documents/Air%20pollution/MEPC.1-Circ.899.pdf","author":[{"literal":"IMO"}],"issued":{"date-parts":[["2022"]]}}}],"schema":"https://github.com/citation-style-language/schema/raw/master/csl-citation.json"} </w:instrText>
      </w:r>
      <w:r w:rsidR="006A3229" w:rsidRPr="00C66C24">
        <w:rPr>
          <w:rFonts w:ascii="Calibri" w:eastAsia="Calibri" w:hAnsi="Calibri" w:cs="Calibri"/>
          <w:color w:val="000000" w:themeColor="text1"/>
        </w:rPr>
        <w:fldChar w:fldCharType="separate"/>
      </w:r>
      <w:r w:rsidR="001855E3" w:rsidRPr="00C66C24">
        <w:rPr>
          <w:rFonts w:ascii="Calibri" w:hAnsi="Calibri" w:cs="Calibri"/>
        </w:rPr>
        <w:t>(IMO, 2021c, 2022a)</w:t>
      </w:r>
      <w:r w:rsidR="006A3229" w:rsidRPr="00C66C24">
        <w:rPr>
          <w:rFonts w:ascii="Calibri" w:eastAsia="Calibri" w:hAnsi="Calibri" w:cs="Calibri"/>
          <w:color w:val="000000" w:themeColor="text1"/>
        </w:rPr>
        <w:fldChar w:fldCharType="end"/>
      </w:r>
      <w:r w:rsidR="006A3229"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and MEPC.1/Circ.900 on scrubbers’ residues delivery to port reception facilities</w:t>
      </w:r>
      <w:r w:rsidR="00EA6982" w:rsidRPr="00C66C24">
        <w:rPr>
          <w:rFonts w:ascii="Calibri" w:eastAsia="Calibri" w:hAnsi="Calibri" w:cs="Calibri"/>
          <w:color w:val="000000" w:themeColor="text1"/>
        </w:rPr>
        <w:t xml:space="preserve"> </w:t>
      </w:r>
      <w:r w:rsidR="00EA6982"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{"citationID":"a6hoe2i1rp","properties":{"formattedCitation":"(IMO, 2022b)","plainCitation":"(IMO, 2022b)","noteIndex":0},"citationItems":[{"id":21752,"uris":["http://zotero.org/groups/122386/items/WMC8QH5Z"],"itemData":{"id":21752,"type":"document","publisher":"International Maritime Organization","title":"MEPC.1/Circ.900. 2022 Guidelines Regarding the Delivery of EGCS residues to Port Reception Facilities","author":[{"family":"IMO","given":""}],"issued":{"date-parts":[["2022"]]}}}],"schema":"https://github.com/citation-style-language/schema/raw/master/csl-citation.json"} </w:instrText>
      </w:r>
      <w:r w:rsidR="00EA6982" w:rsidRPr="00C66C24">
        <w:rPr>
          <w:rFonts w:ascii="Calibri" w:eastAsia="Calibri" w:hAnsi="Calibri" w:cs="Calibri"/>
          <w:color w:val="000000" w:themeColor="text1"/>
        </w:rPr>
        <w:fldChar w:fldCharType="separate"/>
      </w:r>
      <w:r w:rsidR="001855E3" w:rsidRPr="00C66C24">
        <w:rPr>
          <w:rFonts w:ascii="Calibri" w:hAnsi="Calibri" w:cs="Calibri"/>
        </w:rPr>
        <w:t>(IMO, 2022b)</w:t>
      </w:r>
      <w:r w:rsidR="00EA6982"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The transfer of pollution, is covered under the United Nations Convention on the Law of the Sea (UNCLOS)</w:t>
      </w:r>
      <w:r w:rsidR="00124A93" w:rsidRPr="00C66C24">
        <w:rPr>
          <w:rFonts w:ascii="Calibri" w:eastAsia="Calibri" w:hAnsi="Calibri" w:cs="Calibri"/>
          <w:color w:val="000000" w:themeColor="text1"/>
        </w:rPr>
        <w:t>, among others</w:t>
      </w:r>
      <w:r w:rsidR="001C3F9F"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under Article 195, where it is stated that there is a "Duty not to transfer damage or hazards or transform one type of pollution into another"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{"citationID":"omEeWfhE","properties":{"formattedCitation":"(UNCLOS, 1982)","plainCitation":"(UNCLOS, 1982)","noteIndex":0},"citationItems":[{"id":21744,"uris":["http://zotero.org/groups/122386/items/L6845CLI"],"itemData":{"id":21744,"type":"document","license":"UNTS 396","publisher":"United Nations","title":"United Nations Convention on the Law of the Sea","title-short":"UNCLOS","URL":"https://www.un.org/depts/los/convention_agreements/texts/unclos/unclos_e.pdf","author":[{"family":"UNCLOS","given":""}],"issued":{"date-parts":[["1982"]]}}}],"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(UNCLOS, 1982)</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r w:rsidR="002F268A" w:rsidRPr="00C66C24">
        <w:rPr>
          <w:rFonts w:ascii="Calibri" w:eastAsia="Calibri" w:hAnsi="Calibri" w:cs="Calibri"/>
          <w:color w:val="000000" w:themeColor="text1"/>
        </w:rPr>
        <w:t xml:space="preserve"> Th</w:t>
      </w:r>
      <w:r w:rsidR="00D25A78" w:rsidRPr="00C66C24">
        <w:rPr>
          <w:rFonts w:ascii="Calibri" w:eastAsia="Calibri" w:hAnsi="Calibri" w:cs="Calibri"/>
          <w:color w:val="000000" w:themeColor="text1"/>
        </w:rPr>
        <w:t xml:space="preserve">e </w:t>
      </w:r>
      <w:r w:rsidR="00A818B5" w:rsidRPr="00C66C24">
        <w:rPr>
          <w:rFonts w:ascii="Calibri" w:eastAsia="Calibri" w:hAnsi="Calibri" w:cs="Calibri"/>
          <w:color w:val="000000" w:themeColor="text1"/>
        </w:rPr>
        <w:t>potential</w:t>
      </w:r>
      <w:r w:rsidR="00D25A78" w:rsidRPr="00C66C24">
        <w:rPr>
          <w:rFonts w:ascii="Calibri" w:eastAsia="Calibri" w:hAnsi="Calibri" w:cs="Calibri"/>
          <w:color w:val="000000" w:themeColor="text1"/>
        </w:rPr>
        <w:t xml:space="preserve"> conflicts between the </w:t>
      </w:r>
      <w:r w:rsidR="007A7BEA" w:rsidRPr="00C66C24">
        <w:rPr>
          <w:rFonts w:ascii="Calibri" w:eastAsia="Calibri" w:hAnsi="Calibri" w:cs="Calibri"/>
          <w:color w:val="000000" w:themeColor="text1"/>
        </w:rPr>
        <w:t>regulations</w:t>
      </w:r>
      <w:r w:rsidR="00D25A78" w:rsidRPr="00C66C24">
        <w:rPr>
          <w:rFonts w:ascii="Calibri" w:eastAsia="Calibri" w:hAnsi="Calibri" w:cs="Calibri"/>
          <w:color w:val="000000" w:themeColor="text1"/>
        </w:rPr>
        <w:t xml:space="preserve"> in place and UNCLOS are </w:t>
      </w:r>
      <w:r w:rsidR="003E5327" w:rsidRPr="00C66C24">
        <w:rPr>
          <w:rFonts w:ascii="Calibri" w:eastAsia="Calibri" w:hAnsi="Calibri" w:cs="Calibri"/>
          <w:color w:val="000000" w:themeColor="text1"/>
        </w:rPr>
        <w:t>currently</w:t>
      </w:r>
      <w:r w:rsidR="002A2D9D" w:rsidRPr="00C66C24">
        <w:rPr>
          <w:rFonts w:ascii="Calibri" w:eastAsia="Calibri" w:hAnsi="Calibri" w:cs="Calibri"/>
          <w:color w:val="000000" w:themeColor="text1"/>
        </w:rPr>
        <w:t xml:space="preserve"> being</w:t>
      </w:r>
      <w:r w:rsidR="00D25A78" w:rsidRPr="00C66C24">
        <w:rPr>
          <w:rFonts w:ascii="Calibri" w:eastAsia="Calibri" w:hAnsi="Calibri" w:cs="Calibri"/>
          <w:color w:val="000000" w:themeColor="text1"/>
        </w:rPr>
        <w:t xml:space="preserve"> </w:t>
      </w:r>
      <w:r w:rsidR="00FE23B9" w:rsidRPr="00C66C24">
        <w:rPr>
          <w:rFonts w:ascii="Calibri" w:eastAsia="Calibri" w:hAnsi="Calibri" w:cs="Calibri"/>
          <w:color w:val="000000" w:themeColor="text1"/>
        </w:rPr>
        <w:t>discussed</w:t>
      </w:r>
      <w:r w:rsidR="00D25A78" w:rsidRPr="00C66C24">
        <w:rPr>
          <w:rFonts w:ascii="Calibri" w:eastAsia="Calibri" w:hAnsi="Calibri" w:cs="Calibri"/>
          <w:color w:val="000000" w:themeColor="text1"/>
        </w:rPr>
        <w:t xml:space="preserve"> </w:t>
      </w:r>
      <w:r w:rsidR="00FE23B9" w:rsidRPr="00C66C24">
        <w:rPr>
          <w:rFonts w:ascii="Calibri" w:eastAsia="Calibri" w:hAnsi="Calibri" w:cs="Calibri"/>
          <w:color w:val="000000" w:themeColor="text1"/>
        </w:rPr>
        <w:t>at</w:t>
      </w:r>
      <w:r w:rsidR="007A7BEA" w:rsidRPr="00C66C24">
        <w:rPr>
          <w:rFonts w:ascii="Calibri" w:eastAsia="Calibri" w:hAnsi="Calibri" w:cs="Calibri"/>
          <w:color w:val="000000" w:themeColor="text1"/>
        </w:rPr>
        <w:t xml:space="preserve"> IMO </w:t>
      </w:r>
      <w:r w:rsidR="00FE23B9" w:rsidRPr="00C66C24">
        <w:rPr>
          <w:rFonts w:ascii="Calibri" w:eastAsia="Calibri" w:hAnsi="Calibri" w:cs="Calibri"/>
          <w:color w:val="000000" w:themeColor="text1"/>
        </w:rPr>
        <w:t>(see for example</w:t>
      </w:r>
      <w:r w:rsidR="00D25A78" w:rsidRPr="00C66C24">
        <w:rPr>
          <w:rFonts w:ascii="Calibri" w:eastAsia="Calibri" w:hAnsi="Calibri" w:cs="Calibri"/>
          <w:color w:val="000000" w:themeColor="text1"/>
        </w:rPr>
        <w:t xml:space="preserve"> </w:t>
      </w:r>
      <w:r w:rsidR="007A7BEA" w:rsidRPr="00C66C24">
        <w:rPr>
          <w:rFonts w:ascii="Calibri" w:eastAsia="Calibri" w:hAnsi="Calibri" w:cs="Calibri"/>
          <w:color w:val="000000" w:themeColor="text1"/>
        </w:rPr>
        <w:t>document</w:t>
      </w:r>
      <w:r w:rsidR="00D25A78" w:rsidRPr="00C66C24">
        <w:rPr>
          <w:rFonts w:ascii="Calibri" w:eastAsia="Calibri" w:hAnsi="Calibri" w:cs="Calibri"/>
          <w:color w:val="000000" w:themeColor="text1"/>
        </w:rPr>
        <w:t xml:space="preserve"> IMO MEPC</w:t>
      </w:r>
      <w:r w:rsidR="007A7BEA" w:rsidRPr="00C66C24">
        <w:rPr>
          <w:rFonts w:ascii="Calibri" w:eastAsia="Calibri" w:hAnsi="Calibri" w:cs="Calibri"/>
          <w:color w:val="000000" w:themeColor="text1"/>
        </w:rPr>
        <w:t xml:space="preserve"> </w:t>
      </w:r>
      <w:r w:rsidR="00D25A78" w:rsidRPr="00C66C24">
        <w:rPr>
          <w:rFonts w:ascii="Calibri" w:eastAsia="Calibri" w:hAnsi="Calibri" w:cs="Calibri"/>
          <w:color w:val="000000" w:themeColor="text1"/>
        </w:rPr>
        <w:t>81/9</w:t>
      </w:r>
      <w:r w:rsidR="00EE69FA" w:rsidRPr="00C66C24">
        <w:rPr>
          <w:rFonts w:ascii="Calibri" w:eastAsia="Calibri" w:hAnsi="Calibri" w:cs="Calibri"/>
          <w:color w:val="000000" w:themeColor="text1"/>
        </w:rPr>
        <w:t xml:space="preserve"> </w:t>
      </w:r>
      <w:r w:rsidR="00EE69FA"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{"citationID":"avf7b5i3jh","properties":{"formattedCitation":"(IMO, 2024)","plainCitation":"(IMO, 2024)","noteIndex":0},"citationItems":[{"id":59480,"uris":["http://zotero.org/groups/122386/items/DZMTSDBW"],"itemData":{"id":59480,"type":"document","publisher":"International Maritime Organization","title":"Resolution MEPC.81(9). PPR - Legal advice on exhaust gas cleaning systems","author":[{"literal":"IMO"}],"issued":{"date-parts":[["2024",1,12]]}}}],"schema":"https://github.com/citation-style-language/schema/raw/master/csl-citation.json"} </w:instrText>
      </w:r>
      <w:r w:rsidR="00EE69FA" w:rsidRPr="00C66C24">
        <w:rPr>
          <w:rFonts w:ascii="Calibri" w:eastAsia="Calibri" w:hAnsi="Calibri" w:cs="Calibri"/>
          <w:color w:val="000000" w:themeColor="text1"/>
        </w:rPr>
        <w:fldChar w:fldCharType="separate"/>
      </w:r>
      <w:r w:rsidR="001855E3" w:rsidRPr="00C66C24">
        <w:rPr>
          <w:rFonts w:ascii="Calibri" w:hAnsi="Calibri" w:cs="Calibri"/>
        </w:rPr>
        <w:t>(IMO, 2024)</w:t>
      </w:r>
      <w:r w:rsidR="00EE69FA"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p>
    <w:p w14:paraId="25EE4D06" w14:textId="77777777" w:rsidR="0066097B" w:rsidRPr="00C66C24" w:rsidRDefault="0066097B" w:rsidP="0066097B">
      <w:pPr>
        <w:spacing w:before="0" w:after="0" w:line="259" w:lineRule="auto"/>
        <w:rPr>
          <w:u w:val="single"/>
        </w:rPr>
      </w:pPr>
    </w:p>
    <w:p w14:paraId="420DABD5" w14:textId="77777777" w:rsidR="0066097B" w:rsidRPr="00C66C24" w:rsidRDefault="0066097B" w:rsidP="0066097B">
      <w:pPr>
        <w:spacing w:before="0" w:after="0" w:line="259" w:lineRule="auto"/>
        <w:rPr>
          <w:rFonts w:ascii="Calibri" w:eastAsia="Calibri" w:hAnsi="Calibri" w:cs="Calibri"/>
          <w:b/>
          <w:bCs/>
          <w:color w:val="000000" w:themeColor="text1"/>
        </w:rPr>
      </w:pPr>
      <w:r w:rsidRPr="00C66C24">
        <w:rPr>
          <w:u w:val="single"/>
        </w:rPr>
        <w:t>European Union framework</w:t>
      </w:r>
    </w:p>
    <w:p w14:paraId="2185DD40" w14:textId="6DE38E0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The key EU legislation for scrubber discharge wasters in the Sulphur Directive and the Ship-Source Pollution Directive. While there is not a specific EU policy framework regulating the use of EGCS, the MARPOL regulations have been transposed into EU law as an alternative method of compliance with the international standards on SOx emissions by the Sulphur Directive. Furthermore, EGCS residues, including wash wasters that do not conform with the IMO discharge criteria into sea are covered by Directive (EU) 2019/883 on Port reception facilities for the delivery of waste from ships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{"citationID":"a2469ah7b5","properties":{"formattedCitation":"(EU, 2019a)","plainCitation":"(EU, 2019a)","noteIndex":0},"citationItems":[{"id":21763,"uris":["http://zotero.org/groups/122386/items/A8E8Q6RX"],"itemData":{"id":21763,"type":"document","publisher":"European Parliament and Council","title":"Directive (EU) 2019/883 of the European Parliament and of the Council of 17 April 2019 on port reception facilities for the delivery of waste from ships, amending Directive 2010/65/EU and repealing Directive 2000/59/EC","URL":"https://eur-lex.europa.eu/legal-content/EN/TXT/PDF/?uri=CELEX:32019L0883","author":[{"family":"EU","given":""}],"issued":{"date-parts":[["2019"]]}}}],"schema":"https://github.com/citation-style-language/schema/raw/master/csl-citation.json"}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(EU, 2019a)</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Lastly, EGCS water pollution can be connected with other European level legislations regulating the marine environment and ship waste, that regulate pollutants that among others, are present in the wash water discharges of EGCS, such as (metals and contaminants) through Directive 2008/105/EC Environmental Quality Standards (EQS;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{"citationID":"GqQjWGxV","properties":{"formattedCitation":"(EC, 2008b)","plainCitation":"(EC, 2008b)","dontUpdate":true,"noteIndex":0},"citationItems":[{"id":21764,"uris":["http://zotero.org/groups/122386/items/RVUGTYQF"],"itemData":{"id":21764,"type":"document","publisher":"European Parliament and Council","title":"Directive 2008/105/EC of the European Parliament and of the Council of the European Parliament and of the Council of 16 December 2008 on environmental quality standards in the field of water policy, amending and subsequently repealing Council Directives 82/176/EEC, 83/513/EEC, 84/156/EEC, 84/491/EEC, 86/280/EEC and amending Directive 2000/60/EC of the European Parliament and of the Council","URL":"https://eur-lex.europa.eu/legal-content/EN/TXT/PDF/?uri=CELEX:32008L0105","author":[{"family":"EU","given":""}],"issued":{"date-parts":[["2008"]]}}}],"schema":"https://github.com/citation-style-language/schema/raw/master/csl-citation.json"}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EU, 2008b)</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Directive 2008/56/EC Marine Strategy Framework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{"citationID":"MOvFQ4Al","properties":{"formattedCitation":"(EC, 2008a)","plainCitation":"(EC, 2008a)","dontUpdate":true,"noteIndex":0},"citationItems":[{"id":21765,"uris":["http://zotero.org/groups/122386/items/4NP7PP7D"],"itemData":{"id":21765,"type":"document","publisher":"European Parliament and Council","title":"Directive 2008/56/EC of the European Parliament and of the Council of 17 June 2008 establishing a framework for Community action in the field of marine environmental policy (Marine Strategy Framework Directive)","title-short":"Marine Strategy Framework Directive","URL":"https://eur-lex.europa.eu/legal-content/EN/TXT/PDF/?uri=CELEX:32022R0720)","author":[{"family":"EU","given":""}],"issued":{"date-parts":[["2008"]]}}}],"schema":"https://github.com/citation-style-language/schema/raw/master/csl-citation.json"}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(EU, 2008a)</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and Directive 2000/60/EC Water Framework (WFD; EU, 2000).</w:t>
      </w:r>
    </w:p>
    <w:p w14:paraId="2785B60B" w14:textId="77777777" w:rsidR="0066097B" w:rsidRPr="00C66C24" w:rsidRDefault="0066097B" w:rsidP="0066097B">
      <w:pPr>
        <w:spacing w:before="0" w:after="0" w:line="259" w:lineRule="auto"/>
        <w:rPr>
          <w:rFonts w:ascii="Calibri" w:eastAsia="Calibri" w:hAnsi="Calibri" w:cs="Calibri"/>
          <w:color w:val="000000" w:themeColor="text1"/>
        </w:rPr>
      </w:pPr>
    </w:p>
    <w:p w14:paraId="4FA59D03" w14:textId="3C0E4A4F" w:rsidR="0066097B" w:rsidRPr="00C66C24" w:rsidRDefault="0066097B" w:rsidP="0066097B">
      <w:pPr>
        <w:spacing w:before="0" w:after="0" w:line="259" w:lineRule="auto"/>
        <w:rPr>
          <w:rFonts w:ascii="Calibri" w:eastAsia="Calibri" w:hAnsi="Calibri" w:cs="Calibri"/>
          <w:b/>
          <w:bCs/>
          <w:color w:val="000000" w:themeColor="text1"/>
        </w:rPr>
      </w:pPr>
      <w:r w:rsidRPr="00C66C24">
        <w:rPr>
          <w:rFonts w:ascii="Calibri" w:eastAsia="Calibri" w:hAnsi="Calibri" w:cs="Calibri"/>
          <w:b/>
          <w:bCs/>
          <w:color w:val="000000" w:themeColor="text1"/>
        </w:rPr>
        <w:t>Monitoring and reporting framework</w:t>
      </w:r>
    </w:p>
    <w:p w14:paraId="1F854DD7" w14:textId="60FB4C9B"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From a monitoring perspective, the current international framework provides tools under two international non-binding instruments: 1) The 2021 IMO EGCS guidelines (resolution MEPC.340(77)) which provides a set of criteria and schemes to be followed on the testing, survey, certification and verification of the EGCS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{"citationID":"o0wQfUqD","properties":{"formattedCitation":"(IMO, 2021c)","plainCitation":"(IMO, 2021c)","noteIndex":0},"citationItems":[{"id":21755,"uris":["http://zotero.org/groups/122386/items/9FTZZAUM"],"itemData":{"id":21755,"type":"document","publisher":"International Maritime Organization","title":"Resolution MEPC.340(77). 2021 Guidelines for Exhaust Gas Cleaning Systems","URL":"https://wwwcdn.imo.org/localresources/en/KnowledgeCentre/IndexofIMOResolutions/MEPCDocuments/MEPC.340(77).pdf","author":[{"family":"IMO","given":""}],"issued":{"date-parts":[["2021"]]}}}],"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(IMO, 2021c)</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and 2) The 2022 IMO Guidelines for risk and impact assessment of the discharge water from exhaust gas cleaning systems (MEPC.1/Circ.899) which provides a harmonised and unified approach to be used by Member States when considering local or regional regulations to protect sensitive waters/environment from the discharge water from EGCS </w:t>
      </w:r>
      <w:r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{"citationID":"U4OGrpNl","properties":{"formattedCitation":"(IMO, 2022b)","plainCitation":"(IMO, 2022b)","noteIndex":0},"citationItems":[{"id":21752,"uris":["http://zotero.org/groups/122386/items/WMC8QH5Z"],"itemData":{"id":21752,"type":"document","publisher":"International Maritime Organization","title":"MEPC.1/Circ.900. 2022 Guidelines Regarding the Delivery of EGCS residues to Port Reception Facilities","author":[{"family":"IMO","given":""}],"issued":{"date-parts":[["2022"]]}}}],"schema":"https://github.com/citation-style-language/schema/raw/master/csl-citation.json"} </w:instrText>
      </w:r>
      <w:r w:rsidRPr="00C66C24">
        <w:rPr>
          <w:rFonts w:ascii="Calibri" w:eastAsia="Calibri" w:hAnsi="Calibri" w:cs="Calibri"/>
          <w:color w:val="000000" w:themeColor="text1"/>
        </w:rPr>
        <w:fldChar w:fldCharType="separate"/>
      </w:r>
      <w:r w:rsidR="001855E3" w:rsidRPr="00C66C24">
        <w:rPr>
          <w:rFonts w:ascii="Calibri" w:hAnsi="Calibri" w:cs="Calibri"/>
        </w:rPr>
        <w:t xml:space="preserve">(IMO, </w:t>
      </w:r>
      <w:r w:rsidR="001855E3" w:rsidRPr="001855E3">
        <w:rPr>
          <w:rFonts w:ascii="Calibri" w:hAnsi="Calibri" w:cs="Calibri"/>
        </w:rPr>
        <w:t>2022</w:t>
      </w:r>
      <w:r w:rsidR="00AE5E45">
        <w:rPr>
          <w:rFonts w:ascii="Calibri" w:hAnsi="Calibri" w:cs="Calibri"/>
        </w:rPr>
        <w:t>a</w:t>
      </w:r>
      <w:r w:rsidR="001855E3" w:rsidRPr="00C66C24">
        <w:rPr>
          <w:rFonts w:ascii="Calibri" w:hAnsi="Calibri" w:cs="Calibri"/>
        </w:rPr>
        <w:t>)</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w:t>
      </w:r>
    </w:p>
    <w:p w14:paraId="5807EB19" w14:textId="0370029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The IMO 2021 EGCS Guidelines establishes a methodology with two schemes for approval of an EGCS by the Administration</w:t>
      </w:r>
      <w:r w:rsidR="00140B1A" w:rsidRPr="00C66C24">
        <w:rPr>
          <w:rFonts w:ascii="Calibri" w:eastAsia="Calibri" w:hAnsi="Calibri" w:cs="Calibri"/>
          <w:color w:val="000000" w:themeColor="text1"/>
        </w:rPr>
        <w:t xml:space="preserve"> that a</w:t>
      </w:r>
      <w:r w:rsidRPr="00C66C24">
        <w:rPr>
          <w:rFonts w:ascii="Calibri" w:eastAsia="Calibri" w:hAnsi="Calibri" w:cs="Calibri"/>
          <w:color w:val="000000" w:themeColor="text1"/>
        </w:rPr>
        <w:t xml:space="preserve">ims to ensure that scrubbers are effectively meeting the sulphur emission reductions and comply with the emission ratio limits and the environmental criteria for the system’s water discharges, leaving the door open to future binding regulations. The discharge of water according to the guidelines is predicted to comply with water quality criteria, pH, PAH, turbidity, suspended particulate matter, nitrates, wash water and discharge water additives and other substance, and discharge water from temporary storage. The European Union aims that the guidelines are </w:t>
      </w:r>
      <w:r w:rsidR="00140B1A" w:rsidRPr="00C66C24">
        <w:rPr>
          <w:rFonts w:ascii="Calibri" w:eastAsia="Calibri" w:hAnsi="Calibri" w:cs="Calibri"/>
          <w:color w:val="000000" w:themeColor="text1"/>
        </w:rPr>
        <w:t>revised,</w:t>
      </w:r>
      <w:r w:rsidRPr="00C66C24">
        <w:rPr>
          <w:rFonts w:ascii="Calibri" w:eastAsia="Calibri" w:hAnsi="Calibri" w:cs="Calibri"/>
          <w:color w:val="000000" w:themeColor="text1"/>
        </w:rPr>
        <w:t xml:space="preserve"> and it is expected that the work triggered in 2019 is finalised by 2025 with a possible regulatory development, through the output on </w:t>
      </w:r>
      <w:r w:rsidR="00140B1A" w:rsidRPr="00C66C24">
        <w:rPr>
          <w:rFonts w:ascii="Calibri" w:eastAsia="Calibri" w:hAnsi="Calibri" w:cs="Calibri"/>
          <w:color w:val="000000" w:themeColor="text1"/>
        </w:rPr>
        <w:t>“</w:t>
      </w:r>
      <w:r w:rsidRPr="00C66C24">
        <w:rPr>
          <w:rFonts w:ascii="Calibri" w:eastAsia="Calibri" w:hAnsi="Calibri" w:cs="Calibri"/>
          <w:color w:val="000000" w:themeColor="text1"/>
        </w:rPr>
        <w:t>Evaluation and harmonisation of rules and guidance on the discharge water from EGCS into at the aquatic environment, including conditions and areas</w:t>
      </w:r>
      <w:r w:rsidR="00140B1A"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 The European Commission have been very important for the developments at IMO, with several submissions on the health and environmental impacts and toxicity of EGCS discharges, asking for the revision of MARPOL to add a clear definition of what are discharge waters </w:t>
      </w:r>
      <w:r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{"citationID":"KslMgma9","properties":{"formattedCitation":"(IMO, 2019a, 2019c, 2021a, 2023b)","plainCitation":"(IMO, 2019a, 2019c, 2021a, 2023b)","noteIndex":0},"citationItems":[{"id":59422,"uris":["http://zotero.org/groups/122386/items/KNEHQSFK"],"itemData":{"id":59422,"type":"document","publisher":"International Maritime Organization","title":"MEPC 74/14/1 - WORK PROGRAMME OF THE COMMITTEE AND SUBSIDIARY BODIES. Proposal for evaluation and developing harmonized rules and guidance on the discharge of liquid effluents from exhaust gas cleaning systems","author":[{"literal":"IMO"}],"issued":{"date-parts":[["2019"]]}}},{"id":59424,"uris":["http://zotero.org/groups/122386/items/8EK4DXKJ"],"itemData":{"id":59424,"type":"document","publisher":"International Maritime Organization","title":"PPR 7/12 - EVALUATION AND HARMONIZATION OF RULES AND GUIDANCE ON THE DISCHARGE OF LIQUID EFFLUENTS FROM EGCS INTO WATERS, INCLUDING CONDITIONS AND AREAS. Aspects to consider for the evaluation and development of harmonized rules and guidance on discharge waters from exhaust gas cleaning systems","author":[{"literal":"IMO"}],"issued":{"date-parts":[["2019"]]}}},{"id":59426,"uris":["http://zotero.org/groups/122386/items/LLKJ9HPM"],"itemData":{"id":59426,"type":"document","publisher":"International Maritime Organization","title":"MEPC 76/5/5 - AIR POLLUTION PREVENTION. Comments on deferred document MEPC 75/5/3 (Republic of Korea) and suggested amendments to draft guidance outlined in revision of MEPC.1/Circ.883","author":[{"literal":"IMO"}],"issued":{"date-parts":[["2021"]]}}},{"id":59428,"uris":["http://zotero.org/groups/122386/items/9N252ALV"],"itemData":{"id":59428,"type":"document","publisher":"International Maritime Organization","title":"MEPC 80/5/5 - AIR POLLUTION PREVENTION. Proposal to further develop part 3 (regulatory matters) on the scope of work for the evaluation and harmonisation of rules and guidance on the discharges and residues from EGCSs into the aquatic environment, including conditions and areas","author":[{"literal":"IMO"}],"issued":{"date-parts":[["2023"]]}}}],"schema":"https://github.com/citation-style-language/schema/raw/master/csl-citation.json"} </w:instrText>
      </w:r>
      <w:r w:rsidRPr="00C66C24">
        <w:rPr>
          <w:rFonts w:ascii="Calibri" w:eastAsia="Calibri" w:hAnsi="Calibri" w:cs="Calibri"/>
          <w:color w:val="000000" w:themeColor="text1"/>
        </w:rPr>
        <w:fldChar w:fldCharType="separate"/>
      </w:r>
      <w:r w:rsidR="001855E3" w:rsidRPr="00C66C24">
        <w:rPr>
          <w:rFonts w:ascii="Calibri" w:hAnsi="Calibri" w:cs="Calibri"/>
        </w:rPr>
        <w:t>(IMO, 2019a, 2019c, 2021a, 2023b)</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p>
    <w:p w14:paraId="42D30E8D"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The IMO Guidelines for risk and impact assessment of the discharge water from exhaust gas cleaning systems (MEPC.1/Circ.899) and the application of such recommendatory guidelines is for Member States to use when undertaking national, local or regional level risk and impact assessments regarding EGCS discharge water in their territorial waters. Considering various metals as cadmium, lead, nickel and vanadium and also various PAH such as acenaphthene, benzo(a)anthracene and pyrene. Also including in the analysis data concerning and available on a database in the IMO, are </w:t>
      </w:r>
      <w:proofErr w:type="spellStart"/>
      <w:r w:rsidRPr="00C66C24">
        <w:rPr>
          <w:rFonts w:ascii="Calibri" w:eastAsia="Calibri" w:hAnsi="Calibri" w:cs="Calibri"/>
          <w:color w:val="000000" w:themeColor="text1"/>
        </w:rPr>
        <w:t>physico</w:t>
      </w:r>
      <w:proofErr w:type="spellEnd"/>
      <w:r w:rsidRPr="00C66C24">
        <w:rPr>
          <w:rFonts w:ascii="Calibri" w:eastAsia="Calibri" w:hAnsi="Calibri" w:cs="Calibri"/>
          <w:color w:val="000000" w:themeColor="text1"/>
        </w:rPr>
        <w:t xml:space="preserve">-chemical data, ecotoxicological data and toxicological data. </w:t>
      </w:r>
    </w:p>
    <w:p w14:paraId="35E2035A" w14:textId="7D8611ED" w:rsidR="0066097B" w:rsidRPr="00C66C24" w:rsidRDefault="0066097B" w:rsidP="0066097B">
      <w:pPr>
        <w:spacing w:before="0" w:after="0" w:line="259" w:lineRule="auto"/>
        <w:rPr>
          <w:rFonts w:ascii="Calibri" w:eastAsia="Calibri" w:hAnsi="Calibri" w:cs="Calibri"/>
          <w:color w:val="000000" w:themeColor="text1"/>
        </w:rPr>
      </w:pPr>
      <w:r w:rsidRPr="00C66C24">
        <w:rPr>
          <w:rStyle w:val="eop"/>
          <w:rFonts w:ascii="Calibri" w:eastAsia="Calibri" w:hAnsi="Calibri" w:cs="Calibri"/>
          <w:color w:val="000000" w:themeColor="text1"/>
        </w:rPr>
        <w:t>However, due to the lack of binding regulations to further control the use of ECGS and resulting wash, a</w:t>
      </w:r>
      <w:r w:rsidRPr="00C66C24">
        <w:rPr>
          <w:rFonts w:ascii="Calibri" w:eastAsia="Calibri" w:hAnsi="Calibri" w:cs="Calibri"/>
          <w:color w:val="000000" w:themeColor="text1"/>
        </w:rPr>
        <w:t xml:space="preserve"> growing number of EU Member States have restricted or banned the use of scrubbers in high-traffic areas like ports and canals due to their environmental impacts, by introducing, either under national legislation or through Port Authorities, additional conditions for the operation of scrubbers. These measures vary from not allowing discharges of wash waters from open-loop (OL) scrubbers in specific port areas to the prohibition of wash water discharges within 3 nautical miles (NM) off the coast. To date, restrictions (or bans) are in force in 16 European Union countries including Belgium, Croatia, Cyprus, Estonia, Finland, France, Germany, Ireland, Latvia, Lithuania, Norway, Portugal, Romania, Slovenia, Spain and Sweden at different levels (</w:t>
      </w:r>
      <w:r w:rsidRPr="00C66C24">
        <w:fldChar w:fldCharType="begin"/>
      </w:r>
      <w:r w:rsidRPr="00C66C24">
        <w:instrText xml:space="preserve"> REF _Ref151716139 \h </w:instrText>
      </w:r>
      <w:r w:rsidRPr="00C66C24">
        <w:fldChar w:fldCharType="separate"/>
      </w:r>
      <w:r w:rsidRPr="00C66C24">
        <w:rPr>
          <w:sz w:val="20"/>
          <w:szCs w:val="20"/>
        </w:rPr>
        <w:t xml:space="preserve">Map </w:t>
      </w:r>
      <w:r w:rsidRPr="00C66C24">
        <w:fldChar w:fldCharType="end"/>
      </w:r>
      <w:r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{"citationID":"gLwmMlWJ","properties":{"formattedCitation":"(EGCS Association, 2023)","plainCitation":"(EGCS Association, 2023)","noteIndex":0},"citationItems":[{"id":52175,"uris":["http://zotero.org/groups/122386/items/CAK6CHUZ"],"itemData":{"id":52175,"type":"webpage","container-title":"SOx Regulation Map","title":"SOx Regulation Map","URL":"https://www.egcsa.com/map-regulations/","author":[{"literal":"EGCS Association"}],"issued":{"date-parts":[["2023",10,19]]}}}],"schema":"https://github.com/citation-style-language/schema/raw/master/csl-citation.json"}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(EGCS Association, 2023)</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Information on Bulgaria, Denmark, Greece, Malta, </w:t>
      </w:r>
      <w:r w:rsidR="00140B1A" w:rsidRPr="00C66C24">
        <w:rPr>
          <w:rFonts w:ascii="Calibri" w:eastAsia="Calibri" w:hAnsi="Calibri" w:cs="Calibri"/>
          <w:color w:val="000000" w:themeColor="text1"/>
        </w:rPr>
        <w:t>T</w:t>
      </w:r>
      <w:r w:rsidRPr="00C66C24">
        <w:rPr>
          <w:rFonts w:ascii="Calibri" w:eastAsia="Calibri" w:hAnsi="Calibri" w:cs="Calibri"/>
          <w:color w:val="000000" w:themeColor="text1"/>
        </w:rPr>
        <w:t>he Netherlands and Poland is not available. In addition, work is progressing towards potentially adopting binding regulations in MARPOL Annex VI to regulate the discharge waters from EGCSs.</w:t>
      </w:r>
    </w:p>
    <w:p w14:paraId="3AA75C27" w14:textId="424A4FD5" w:rsidR="0066097B" w:rsidRPr="00C66C24" w:rsidRDefault="0066097B" w:rsidP="0066097B">
      <w:pPr>
        <w:spacing w:before="0" w:after="120" w:line="259" w:lineRule="auto"/>
        <w:rPr>
          <w:rFonts w:ascii="Calibri" w:eastAsia="Calibri" w:hAnsi="Calibri" w:cs="Calibri"/>
          <w:color w:val="000000" w:themeColor="text1"/>
        </w:rPr>
      </w:pPr>
      <w:r w:rsidRPr="00C66C24">
        <w:rPr>
          <w:rFonts w:ascii="Calibri" w:eastAsia="Calibri" w:hAnsi="Calibri" w:cs="Calibri"/>
          <w:color w:val="000000" w:themeColor="text1"/>
        </w:rPr>
        <w:t>With the ambition of further reducing the emission of SOx and the Europe’s collective objective to expand SECA regions, we can expect the use of EGCS to increase in the future. According to a recent study by DNV, the global fleet equipped with scrubbers is bound to continue to increase in the following years, with numbers exceeding the 5</w:t>
      </w:r>
      <w:r w:rsidR="00140B1A" w:rsidRPr="00C66C24">
        <w:rPr>
          <w:rFonts w:ascii="Calibri" w:eastAsia="Calibri" w:hAnsi="Calibri" w:cs="Calibri"/>
          <w:color w:val="000000" w:themeColor="text1"/>
        </w:rPr>
        <w:t>,</w:t>
      </w:r>
      <w:r w:rsidRPr="00C66C24">
        <w:rPr>
          <w:rFonts w:ascii="Calibri" w:eastAsia="Calibri" w:hAnsi="Calibri" w:cs="Calibri"/>
          <w:color w:val="000000" w:themeColor="text1"/>
        </w:rPr>
        <w:t xml:space="preserve">000 scrubber-equipped vessels currently registered in 2023 </w:t>
      </w:r>
      <w:r w:rsidRPr="00C66C24">
        <w:rPr>
          <w:rFonts w:ascii="Calibri" w:eastAsia="Calibri" w:hAnsi="Calibri" w:cs="Calibri"/>
          <w:color w:val="000000" w:themeColor="text1"/>
        </w:rPr>
        <w:fldChar w:fldCharType="begin"/>
      </w:r>
      <w:r w:rsidR="001855E3" w:rsidRPr="00C66C24">
        <w:rPr>
          <w:rFonts w:ascii="Calibri" w:eastAsia="Calibri" w:hAnsi="Calibri" w:cs="Calibri"/>
          <w:color w:val="000000" w:themeColor="text1"/>
        </w:rPr>
        <w:instrText xml:space="preserve"> ADDIN ZOTERO_ITEM CSL_CITATION {"citationID":"GHrGQftE","properties":{"formattedCitation":"(DNV, 2023b)","plainCitation":"(DNV, 2023b)","noteIndex":0},"citationItems":[{"id":52203,"uris":["http://zotero.org/groups/122386/items/CM63TVZM"],"itemData":{"id":52203,"type":"webpage","title":"Alternative Fuels Insight","URL":"https://afi.dnv.com/","author":[{"family":"DNV","given":""}],"accessed":{"date-parts":[["2023",10,23]]},"issued":{"date-parts":[["2023"]]}}}],"schema":"https://github.com/citation-style-language/schema/raw/master/csl-citation.json"} </w:instrText>
      </w:r>
      <w:r w:rsidRPr="00C66C24">
        <w:rPr>
          <w:rFonts w:ascii="Calibri" w:eastAsia="Calibri" w:hAnsi="Calibri" w:cs="Calibri"/>
          <w:color w:val="000000" w:themeColor="text1"/>
        </w:rPr>
        <w:fldChar w:fldCharType="separate"/>
      </w:r>
      <w:r w:rsidR="001855E3" w:rsidRPr="00C66C24">
        <w:rPr>
          <w:rFonts w:ascii="Calibri" w:hAnsi="Calibri" w:cs="Calibri"/>
        </w:rPr>
        <w:t>(DNV, 2023</w:t>
      </w:r>
      <w:r w:rsidR="003C71C4">
        <w:rPr>
          <w:rFonts w:ascii="Calibri" w:hAnsi="Calibri" w:cs="Calibri"/>
        </w:rPr>
        <w:t>a</w:t>
      </w:r>
      <w:r w:rsidR="001855E3" w:rsidRPr="00C66C24">
        <w:rPr>
          <w:rFonts w:ascii="Calibri" w:hAnsi="Calibri" w:cs="Calibri"/>
        </w:rPr>
        <w:t>)</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w:t>
      </w:r>
    </w:p>
    <w:p w14:paraId="07D9C3E4" w14:textId="77777777" w:rsidR="00400BB3" w:rsidRPr="00C66C24" w:rsidRDefault="00400BB3" w:rsidP="00400BB3">
      <w:pPr>
        <w:spacing w:before="0" w:after="0" w:line="259" w:lineRule="auto"/>
        <w:rPr>
          <w:rFonts w:ascii="Calibri" w:eastAsia="Calibri" w:hAnsi="Calibri" w:cs="Calibri"/>
          <w:color w:val="000000" w:themeColor="text1"/>
        </w:rPr>
      </w:pPr>
    </w:p>
    <w:p w14:paraId="41871072" w14:textId="56A06DF9" w:rsidR="0066097B" w:rsidRPr="00C66C24" w:rsidRDefault="0066097B" w:rsidP="0060547B">
      <w:pPr>
        <w:pStyle w:val="Heading7"/>
        <w:spacing w:before="0" w:after="120"/>
        <w:ind w:left="714" w:hanging="357"/>
      </w:pPr>
      <w:bookmarkStart w:id="278" w:name="_Toc152054893"/>
      <w:r w:rsidRPr="00C66C24">
        <w:t>Ballast Water and Non-indigenous species</w:t>
      </w:r>
      <w:bookmarkEnd w:id="278"/>
    </w:p>
    <w:p w14:paraId="758EBBCE" w14:textId="77777777" w:rsidR="0066097B" w:rsidRPr="00C66C24" w:rsidRDefault="0066097B" w:rsidP="0066097B">
      <w:pPr>
        <w:spacing w:before="0" w:after="0" w:line="259" w:lineRule="auto"/>
      </w:pPr>
      <w:r w:rsidRPr="00C66C24">
        <w:t>Non-indigenous species (NIS) also referred as non-native, alien, invasive or exotic organisms, refer to species that have been introduced to environments outside of their natural range through human activities, including shipping. NIS are called invasive alien species (IAS) when they create serious negative consequences for their new environment.</w:t>
      </w:r>
    </w:p>
    <w:p w14:paraId="7FC7B83B" w14:textId="77777777" w:rsidR="0066097B" w:rsidRPr="00C66C24" w:rsidRDefault="0066097B" w:rsidP="0066097B">
      <w:pPr>
        <w:spacing w:before="0" w:after="0" w:line="259" w:lineRule="auto"/>
      </w:pPr>
      <w:r w:rsidRPr="00C66C24">
        <w:t xml:space="preserve">Currently, around 800 NIS exist in the European seas </w:t>
      </w:r>
      <w:r w:rsidRPr="00C66C24">
        <w:fldChar w:fldCharType="begin"/>
      </w:r>
      <w:r w:rsidRPr="00C66C24">
        <w:instrText xml:space="preserve"> ADDIN ZOTERO_ITEM CSL_CITATION {"citationID":"9imGd3FF","properties":{"formattedCitation":"(European Commission. Joint Research Centre., 2021)","plainCitation":"(European Commission. Joint Research Centre., 2021)","dontUpdate":true,"noteIndex":0},"citationItems":[{"id":34124,"uris":["http://zotero.org/groups/122386/items/ARZSX8R9"],"itemData":{"id":34124,"type":"book","event-place":"LU","language":"eng","publisher":"Publications Office","publisher-place":"LU","source":"DOI.org (CSL JSON)","title":"Marine strategy framework directive, descriptor 2, non-indigenous species: delivering solid recommendations for setting threshold values for non indigenous species pressure on European seas.","title-short":"Marine strategy framework directive, descriptor 2, non-indigenous species","URL":"https://data.europa.eu/doi/10.2760/035071","author":[{"literal":"European Commission. Joint Research Centre."}],"accessed":{"date-parts":[["2023",6,17]]},"issued":{"date-parts":[["2021"]]}}}],"schema":"https://github.com/citation-style-language/schema/raw/master/csl-citation.json"} </w:instrText>
      </w:r>
      <w:r w:rsidRPr="00C66C24">
        <w:fldChar w:fldCharType="separate"/>
      </w:r>
      <w:r w:rsidRPr="00C66C24">
        <w:rPr>
          <w:rFonts w:ascii="Calibri" w:hAnsi="Calibri" w:cs="Calibri"/>
        </w:rPr>
        <w:t>(JRC, 2021)</w:t>
      </w:r>
      <w:r w:rsidRPr="00C66C24">
        <w:fldChar w:fldCharType="end"/>
      </w:r>
      <w:r w:rsidRPr="00C66C24">
        <w:t xml:space="preserve"> and approximately 87 NIS are recognised as invasive in European marine environments </w:t>
      </w:r>
      <w:r w:rsidRPr="00C66C24">
        <w:fldChar w:fldCharType="begin"/>
      </w:r>
      <w:r w:rsidRPr="00C66C24">
        <w:instrText xml:space="preserve"> ADDIN ZOTERO_ITEM CSL_CITATION {"citationID":"xK7bMKyF","properties":{"formattedCitation":"(Marine non-indigenous species in Europe\\uc0\\u8217{}s seas, forthcoming)","plainCitation":"(Marine non-indigenous species in Europe’s seas, forthcoming)","dontUpdate":true,"noteIndex":0},"citationItems":[{"id":502,"uris":["http://zotero.org/groups/122386/items/KV2D99RZ"],"itemData":{"id":502,"type":"webpage","title":"Marine non-indigenous species in Europe’s seas","URL":"https://www.eea.europa.eu/ims/marine-non-indigenous-species-in#_ftn1","author":[{"literal":"EEA"}],"accessed":{"date-parts":[["2023",6,16]]}}}],"schema":"https://github.com/citation-style-language/schema/raw/master/csl-citation.json"} </w:instrText>
      </w:r>
      <w:r w:rsidRPr="00C66C24">
        <w:fldChar w:fldCharType="separate"/>
      </w:r>
      <w:r w:rsidRPr="00C66C24">
        <w:rPr>
          <w:rFonts w:ascii="Calibri" w:hAnsi="Calibri" w:cs="Calibri"/>
        </w:rPr>
        <w:t>(EEA, 2023a)</w:t>
      </w:r>
      <w:r w:rsidRPr="00C66C24">
        <w:fldChar w:fldCharType="end"/>
      </w:r>
      <w:r w:rsidRPr="00C66C24">
        <w:fldChar w:fldCharType="begin"/>
      </w:r>
      <w:r w:rsidRPr="00C66C24">
        <w:instrText xml:space="preserve"> ADDIN ZOTERO_ITEM CSL_CITATION {"citationID":"VI3dTklw","properties":{"formattedCitation":"(Pathways of introduction of marine non-indigenous species to European seas \\uc0\\u8212{} European Environment Agency, forthcoming)","plainCitation":"(Pathways of introduction of marine non-indigenous species to European seas — European Environment Agency, forthcoming)","dontUpdate":true,"noteIndex":0},"citationItems":[{"id":511,"uris":["http://zotero.org/groups/122386/items/BHPBQTJR"],"itemData":{"id":511,"type":"webpage","title":"Pathways of introduction of marine non-indigenous species to European seas — European Environment Agency","URL":"https://www.eea.europa.eu/data-and-maps/indicators/trends-in-marine-alien-species-1/assessment","author":[{"literal":"EEA"}],"accessed":{"date-parts":[["2023",6,16]]}}},{"id":502,"uris":["http://zotero.org/groups/122386/items/KV2D99RZ"],"itemData":{"id":502,"type":"webpage","title":"Marine non-indigenous species in Europe’s seas","URL":"https://www.eea.europa.eu/ims/marine-non-indigenous-species-in#_ftn1","author":[{"literal":"EEA"}],"accessed":{"date-parts":[["2023",6,16]]}}}],"schema":"https://github.com/citation-style-language/schema/raw/master/csl-citation.json"} </w:instrText>
      </w:r>
      <w:r w:rsidR="00D77731" w:rsidRPr="00C66C24">
        <w:fldChar w:fldCharType="separate"/>
      </w:r>
      <w:r w:rsidRPr="00C66C24">
        <w:fldChar w:fldCharType="end"/>
      </w:r>
      <w:r w:rsidRPr="00C66C24">
        <w:fldChar w:fldCharType="begin"/>
      </w:r>
      <w:r w:rsidRPr="00C66C24">
        <w:instrText xml:space="preserve"> ADDIN ZOTERO_ITEM CSL_CITATION {"citationID":"a9Y2qjau","properties":{"formattedCitation":"(Pathways of introduction of marine non-indigenous species to European seas \\uc0\\u8212{} European Environment Agency, forthcoming)","plainCitation":"(Pathways of introduction of marine non-indigenous species to European seas — European Environment Agency, forthcoming)","dontUpdate":true,"noteIndex":0},"citationItems":[{"id":511,"uris":["http://zotero.org/groups/122386/items/BHPBQTJR"],"itemData":{"id":511,"type":"webpage","title":"Pathways of introduction of marine non-indigenous species to European seas — European Environment Agency","URL":"https://www.eea.europa.eu/data-and-maps/indicators/trends-in-marine-alien-species-1/assessment","author":[{"literal":"EEA"}],"accessed":{"date-parts":[["2023",6,16]]}}},{"id":502,"uris":["http://zotero.org/groups/122386/items/KV2D99RZ"],"itemData":{"id":502,"type":"webpage","title":"Marine non-indigenous species in Europe’s seas","URL":"https://www.eea.europa.eu/ims/marine-non-indigenous-species-in#_ftn1","author":[{"literal":"EEA"}],"accessed":{"date-parts":[["2023",6,16]]}}}],"schema":"https://github.com/citation-style-language/schema/raw/master/csl-citation.json"} </w:instrText>
      </w:r>
      <w:r w:rsidRPr="00C66C24">
        <w:fldChar w:fldCharType="end"/>
      </w:r>
      <w:r w:rsidRPr="00C66C24">
        <w:t>. The largest proportion of NIS introductions into European seas are associated with shipping (via ballast waters and ship hauling) (46,6%)</w:t>
      </w:r>
      <w:r w:rsidRPr="00C66C24">
        <w:fldChar w:fldCharType="begin"/>
      </w:r>
      <w:r w:rsidRPr="00C66C24">
        <w:instrText xml:space="preserve"> ADDIN ZOTERO_ITEM CSL_CITATION {"citationID":"Mwj0QxZG","properties":{"formattedCitation":"(Pathways of introduction of marine non-indigenous species to European seas \\uc0\\u8212{} European Environment Agency, forthcoming)","plainCitation":"(Pathways of introduction of marine non-indigenous species to European seas — European Environment Agency, forthcoming)","dontUpdate":true,"noteIndex":0},"citationItems":[{"id":511,"uris":["http://zotero.org/groups/122386/items/BHPBQTJR"],"itemData":{"id":511,"type":"webpage","title":"Pathways of introduction of marine non-indigenous species to European seas — European Environment Agency","URL":"https://www.eea.europa.eu/data-and-maps/indicators/trends-in-marine-alien-species-1/assessment","author":[{"literal":"EEA"}],"accessed":{"date-parts":[["2023",6,16]]}}},{"id":502,"uris":["http://zotero.org/groups/122386/items/KV2D99RZ"],"itemData":{"id":502,"type":"webpage","title":"Marine non-indigenous species in Europe’s seas","URL":"https://www.eea.europa.eu/ims/marine-non-indigenous-species-in#_ftn1","author":[{"literal":"EEA"}],"accessed":{"date-parts":[["2023",6,16]]}}}],"schema":"https://github.com/citation-style-language/schema/raw/master/csl-citation.json"} </w:instrText>
      </w:r>
      <w:r w:rsidR="00D77731" w:rsidRPr="00C66C24">
        <w:fldChar w:fldCharType="separate"/>
      </w:r>
      <w:r w:rsidRPr="00C66C24">
        <w:fldChar w:fldCharType="end"/>
      </w:r>
      <w:r w:rsidRPr="00C66C24">
        <w:fldChar w:fldCharType="begin"/>
      </w:r>
      <w:r w:rsidRPr="00C66C24">
        <w:fldChar w:fldCharType="end"/>
      </w:r>
      <w:r w:rsidRPr="00C66C24">
        <w:fldChar w:fldCharType="begin"/>
      </w:r>
      <w:r w:rsidRPr="00C66C24">
        <w:instrText xml:space="preserve"> ADDIN ZOTERO_ITEM CSL_CITATION {"citationID":"kNyY8p5G","properties":{"formattedCitation":"(Pathways of introduction of marine non-indigenous species to European seas \\uc0\\u8212{} European Environment Agency, forthcoming)","plainCitation":"(Pathways of introduction of marine non-indigenous species to European seas — European Environment Agency, forthcoming)","dontUpdate":true,"noteIndex":0},"citationItems":[{"id":511,"uris":["http://zotero.org/groups/122386/items/BHPBQTJR"],"itemData":{"id":511,"type":"webpage","title":"Pathways of introduction of marine non-indigenous species to European seas — European Environment Agency","URL":"https://www.eea.europa.eu/data-and-maps/indicators/trends-in-marine-alien-species-1/assessment","author":[{"literal":"EEA"}],"accessed":{"date-parts":[["2023",6,16]]}}},{"id":502,"uris":["http://zotero.org/groups/122386/items/KV2D99RZ"],"itemData":{"id":502,"type":"webpage","title":"Marine non-indigenous species in Europe’s seas","URL":"https://www.eea.europa.eu/ims/marine-non-indigenous-species-in#_ftn1","author":[{"literal":"EEA"}],"accessed":{"date-parts":[["2023",6,16]]}}}],"schema":"https://github.com/citation-style-language/schema/raw/master/csl-citation.json"} </w:instrText>
      </w:r>
      <w:r w:rsidR="00D77731" w:rsidRPr="00C66C24">
        <w:fldChar w:fldCharType="separate"/>
      </w:r>
      <w:r w:rsidRPr="00C66C24">
        <w:fldChar w:fldCharType="end"/>
      </w:r>
      <w:r w:rsidRPr="00C66C24">
        <w:t xml:space="preserve">. Ballast water is used to maintain ship stability during voyages, and it is often taken up in one location and discharged in another, so in addition to the introduction of non-native species, the movement of contaminants such heavy metals, poisons, or pharmaceutical ingredients can also be a worry </w:t>
      </w:r>
      <w:r w:rsidRPr="00C66C24">
        <w:fldChar w:fldCharType="begin"/>
      </w:r>
      <w:r w:rsidRPr="00C66C24">
        <w:instrText xml:space="preserve"> ADDIN ZOTERO_ITEM CSL_CITATION {"citationID":"kOC3xHbq","properties":{"formattedCitation":"(Lv et al., 2022)","plainCitation":"(Lv et al., 2022)","noteIndex":0},"citationItems":[{"id":34125,"uris":["http://zotero.org/groups/122386/items/TMANS5KQ"],"itemData":{"id":34125,"type":"article-journal","container-title":"Science of The Total Environment","DOI":"10.1016/j.scitotenv.2021.152721","ISSN":"00489697","journalAbbreviation":"Science of The Total Environment","language":"en","page":"152721","source":"DOI.org (Crossref)","title":"Deciphering the characterization, ecological function and assembly processes of bacterial communities in ship ballast water and sediments","volume":"816","author":[{"family":"Lv","given":"Baoyi"},{"family":"Shi","given":"Jianhong"},{"family":"Li","given":"Tao"},{"family":"Ren","given":"Lili"},{"family":"Tian","given":"Wen"},{"family":"Lu","given":"Xiaolan"},{"family":"Han","given":"Yangchun"},{"family":"Cui","given":"Yuxue"},{"family":"Jiang","given":"Ting"}],"issued":{"date-parts":[["2022",4]]}}}],"schema":"https://github.com/citation-style-language/schema/raw/master/csl-citation.json"} </w:instrText>
      </w:r>
      <w:r w:rsidRPr="00C66C24">
        <w:fldChar w:fldCharType="separate"/>
      </w:r>
      <w:r w:rsidRPr="00C66C24">
        <w:rPr>
          <w:rFonts w:ascii="Calibri" w:hAnsi="Calibri" w:cs="Calibri"/>
        </w:rPr>
        <w:t>(</w:t>
      </w:r>
      <w:proofErr w:type="spellStart"/>
      <w:r w:rsidRPr="00C66C24">
        <w:rPr>
          <w:rFonts w:ascii="Calibri" w:hAnsi="Calibri" w:cs="Calibri"/>
        </w:rPr>
        <w:t>Lv</w:t>
      </w:r>
      <w:proofErr w:type="spellEnd"/>
      <w:r w:rsidRPr="00C66C24">
        <w:rPr>
          <w:rFonts w:ascii="Calibri" w:hAnsi="Calibri" w:cs="Calibri"/>
        </w:rPr>
        <w:t xml:space="preserve"> et al., 2022)</w:t>
      </w:r>
      <w:r w:rsidRPr="00C66C24">
        <w:fldChar w:fldCharType="end"/>
      </w:r>
      <w:r w:rsidRPr="00C66C24">
        <w:t>.</w:t>
      </w:r>
    </w:p>
    <w:p w14:paraId="2BF3ACF1" w14:textId="77777777" w:rsidR="0066097B" w:rsidRPr="00C66C24" w:rsidRDefault="0066097B" w:rsidP="0066097B">
      <w:pPr>
        <w:spacing w:before="0" w:after="0" w:line="259" w:lineRule="auto"/>
      </w:pPr>
      <w:r w:rsidRPr="00C66C24">
        <w:fldChar w:fldCharType="begin"/>
      </w:r>
      <w:r w:rsidRPr="00C66C24">
        <w:instrText xml:space="preserve"> ADDIN ZOTERO_ITEM CSL_CITATION {"citationID":"R3MJxAov","properties":{"formattedCitation":"(Pathways of introduction of marine non-indigenous species to European seas \\uc0\\u8212{} European Environment Agency, forthcoming)","plainCitation":"(Pathways of introduction of marine non-indigenous species to European seas — European Environment Agency, forthcoming)","dontUpdate":true,"noteIndex":0},"citationItems":[{"id":511,"uris":["http://zotero.org/groups/122386/items/BHPBQTJR"],"itemData":{"id":511,"type":"webpage","title":"Pathways of introduction of marine non-indigenous species to European seas — European Environment Agency","URL":"https://www.eea.europa.eu/data-and-maps/indicators/trends-in-marine-alien-species-1/assessment","author":[{"literal":"EEA"}],"accessed":{"date-parts":[["2023",6,16]]}}},{"id":502,"uris":["http://zotero.org/groups/122386/items/KV2D99RZ"],"itemData":{"id":502,"type":"webpage","title":"Marine non-indigenous species in Europe’s seas","URL":"https://www.eea.europa.eu/ims/marine-non-indigenous-species-in#_ftn1","author":[{"literal":"EEA"}],"accessed":{"date-parts":[["2023",6,16]]}}}],"schema":"https://github.com/citation-style-language/schema/raw/master/csl-citation.json"} </w:instrText>
      </w:r>
      <w:r w:rsidR="00D77731" w:rsidRPr="00C66C24">
        <w:fldChar w:fldCharType="separate"/>
      </w:r>
      <w:r w:rsidRPr="00C66C24">
        <w:fldChar w:fldCharType="end"/>
      </w:r>
    </w:p>
    <w:p w14:paraId="3E3E569E" w14:textId="77777777" w:rsidR="0066097B" w:rsidRPr="00C66C24" w:rsidRDefault="0066097B" w:rsidP="0066097B">
      <w:pPr>
        <w:spacing w:before="0" w:after="0" w:line="259" w:lineRule="auto"/>
        <w:rPr>
          <w:b/>
          <w:bCs/>
        </w:rPr>
      </w:pPr>
      <w:r w:rsidRPr="00C66C24">
        <w:rPr>
          <w:b/>
          <w:bCs/>
        </w:rPr>
        <w:t>Regulatory framework</w:t>
      </w:r>
    </w:p>
    <w:p w14:paraId="788DC6A8" w14:textId="77777777" w:rsidR="0066097B" w:rsidRPr="00C66C24" w:rsidRDefault="0066097B" w:rsidP="0066097B">
      <w:pPr>
        <w:spacing w:before="0" w:after="0" w:line="259" w:lineRule="auto"/>
        <w:textAlignment w:val="baseline"/>
        <w:rPr>
          <w:rFonts w:ascii="Calibri" w:eastAsia="Times New Roman" w:hAnsi="Calibri" w:cs="Calibri"/>
          <w:u w:val="single"/>
          <w:lang w:eastAsia="en-IE"/>
        </w:rPr>
      </w:pPr>
      <w:r w:rsidRPr="00C66C24">
        <w:rPr>
          <w:rFonts w:ascii="Calibri" w:eastAsia="Times New Roman" w:hAnsi="Calibri" w:cs="Calibri"/>
          <w:u w:val="single"/>
          <w:lang w:eastAsia="en-IE"/>
        </w:rPr>
        <w:t>International framework</w:t>
      </w:r>
    </w:p>
    <w:p w14:paraId="720B245F" w14:textId="77777777" w:rsidR="0066097B" w:rsidRPr="00C66C24" w:rsidRDefault="0066097B" w:rsidP="0066097B">
      <w:pPr>
        <w:spacing w:before="0" w:after="0" w:line="259" w:lineRule="auto"/>
        <w:textAlignment w:val="baseline"/>
        <w:rPr>
          <w:rFonts w:cstheme="minorBidi"/>
          <w:color w:val="333333"/>
        </w:rPr>
      </w:pPr>
      <w:r w:rsidRPr="00C66C24">
        <w:rPr>
          <w:rFonts w:ascii="Calibri" w:eastAsia="Times New Roman" w:hAnsi="Calibri" w:cs="Calibri"/>
          <w:lang w:eastAsia="en-IE"/>
        </w:rPr>
        <w:t xml:space="preserve">At global level the regulatory framework is based on the </w:t>
      </w:r>
      <w:r w:rsidRPr="00C66C24">
        <w:rPr>
          <w:rFonts w:ascii="Calibri" w:hAnsi="Calibri"/>
        </w:rPr>
        <w:t>International Convention for the Control and Management of Ships’ Ballast Water and Sediments</w:t>
      </w:r>
      <w:r w:rsidRPr="00C66C24">
        <w:rPr>
          <w:rFonts w:ascii="Calibri" w:eastAsia="Times New Roman" w:hAnsi="Calibri" w:cs="Calibri"/>
          <w:lang w:eastAsia="en-IE"/>
        </w:rPr>
        <w:t xml:space="preserve">, 2004 (BWM Convention), which entered into force globally in September 2017 </w:t>
      </w:r>
      <w:r w:rsidRPr="00C66C24">
        <w:rPr>
          <w:rFonts w:ascii="Calibri" w:eastAsia="Times New Roman" w:hAnsi="Calibri" w:cs="Calibri"/>
          <w:lang w:eastAsia="en-IE"/>
        </w:rPr>
        <w:fldChar w:fldCharType="begin"/>
      </w:r>
      <w:r w:rsidRPr="00C66C24">
        <w:rPr>
          <w:rFonts w:ascii="Calibri" w:eastAsia="Times New Roman" w:hAnsi="Calibri" w:cs="Calibri"/>
          <w:lang w:eastAsia="en-IE"/>
        </w:rPr>
        <w:instrText xml:space="preserve"> ADDIN ZOTERO_ITEM CSL_CITATION {"citationID":"a2k26m1v251","properties":{"formattedCitation":"\\uldash{(IMO, 2019)}","plainCitation":"(IMO, 2019)","dontUpdate":true,"noteIndex":0},"citationItems":[{"id":23289,"uris":["http://zotero.org/groups/122386/items/IF2CPC9M"],"itemData":{"id":23289,"type":"webpage","container-title":"International Maritime Organization","title":"International Convention for the Control and Management of Ships' Ballast Water and Sediments (BWM)","URL":"https://www.imo.org/en/About/Conventions/Pages/International-Convention-for-the-Control-and-Management-of-Ships%27-Ballast-Water-and-Sediments-(BWM).aspx","author":[{"family":"IMO","given":""}],"accessed":{"date-parts":[["2021",6,4]]},"issued":{"date-parts":[["2017"]]}}}],"schema":"https://github.com/citation-style-language/schema/raw/master/csl-citation.json"} </w:instrText>
      </w:r>
      <w:r w:rsidRPr="00C66C24">
        <w:rPr>
          <w:rFonts w:ascii="Calibri" w:eastAsia="Times New Roman" w:hAnsi="Calibri" w:cs="Calibri"/>
          <w:lang w:eastAsia="en-IE"/>
        </w:rPr>
        <w:fldChar w:fldCharType="separate"/>
      </w:r>
      <w:r w:rsidRPr="00C66C24">
        <w:rPr>
          <w:rFonts w:ascii="Calibri" w:hAnsi="Calibri" w:cs="Calibri"/>
        </w:rPr>
        <w:t>(IMO, 2017)</w:t>
      </w:r>
      <w:r w:rsidRPr="00C66C24">
        <w:rPr>
          <w:rFonts w:ascii="Calibri" w:eastAsia="Times New Roman" w:hAnsi="Calibri" w:cs="Calibri"/>
          <w:lang w:eastAsia="en-IE"/>
        </w:rPr>
        <w:fldChar w:fldCharType="end"/>
      </w:r>
      <w:r w:rsidRPr="00C66C24">
        <w:rPr>
          <w:rFonts w:ascii="Calibri" w:eastAsia="Times New Roman" w:hAnsi="Calibri" w:cs="Calibri"/>
          <w:lang w:eastAsia="en-IE"/>
        </w:rPr>
        <w:t xml:space="preserve">. The </w:t>
      </w:r>
      <w:r w:rsidRPr="00C66C24">
        <w:rPr>
          <w:rFonts w:cstheme="minorBidi"/>
          <w:color w:val="202124"/>
          <w:shd w:val="clear" w:color="auto" w:fill="FFFFFF"/>
        </w:rPr>
        <w:t>BWM Convention applies to </w:t>
      </w:r>
      <w:r w:rsidRPr="00C66C24">
        <w:rPr>
          <w:rFonts w:cstheme="minorBidi"/>
          <w:color w:val="040C28"/>
        </w:rPr>
        <w:t>all ships carrying ballast waters during international voyages</w:t>
      </w:r>
      <w:r w:rsidRPr="00C66C24">
        <w:rPr>
          <w:rFonts w:cstheme="minorBidi"/>
          <w:color w:val="202124"/>
          <w:shd w:val="clear" w:color="auto" w:fill="FFFFFF"/>
        </w:rPr>
        <w:t xml:space="preserve">. Internationally trading ships </w:t>
      </w:r>
      <w:r w:rsidRPr="00C66C24">
        <w:rPr>
          <w:rFonts w:cstheme="minorBidi"/>
          <w:color w:val="333333"/>
        </w:rPr>
        <w:t xml:space="preserve">of 400 GT and above are required to carry an International Ballast Water Management Certificate, an approved Ballast Water Management Plan and a Ballast Water Record Book. </w:t>
      </w:r>
    </w:p>
    <w:p w14:paraId="307F4EC4" w14:textId="77777777" w:rsidR="0066097B" w:rsidRPr="00C66C24" w:rsidRDefault="0066097B" w:rsidP="0066097B">
      <w:pPr>
        <w:spacing w:before="0" w:after="0" w:line="259" w:lineRule="auto"/>
        <w:rPr>
          <w:rFonts w:cstheme="minorBidi"/>
          <w:color w:val="333333"/>
        </w:rPr>
      </w:pPr>
    </w:p>
    <w:p w14:paraId="1EFD9198" w14:textId="77777777" w:rsidR="0066097B" w:rsidRPr="00C66C24" w:rsidRDefault="0066097B" w:rsidP="0066097B">
      <w:pPr>
        <w:shd w:val="clear" w:color="auto" w:fill="FFFFFF" w:themeFill="background1"/>
        <w:spacing w:before="0" w:after="0" w:line="259" w:lineRule="auto"/>
        <w:rPr>
          <w:rFonts w:ascii="Calibri" w:eastAsia="Times New Roman" w:hAnsi="Calibri" w:cs="Calibri"/>
          <w:u w:val="single"/>
          <w:lang w:eastAsia="en-IE"/>
        </w:rPr>
      </w:pPr>
      <w:r w:rsidRPr="00C66C24">
        <w:rPr>
          <w:rFonts w:ascii="Calibri" w:eastAsia="Times New Roman" w:hAnsi="Calibri" w:cs="Calibri"/>
          <w:u w:val="single"/>
          <w:lang w:eastAsia="en-IE"/>
        </w:rPr>
        <w:t>European Union framework</w:t>
      </w:r>
    </w:p>
    <w:p w14:paraId="00C72646" w14:textId="77777777" w:rsidR="0066097B" w:rsidRPr="00C66C24" w:rsidRDefault="0066097B" w:rsidP="0066097B">
      <w:pPr>
        <w:spacing w:before="0" w:after="0" w:line="259" w:lineRule="auto"/>
      </w:pPr>
      <w:r w:rsidRPr="00C66C24">
        <w:t xml:space="preserve">One of the key commitments of the Biodiversity Strategy is to manage established invasive alien species and decrease the number of Red List species – the species that face the risk of extinction – that IAS threaten by 50%. To tackle Invasive Alien Species (IAS) Regulation (EU) No 1143/2014 sets out guidelines to prevent, minimise, and mitigate the negative impact of IAS on biodiversity. </w:t>
      </w:r>
      <w:r w:rsidRPr="00C66C24">
        <w:fldChar w:fldCharType="begin"/>
      </w:r>
      <w:r w:rsidRPr="00C66C24">
        <w:instrText xml:space="preserve"> ADDIN ZOTERO_ITEM CSL_CITATION {"citationID":"uXqIy1lc","properties":{"formattedCitation":"(Regulation (EU) No\\uc0\\u160{}1143/2014 of the European Parliament and of the Council of 22\\uc0\\u160{}October 2014 on the Prevention and Management of the Introduction and Spread of Invasive Alien Species, 2014)","plainCitation":"(Regulation (EU) No 1143/2014 of the European Parliament and of the Council of 22 October 2014 on the Prevention and Management of the Introduction and Spread of Invasive Alien Species, 2014)","dontUpdate":true,"noteIndex":0},"citationItems":[{"id":52239,"uris":["http://zotero.org/groups/122386/items/Q3ANMTCE"],"itemData":{"id":52239,"type":"legislation","container-title":"OJ L","language":"en","note":"Legislative Body: CONSIL, EP","title":"Regulation (EU) No 1143/2014 of the European Parliament and of the Council of 22 October 2014 on the prevention and management of the introduction and spread of invasive alien species","URL":"http://data.europa.eu/eli/reg/2014/1143/oj/eng","volume":"317","author":[{"literal":"EU"}],"accessed":{"date-parts":[["2023",10,24]]},"issued":{"date-parts":[["2014",10,22]]}}}],"schema":"https://github.com/citation-style-language/schema/raw/master/csl-citation.json"} </w:instrText>
      </w:r>
      <w:r w:rsidRPr="00C66C24">
        <w:fldChar w:fldCharType="separate"/>
      </w:r>
      <w:r w:rsidRPr="00C66C24">
        <w:rPr>
          <w:rFonts w:ascii="Calibri" w:hAnsi="Calibri" w:cs="Calibri"/>
        </w:rPr>
        <w:t>(EU, 2014b)</w:t>
      </w:r>
      <w:r w:rsidRPr="00C66C24">
        <w:fldChar w:fldCharType="end"/>
      </w:r>
      <w:r w:rsidRPr="00C66C24">
        <w:t xml:space="preserve">. </w:t>
      </w:r>
    </w:p>
    <w:p w14:paraId="73140BCA" w14:textId="77777777" w:rsidR="0066097B" w:rsidRPr="00C66C24" w:rsidRDefault="0066097B" w:rsidP="0066097B">
      <w:pPr>
        <w:spacing w:before="0" w:after="0" w:line="259" w:lineRule="auto"/>
      </w:pPr>
      <w:r w:rsidRPr="00C66C24">
        <w:t xml:space="preserve">The Marine Strategy Framework Directive (MSFD, 2008/56/EC; </w:t>
      </w:r>
      <w:r w:rsidRPr="00C66C24">
        <w:fldChar w:fldCharType="begin"/>
      </w:r>
      <w:r w:rsidRPr="00C66C24">
        <w:instrText xml:space="preserve"> ADDIN ZOTERO_ITEM CSL_CITATION {"citationID":"au2momt6k9","properties":{"formattedCitation":"\\uldash{(EU, 2008)}","plainCitation":"(EU, 2008)","dontUpdate":true,"noteIndex":0},"citationItems":[{"id":21765,"uris":["http://zotero.org/groups/122386/items/4NP7PP7D"],"itemData":{"id":21765,"type":"document","publisher":"European Parliament and Council","title":"Directive 2008/56/EC of the European Parliament and of the Council of 17 June 2008 establishing a framework for Community action in the field of marine environmental policy (Marine Strategy Framework Directive)","title-short":"Marine Strategy Framework Directive","URL":"https://eur-lex.europa.eu/legal-content/EN/TXT/PDF/?uri=CELEX:32022R0720)","author":[{"family":"EU","given":""}],"issued":{"date-parts":[["2008"]]}}}],"schema":"https://github.com/citation-style-language/schema/raw/master/csl-citation.json"} </w:instrText>
      </w:r>
      <w:r w:rsidRPr="00C66C24">
        <w:fldChar w:fldCharType="separate"/>
      </w:r>
      <w:r w:rsidRPr="00C66C24">
        <w:t>EU, 2008</w:t>
      </w:r>
      <w:r w:rsidRPr="00C66C24">
        <w:fldChar w:fldCharType="end"/>
      </w:r>
      <w:r w:rsidRPr="00C66C24">
        <w:t xml:space="preserve">) good environmental status includes a descriptor for preventing adverse alterations to ecosystems caused by NIS. </w:t>
      </w:r>
    </w:p>
    <w:p w14:paraId="631545B5" w14:textId="77777777" w:rsidR="0066097B" w:rsidRPr="00C66C24" w:rsidRDefault="0066097B" w:rsidP="0066097B">
      <w:pPr>
        <w:spacing w:before="0" w:after="0" w:line="259" w:lineRule="auto"/>
      </w:pPr>
    </w:p>
    <w:p w14:paraId="422029C3" w14:textId="77777777" w:rsidR="0066097B" w:rsidRPr="00C66C24" w:rsidRDefault="0066097B" w:rsidP="0066097B">
      <w:pPr>
        <w:spacing w:before="0" w:after="0" w:line="259" w:lineRule="auto"/>
        <w:rPr>
          <w:b/>
          <w:bCs/>
        </w:rPr>
      </w:pPr>
      <w:r w:rsidRPr="00C66C24">
        <w:rPr>
          <w:b/>
          <w:bCs/>
        </w:rPr>
        <w:t>Monitoring and reporting framework</w:t>
      </w:r>
    </w:p>
    <w:p w14:paraId="66EF0517" w14:textId="348E5F18" w:rsidR="0066097B" w:rsidRPr="00C66C24" w:rsidRDefault="0066097B" w:rsidP="0066097B">
      <w:pPr>
        <w:spacing w:before="0" w:after="0" w:line="259" w:lineRule="auto"/>
      </w:pPr>
      <w:r w:rsidRPr="00C66C24">
        <w:t xml:space="preserve">From a BWM Convention perspective, the number and share of the ships that meet D-2 standard might allow to assess the progress on preventing the spread of NIS and IAS. In addition, an indicator monitoring the decrease of the number of Red List species threatened by the IAS by 50% is currently under development and will be used to monitor the Biodiversity Strategy 2030 </w:t>
      </w:r>
      <w:r w:rsidRPr="00C66C24">
        <w:fldChar w:fldCharType="begin"/>
      </w:r>
      <w:r w:rsidRPr="00C66C24">
        <w:instrText xml:space="preserve"> ADDIN ZOTERO_ITEM CSL_CITATION {"citationID":"38HEgMUC","properties":{"formattedCitation":"(EU Biodiversity Strategy Dashboard, forthcoming)","plainCitation":"(EU Biodiversity Strategy Dashboard, forthcoming)","dontUpdate":true,"noteIndex":0},"citationItems":[{"id":34117,"uris":["http://zotero.org/groups/122386/items/3LMUELP4"],"itemData":{"id":34117,"type":"webpage","title":"The dashboard of the EU Biodiversity Strategy is showing progress of the EU and its Member States towards the targets set for 2030","URL":"https://dopa.jrc.ec.europa.eu/kcbd/dashboard","author":[{"family":"EC","given":""}],"accessed":{"date-parts":[["2023",6,19]]},"issued":{"date-parts":[["2023"]]}}}],"schema":"https://github.com/citation-style-language/schema/raw/master/csl-citation.json"} </w:instrText>
      </w:r>
      <w:r w:rsidRPr="00C66C24">
        <w:fldChar w:fldCharType="separate"/>
      </w:r>
      <w:r w:rsidRPr="00C66C24">
        <w:rPr>
          <w:rFonts w:ascii="Calibri" w:hAnsi="Calibri" w:cs="Calibri"/>
        </w:rPr>
        <w:t>(EC, 2023</w:t>
      </w:r>
      <w:r w:rsidR="00F87015">
        <w:rPr>
          <w:rFonts w:ascii="Calibri" w:hAnsi="Calibri" w:cs="Calibri"/>
        </w:rPr>
        <w:t>f</w:t>
      </w:r>
      <w:r w:rsidRPr="00C66C24">
        <w:rPr>
          <w:rFonts w:ascii="Calibri" w:hAnsi="Calibri" w:cs="Calibri"/>
        </w:rPr>
        <w:t>)</w:t>
      </w:r>
      <w:r w:rsidRPr="00C66C24">
        <w:fldChar w:fldCharType="end"/>
      </w:r>
      <w:r w:rsidRPr="00C66C24">
        <w:t>. MSFD follows an adaptive management approach, and thus it must be kept up-to-date and reviewed every 6 years.</w:t>
      </w:r>
    </w:p>
    <w:p w14:paraId="7AA328BB" w14:textId="77777777" w:rsidR="0066097B" w:rsidRPr="00C66C24" w:rsidRDefault="0066097B" w:rsidP="0066097B">
      <w:pPr>
        <w:spacing w:before="0" w:after="0" w:line="259" w:lineRule="auto"/>
      </w:pPr>
      <w:r w:rsidRPr="00C66C24">
        <w:t xml:space="preserve"> </w:t>
      </w:r>
    </w:p>
    <w:p w14:paraId="605E84EB" w14:textId="77777777" w:rsidR="0066097B" w:rsidRPr="00C66C24" w:rsidRDefault="0066097B" w:rsidP="0060547B">
      <w:pPr>
        <w:pStyle w:val="Heading7"/>
        <w:spacing w:before="0" w:after="120"/>
        <w:ind w:left="714" w:hanging="357"/>
      </w:pPr>
      <w:bookmarkStart w:id="279" w:name="_Toc152054894"/>
      <w:r w:rsidRPr="00C66C24">
        <w:t>Underwater radiated noise</w:t>
      </w:r>
      <w:bookmarkEnd w:id="279"/>
    </w:p>
    <w:p w14:paraId="251E164C"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Shipping is known to be one of the primary contributors to anthropogenic noise in seas and oceans. Considering the characteristics of sound propagation in water and anatomical adaptation, sound is used by fauna as the main mechanism to interact with the surrounding environment, being used for social interactions, reproduction, navigation, detection of obstacles and preys. Available evidence shows that shipping contributes to the impacts generated by underwater radiated noise (URN)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{"citationID":"a35usk11fg","properties":{"formattedCitation":"\\uldash{(Cruz, E. et al., 2021; Duarte, C. M. et al., 2021; Erbe, C. et al., 2019)}","plainCitation":"(Cruz, E. et al., 2021; Duarte, C. M. et al., 2021; Erbe, C. et al., 2019)","dontUpdate":true,"noteIndex":0},"citationItems":[{"id":52273,"uris":["http://zotero.org/groups/122386/items/JSY8Q89S"],"itemData":{"id":52273,"type":"report","publisher":"WavEC Offshore Renewables and Maritime Research Institute Netherlands","title":"Study on inventory of existing policy, research and impacts of continuous underwater noise in Europe. EMSA report EMSA/NEG/21/2020","URL":"https://www.emsa.europa.eu/newsroom/latest-news/download/6881/4569/23.html","author":[{"family":"Cruz","given":"Erica"},{"family":"Lloyd","given":"Thomas P"},{"family":"Bosschers","given":"Johan"},{"family":"Lafeber","given":"Frans Hendrik"},{"family":"Vinagre","given":"Pedro Almeida"},{"family":"Vaz","given":"Guilherme"}],"issued":{"date-parts":[["2021"]]}}},{"id":52277,"uris":["http://zotero.org/groups/122386/items/G23FAABT"],"itemData":{"id":52277,"type":"article-journal","abstract":"Oceans have become substantially noisier since the Industrial Revolution. Shipping, resource exploration, and infrastructure development have increased the anthrophony (sounds generated by human activities), whereas the biophony (sounds of biological origin) has been reduced by hunting, fishing, and habitat degradation. Climate change is affecting geophony (abiotic, natural sounds). Existing evidence shows that anthrophony affects marine animals at multiple levels, including their behavior, physiology, and, in extreme cases, survival. This should prompt management actions to deploy existing solutions to reduce noise levels in the ocean, thereby allowing marine animals to reestablish their use of ocean sound as a central ecological trait in a healthy ocean.","container-title":"Science","DOI":"DOI: 10.1126/science.aba4658","title":"The Soundscape of the Antropocene Ocean","URL":"https://www.science.org/doi/10.1126/science.aba4658","author":[{"literal":"Duarte, C. M."},{"literal":"Chapuis, L."},{"literal":"Collin, S. P."},{"literal":"Costa, D. P."},{"literal":"Eguiluz, V."},{"literal":"Erbe, C."},{"literal":"Halpern, B. S."},{"literal":"Havlik, M. N."},{"literal":"Gordon, T. A. C."},{"literal":"Merchant, N. D."},{"literal":"Meekan, M."},{"literal":"Miksis-Olds, J. L."},{"literal":"Parsons, M."},{"literal":"Predragovic, M."},{"literal":"Radford, A. N."},{"literal":"Radford, C. A."},{"literal":"Simpson, S. D."},{"literal":"Slabbekoorn, H."},{"literal":"Staaterman, E."},{"literal":"Van Opzeeland, I. C."},{"literal":"Winderen, J."},{"literal":"Zhang, X."},{"literal":"Juanes, F."}],"issued":{"date-parts":[["2021"]]}}},{"id":52278,"uris":["http://zotero.org/groups/122386/items/3PX83FLN"],"itemData":{"id":52278,"type":"article-journal","abstract":"The number of marine watercraft is on the rise—from private boats in coastal areas to commercial ships crossing oceans. A concomitant increase in underwater noise has been reported in several regions around the globe. Given the important role sound plays in the life functions of marine mammals, research on the potential effects of vessel noise has grown—in particular since the year 2000. We provide an overview of this literature, showing that studies have been patchy in terms of their coverage of species, habitats, vessel types, and types of impact investigated. The documented effects include behavioral and acoustic responses, auditory masking, and stress. We identify knowledge gaps: There appears a bias to more easily accessible species (i.e., bottlenose dolphins and humpback whales), whereas there is a paucity of literature addressing vessel noise impacts on river dolphins, even though some of these species experience chronic noise from boats. Similarly, little is known about the potential effects of ship noise on pelagic and deep-diving marine mammals, even though ship noise is focused in a downward direction, reaching great depth at little acoustic loss and potentially coupling into sound propagation channels in which sound may transmit over long ranges. We explain the fundamental concepts involved in the generation and propagation of vessel noise and point out common problems with both physics and biology: Recordings of ship noise might be affected by unidentified artifacts, and noise exposure can be both under- and over-estimated by tens of decibel if the local sound propagation conditions are not considered. The lack of anthropogenic (e.g., different vessel types), environmental (e.g., different sea states or presence/absence of prey), and biological (e.g., different demographics) controls is a common problem, as is a lack of understanding what constitutes the ‘normal’ range of behaviors. Last but not least, the biological significance of observed responses is mostly unknown. Moving forward, standards on study design, data analysis, and reporting are badly needed so that results are comparable (across space and time) and so that data can be synthesized to address the grand unknowns: the role of context and the consequences of chronic exposures.","container-title":"Frontiers in Marine Science","DOI":"https://doi.org/10.3389/fmars.2019.00606","title":"The Effects of Ship Noise on Marine Mammals—A Review.","URL":"https://www.frontiersin.org/articles/10.3389/fmars.2019.00606/full","author":[{"literal":"Erbe, C."},{"literal":"Marley, S. A."},{"literal":"Schoeman, R. P."},{"literal":"Smith, J. N."},{"literal":"Trigg, L. E."},{"literal":"Embling, C. B."}],"issued":{"date-parts":[["2019"]]}}}],"schema":"https://github.com/citation-style-language/schema/raw/master/csl-citation.json"}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 xml:space="preserve">(Cruz et al., 2021; Duarte et al., 2021; </w:t>
      </w:r>
      <w:proofErr w:type="spellStart"/>
      <w:r w:rsidRPr="00C66C24">
        <w:rPr>
          <w:rFonts w:ascii="Calibri" w:hAnsi="Calibri" w:cs="Calibri"/>
        </w:rPr>
        <w:t>Erbe</w:t>
      </w:r>
      <w:proofErr w:type="spellEnd"/>
      <w:r w:rsidRPr="00C66C24">
        <w:rPr>
          <w:rFonts w:ascii="Calibri" w:hAnsi="Calibri" w:cs="Calibri"/>
        </w:rPr>
        <w:t xml:space="preserve"> et al., 2019)</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Several policies are being implemented under the auspices of International Multilateral agreements, Regional Sea Conventions and at European level.</w:t>
      </w:r>
    </w:p>
    <w:p w14:paraId="0E4A1CCE"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  </w:t>
      </w:r>
    </w:p>
    <w:p w14:paraId="4C3FD158" w14:textId="77777777" w:rsidR="0066097B" w:rsidRPr="00C66C24" w:rsidRDefault="0066097B" w:rsidP="0066097B">
      <w:pPr>
        <w:spacing w:before="0" w:after="0" w:line="259" w:lineRule="auto"/>
        <w:rPr>
          <w:rFonts w:ascii="Calibri" w:eastAsia="Calibri" w:hAnsi="Calibri" w:cs="Calibri"/>
          <w:b/>
          <w:bCs/>
          <w:iCs w:val="0"/>
          <w:color w:val="000000" w:themeColor="text1"/>
          <w:szCs w:val="22"/>
        </w:rPr>
      </w:pPr>
      <w:r w:rsidRPr="00C66C24">
        <w:rPr>
          <w:rFonts w:ascii="Calibri" w:eastAsia="Calibri" w:hAnsi="Calibri" w:cs="Calibri"/>
          <w:b/>
          <w:bCs/>
          <w:iCs w:val="0"/>
          <w:color w:val="000000" w:themeColor="text1"/>
          <w:szCs w:val="22"/>
        </w:rPr>
        <w:t>Regulatory framework</w:t>
      </w:r>
    </w:p>
    <w:p w14:paraId="474EF3E3" w14:textId="77777777" w:rsidR="0066097B" w:rsidRPr="00C66C24" w:rsidRDefault="0066097B" w:rsidP="0066097B">
      <w:pPr>
        <w:spacing w:before="0" w:after="0" w:line="259" w:lineRule="auto"/>
        <w:rPr>
          <w:rFonts w:ascii="Calibri" w:eastAsia="Calibri" w:hAnsi="Calibri" w:cs="Calibri"/>
          <w:iCs w:val="0"/>
          <w:color w:val="000000" w:themeColor="text1"/>
          <w:szCs w:val="22"/>
          <w:u w:val="single"/>
        </w:rPr>
      </w:pPr>
      <w:r w:rsidRPr="00C66C24">
        <w:rPr>
          <w:rFonts w:ascii="Calibri" w:eastAsia="Calibri" w:hAnsi="Calibri" w:cs="Calibri"/>
          <w:iCs w:val="0"/>
          <w:color w:val="000000" w:themeColor="text1"/>
          <w:szCs w:val="22"/>
          <w:u w:val="single"/>
        </w:rPr>
        <w:t>International framework</w:t>
      </w:r>
    </w:p>
    <w:p w14:paraId="3AEF19EA" w14:textId="63A7DAD2"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At international level, in 2023 the IMO successfully reviewed the Guidelines on the reduction of Underwater Radiated Noise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{"citationID":"hMxgtJGa","properties":{"formattedCitation":"(IMO, 2023c)","plainCitation":"(IMO, 2023c)","dontUpdate":true,"noteIndex":0},"citationItems":[{"id":52036,"uris":["http://zotero.org/groups/122386/items/8FLBWKLQ"],"itemData":{"id":52036,"type":"report","genre":"Guideline revision","publisher":"International Maritime Organisation","title":"Revised Guidelines for the reduction of underwater noise from commercial shipping to address adverse impacts on marine life","URL":"https://wwwcdn.imo.org/localresources/en/Documents/MEPC.1-Circ.906%20-%20Revised%20Guidelines%20For%20The%20Reduction%20Of%20Underwater%20Radiated%20NoiseFrom%20Shipping%20To%20Address...%20(Secretariat).pdf","author":[{"literal":"IMO"}],"issued":{"date-parts":[["2023"]]}}}],"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(IMO, 2023e)</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These guidelines are intended to assist all relevant stakeholders in establishing mechanisms through which noise reduction efforts can be achieved and recommend shipowners and designers to undertake noise management planning at the earliest design stages. Similarly, underwater radiated noise management planning may be conducted for existing ships. The Guidelines</w:t>
      </w:r>
      <w:r w:rsidRPr="00C66C24" w:rsidDel="00B07999">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provide for the development of a noise management plan that allows a customized approach suitable to an individual ship’s design and operation, as well as the establishment of the (predicted or actual) baseline underwater radiated noise level, setting quantitative targets where possible and selecting the URN reduction approaches and related actions.   </w:t>
      </w:r>
    </w:p>
    <w:p w14:paraId="01C206AB" w14:textId="3982A3AC" w:rsidR="0066097B" w:rsidRPr="00C66C24" w:rsidRDefault="0066097B" w:rsidP="0066097B">
      <w:pPr>
        <w:spacing w:before="0" w:after="0" w:line="259" w:lineRule="auto"/>
        <w:rPr>
          <w:rFonts w:ascii="Calibri" w:eastAsia="Calibri" w:hAnsi="Calibri" w:cs="Calibri"/>
          <w:iCs w:val="0"/>
          <w:color w:val="000000" w:themeColor="text1"/>
          <w:szCs w:val="22"/>
        </w:rPr>
      </w:pPr>
      <w:r w:rsidRPr="00C66C24">
        <w:rPr>
          <w:rFonts w:ascii="Calibri" w:eastAsia="Calibri" w:hAnsi="Calibri" w:cs="Calibri"/>
          <w:color w:val="000000" w:themeColor="text1"/>
        </w:rPr>
        <w:t>The revised guidelines also include a dedicated section about the relationship between the Energy Efficiency Compliance Measures and underwater radiated noise. Many of the energy efficiency improvement options to meet energy efficiency regulations (EEDI, EEXI and CII) can result in an improvement in underwater radiated noise performance and could therefore provide positive synergies with climate policies</w:t>
      </w:r>
      <w:r w:rsidRPr="00C66C24">
        <w:rPr>
          <w:rStyle w:val="FootnoteReference"/>
        </w:rPr>
        <w:footnoteReference w:id="51"/>
      </w:r>
      <w:r w:rsidRPr="00C66C24">
        <w:rPr>
          <w:rFonts w:ascii="Calibri" w:eastAsia="Calibri" w:hAnsi="Calibri" w:cs="Calibri"/>
          <w:color w:val="000000" w:themeColor="text1"/>
        </w:rPr>
        <w:t xml:space="preserve">. </w:t>
      </w:r>
      <w:r w:rsidRPr="00C66C24">
        <w:rPr>
          <w:rFonts w:ascii="Calibri" w:eastAsia="Calibri" w:hAnsi="Calibri" w:cs="Calibri"/>
          <w:iCs w:val="0"/>
          <w:color w:val="000000" w:themeColor="text1"/>
          <w:szCs w:val="22"/>
        </w:rPr>
        <w:t>Important to note that the Guidelines also provide a role for Member States administrations and other stakeholders to take supportive actions in defining noise sensitive areas and species, possibly setting future overall URN targets, establishing incentives programs and on evaluation and monitoring.</w:t>
      </w:r>
    </w:p>
    <w:p w14:paraId="0B868DBD" w14:textId="77777777" w:rsidR="0066097B" w:rsidRPr="00C66C24" w:rsidRDefault="0066097B" w:rsidP="0066097B">
      <w:pPr>
        <w:spacing w:before="0" w:after="0" w:line="259" w:lineRule="auto"/>
        <w:rPr>
          <w:rFonts w:ascii="Calibri" w:eastAsia="Calibri" w:hAnsi="Calibri" w:cs="Calibri"/>
          <w:iCs w:val="0"/>
          <w:color w:val="000000" w:themeColor="text1"/>
          <w:szCs w:val="22"/>
        </w:rPr>
      </w:pPr>
    </w:p>
    <w:p w14:paraId="43F8474E" w14:textId="77777777" w:rsidR="0066097B" w:rsidRPr="00C66C24" w:rsidRDefault="0066097B" w:rsidP="0066097B">
      <w:pPr>
        <w:spacing w:before="0" w:after="0" w:line="259" w:lineRule="auto"/>
        <w:rPr>
          <w:rFonts w:ascii="Calibri" w:eastAsia="Calibri" w:hAnsi="Calibri" w:cs="Calibri"/>
          <w:color w:val="000000" w:themeColor="text1"/>
          <w:u w:val="single"/>
        </w:rPr>
      </w:pPr>
      <w:r w:rsidRPr="00C66C24">
        <w:rPr>
          <w:rFonts w:ascii="Calibri" w:eastAsia="Calibri" w:hAnsi="Calibri" w:cs="Calibri"/>
          <w:color w:val="000000" w:themeColor="text1"/>
          <w:u w:val="single"/>
        </w:rPr>
        <w:t>European Union framework</w:t>
      </w:r>
    </w:p>
    <w:p w14:paraId="26D45C49"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In the European Union, underwater radiated noise is addressed by the Marine Strategy Framework Directive, which introduces threshold levels and requires the monitoring of underwater noise levels and its adverse effects in EU waters.</w:t>
      </w:r>
    </w:p>
    <w:p w14:paraId="3BE528B9" w14:textId="6AB15462"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t xml:space="preserve">One of the flagship actions of the Zero Pollution Action Plan is reducing underwater noise through the EU threshold values to be set under the Marine Strategy Framework Directive (ZPAP, COM (2021) 400;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{"citationID":"a46qtvt60e","properties":{"formattedCitation":"\\uldash{(EC, 2022)}","plainCitation":"(EC, 2022)","dontUpdate":true,"noteIndex":0},"citationItems":[{"id":33350,"uris":["http://zotero.org/groups/122386/items/3S2BP9T4"],"itemData":{"id":33350,"type":"report","event-place":"Brussels, Belgium","publisher":"European Commission","publisher-place":"Brussels, Belgium","title":"Zero pollution action plan","URL":"https://ec.europa.eu/environment/strategy/zero-pollution-action-plan_en","author":[{"family":"EC","given":""}],"issued":{"date-parts":[["2021"]]}}}],"schema":"https://github.com/citation-style-language/schema/raw/master/csl-citation.json"}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EC, 202</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1</w:t>
      </w:r>
      <w:r w:rsidR="00256231">
        <w:rPr>
          <w:rFonts w:ascii="Calibri" w:eastAsia="Calibri" w:hAnsi="Calibri" w:cs="Calibri"/>
          <w:color w:val="000000" w:themeColor="text1"/>
        </w:rPr>
        <w:t>f</w:t>
      </w:r>
      <w:r w:rsidRPr="00C66C24">
        <w:rPr>
          <w:rFonts w:ascii="Calibri" w:eastAsia="Calibri" w:hAnsi="Calibri" w:cs="Calibri"/>
          <w:color w:val="000000" w:themeColor="text1"/>
        </w:rPr>
        <w:t xml:space="preserve">). The Commission (through the work of the Technical Group on Noise – TG NOISE) established the threshold values in 2022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{"citationID":"djYceRVO","properties":{"formattedCitation":"(TG NOISE, 2022)","plainCitation":"(TG NOISE, 2022)","noteIndex":0},"citationItems":[{"id":59261,"uris":["http://zotero.org/groups/122386/items/W6YFSWCG"],"itemData":{"id":59261,"type":"document","title":"Setting of EU Threshold Values for continuous underwater sound. Recommendations from the Technical Group on Underwater Noise","URL":"https://circabc.europa.eu/ui/group/326ae5ac-0419-4167-83ca-e3c210534a69/library/bc3ed92d-4c77-4d61-b92a-b906278236a9/details","author":[{"literal":"TG NOISE"}],"issued":{"date-parts":[["2022"]]}}}],"schema":"https://github.com/citation-style-language/schema/raw/master/csl-citation.json"}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(TG NOISE, 2022)</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for underwater noise stemming from activities such as shipping, offshore construction, and marine exploration. More specifically, Descriptor 11 of the MSFD covers the introduction of energy, including continuous (and impulsive) underwater radiated noise, and requires that it must be at levels that do not adversely affect the marine environment.</w:t>
      </w:r>
    </w:p>
    <w:p w14:paraId="615810A1" w14:textId="77777777" w:rsidR="0066097B" w:rsidRPr="00C66C24" w:rsidRDefault="0066097B" w:rsidP="0066097B">
      <w:pPr>
        <w:spacing w:before="0" w:after="0" w:line="259" w:lineRule="auto"/>
        <w:rPr>
          <w:rFonts w:ascii="Calibri" w:eastAsia="Calibri" w:hAnsi="Calibri" w:cs="Calibri"/>
          <w:color w:val="000000" w:themeColor="text1"/>
        </w:rPr>
      </w:pPr>
    </w:p>
    <w:p w14:paraId="0A82DF03" w14:textId="77777777" w:rsidR="0066097B" w:rsidRPr="00C66C24" w:rsidRDefault="0066097B" w:rsidP="0066097B">
      <w:pPr>
        <w:spacing w:before="0" w:after="0" w:line="259" w:lineRule="auto"/>
        <w:rPr>
          <w:rFonts w:ascii="Calibri" w:eastAsia="Calibri" w:hAnsi="Calibri" w:cs="Calibri"/>
          <w:b/>
          <w:color w:val="000000" w:themeColor="text1"/>
        </w:rPr>
      </w:pPr>
      <w:r w:rsidRPr="00C66C24">
        <w:rPr>
          <w:rFonts w:ascii="Calibri" w:eastAsia="Calibri" w:hAnsi="Calibri" w:cs="Calibri"/>
          <w:b/>
          <w:color w:val="000000" w:themeColor="text1"/>
        </w:rPr>
        <w:t>Monitoring and reporting framework</w:t>
      </w:r>
    </w:p>
    <w:p w14:paraId="59B2267E" w14:textId="77777777" w:rsidR="0066097B" w:rsidRPr="00C66C24" w:rsidRDefault="0066097B" w:rsidP="0066097B">
      <w:pPr>
        <w:spacing w:before="0" w:after="0" w:line="259" w:lineRule="auto"/>
        <w:rPr>
          <w:rFonts w:ascii="Calibri" w:eastAsia="Calibri" w:hAnsi="Calibri" w:cs="Calibri"/>
          <w:color w:val="000000" w:themeColor="text1"/>
        </w:rPr>
      </w:pP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{"citationID":"N6kvhcEf","properties":{"formattedCitation":"(EU, 2017)","plainCitation":"(EU, 2017)","dontUpdate":true,"noteIndex":0},"citationItems":[{"id":29782,"uris":["http://zotero.org/groups/122386/items/UT52JKKN"],"itemData":{"id":29782,"type":"document","language":"en","note":"Legislative Body: COM, ENV","title":"Commission Decision (EU) 2017/848 of 17 May 2017 laying down criteria and methodological standards on good environmental status of marine waters and specifications and standardised methods for monitoring and assessment, and repealing Decision 2010/477/EU (Text with EEA relevance. )","URL":"http://data.europa.eu/eli/dec/2017/848/oj/eng","author":[{"family":"EU","given":""}],"accessed":{"date-parts":[["2022",7,20]]},"issued":{"date-parts":[["2017"]]}}}],"schema":"https://github.com/citation-style-language/schema/raw/master/csl-citation.json"} </w:instrText>
      </w:r>
      <w:r w:rsidR="00D77731" w:rsidRPr="00C66C24">
        <w:rPr>
          <w:rFonts w:ascii="Calibri" w:eastAsia="Calibri" w:hAnsi="Calibri" w:cs="Calibri"/>
          <w:color w:val="000000" w:themeColor="text1"/>
        </w:rPr>
        <w:fldChar w:fldCharType="separate"/>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{"citationID":"L4L7et45","properties":{"formattedCitation":"(EU, 2017)","plainCitation":"(EU, 2017)","dontUpdate":true,"noteIndex":0},"citationItems":[{"id":29782,"uris":["http://zotero.org/groups/122386/items/UT52JKKN"],"itemData":{"id":29782,"type":"document","language":"en","note":"Legislative Body: COM, ENV","title":"Commission Decision (EU) 2017/848 of 17 May 2017 laying down criteria and methodological standards on good environmental status of marine waters and specifications and standardised methods for monitoring and assessment, and repealing Decision 2010/477/EU (Text with EEA relevance. )","URL":"http://data.europa.eu/eli/dec/2017/848/oj/eng","author":[{"family":"EU","given":""}],"accessed":{"date-parts":[["2022",7,20]]},"issued":{"date-parts":[["2017"]]}}}],"schema":"https://github.com/citation-style-language/schema/raw/master/csl-citation.json"} </w:instrText>
      </w:r>
      <w:r w:rsidR="00D77731" w:rsidRPr="00C66C24">
        <w:rPr>
          <w:rFonts w:ascii="Calibri" w:eastAsia="Calibri" w:hAnsi="Calibri" w:cs="Calibri"/>
          <w:color w:val="000000" w:themeColor="text1"/>
        </w:rPr>
        <w:fldChar w:fldCharType="separate"/>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According to the 2017 Commission Decision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{"citationID":"a1yKrcRi","properties":{"formattedCitation":"(EU, 2017)","plainCitation":"(EU, 2017)","noteIndex":0},"citationItems":[{"id":29782,"uris":["http://zotero.org/groups/122386/items/UT52JKKN"],"itemData":{"id":29782,"type":"document","language":"en","note":"Legislative Body: COM, ENV","title":"Commission Decision (EU) 2017/848 of 17 May 2017 laying down criteria and methodological standards on good environmental status of marine waters and specifications and standardised methods for monitoring and assessment, and repealing Decision 2010/477/EU (Text with EEA relevance. )","URL":"http://data.europa.eu/eli/dec/2017/848/oj/eng","author":[{"family":"EU","given":""}],"accessed":{"date-parts":[["2022",7,20]]},"issued":{"date-parts":[["2017"]]}}}],"schema":"https://github.com/citation-style-language/schema/raw/master/csl-citation.json"}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(EU, 2017)</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GES for underwater radiated noise must be assessed based on two criteria, one of them being “Anthropogenic continuous low-frequency sound”, where shipping noise is included. The second criteria is that the spatial distribution, temporal extent and levels of anthropogenic continuous low-frequency sounds do not exceed levels that adversely affect populations of marine animals, which requires Member States establishing threshold values for these levels through cooperation at Union level, considering regional or sub-regional specificities. </w:t>
      </w:r>
    </w:p>
    <w:p w14:paraId="227B96A7" w14:textId="77777777" w:rsidR="0066097B" w:rsidRPr="00C66C24" w:rsidRDefault="0066097B" w:rsidP="0066097B">
      <w:pPr>
        <w:spacing w:before="0" w:after="0" w:line="259" w:lineRule="auto"/>
        <w:rPr>
          <w:rFonts w:ascii="Calibri" w:eastAsia="Calibri" w:hAnsi="Calibri" w:cs="Calibri"/>
          <w:color w:val="000000" w:themeColor="text1"/>
        </w:rPr>
      </w:pPr>
    </w:p>
    <w:p w14:paraId="7A4F4733" w14:textId="77777777" w:rsidR="0066097B" w:rsidRPr="00C66C24" w:rsidRDefault="0066097B" w:rsidP="0060547B">
      <w:pPr>
        <w:pStyle w:val="Heading6"/>
        <w:spacing w:before="0" w:after="120"/>
        <w:ind w:left="714" w:hanging="357"/>
        <w:rPr>
          <w:rFonts w:eastAsiaTheme="minorHAnsi"/>
          <w:szCs w:val="22"/>
        </w:rPr>
      </w:pPr>
      <w:bookmarkStart w:id="280" w:name="_Toc152054895"/>
      <w:r w:rsidRPr="00C66C24">
        <w:t>Marine litter and waste generation</w:t>
      </w:r>
      <w:bookmarkEnd w:id="280"/>
    </w:p>
    <w:p w14:paraId="4E6B7B1E" w14:textId="6C45CBC0" w:rsidR="0066097B" w:rsidRPr="00C66C24" w:rsidRDefault="0066097B" w:rsidP="0060547B">
      <w:pPr>
        <w:pStyle w:val="Heading7"/>
        <w:spacing w:before="0" w:after="120"/>
        <w:ind w:left="714" w:hanging="357"/>
      </w:pPr>
      <w:bookmarkStart w:id="281" w:name="_Toc152054896"/>
      <w:r w:rsidRPr="00C66C24">
        <w:t>Marine litter, passively fished waste and container loss</w:t>
      </w:r>
      <w:bookmarkEnd w:id="281"/>
    </w:p>
    <w:p w14:paraId="0C5F1707" w14:textId="77777777" w:rsidR="0066097B" w:rsidRPr="00C66C24" w:rsidRDefault="0066097B" w:rsidP="0066097B">
      <w:pPr>
        <w:spacing w:before="0" w:after="0" w:line="259" w:lineRule="auto"/>
      </w:pPr>
      <w:r w:rsidRPr="00C66C24">
        <w:t xml:space="preserve">Marine litter is defined as all human-made solid items that end up in the coastal or marine environment. The major cause is poor waste management and littering on land, and seaborne activities such as shipping and fishing also contribute to the problem </w:t>
      </w:r>
      <w:r w:rsidRPr="00C66C24">
        <w:fldChar w:fldCharType="begin"/>
      </w:r>
      <w:r w:rsidRPr="00C66C24">
        <w:instrText xml:space="preserve"> ADDIN ZOTERO_ITEM CSL_CITATION {"citationID":"bc8hP2ZA","properties":{"formattedCitation":"(European Environment Agency, 2022)","plainCitation":"(European Environment Agency, 2022)","dontUpdate":true,"noteIndex":0},"citationItems":[{"id":23823,"uris":["http://zotero.org/groups/122386/items/QRADCJGV"],"itemData":{"id":23823,"type":"book","collection-title":"EEA report (Online)","event-place":"LU","language":"eng","publisher":"Publications Office","publisher-place":"LU","source":"DOI.org (CSL JSON)","title":"From source to sea","URL":"https://data.europa.eu/doi/10.2800/088047","author":[{"literal":"European Environment Agency"}],"accessed":{"date-parts":[["2023",7,3]]},"issued":{"date-parts":[["2022"]]}}}],"schema":"https://github.com/citation-style-language/schema/raw/master/csl-citation.json"} </w:instrText>
      </w:r>
      <w:r w:rsidRPr="00C66C24">
        <w:fldChar w:fldCharType="separate"/>
      </w:r>
      <w:r w:rsidRPr="00C66C24">
        <w:rPr>
          <w:rFonts w:ascii="Calibri" w:hAnsi="Calibri" w:cs="Calibri"/>
        </w:rPr>
        <w:t>(EEA, 2023b)</w:t>
      </w:r>
      <w:r w:rsidRPr="00C66C24">
        <w:fldChar w:fldCharType="end"/>
      </w:r>
      <w:r w:rsidRPr="00C66C24">
        <w:t>. </w:t>
      </w:r>
    </w:p>
    <w:p w14:paraId="370314F3" w14:textId="77777777" w:rsidR="0066097B" w:rsidRPr="00C66C24" w:rsidRDefault="0066097B" w:rsidP="0066097B">
      <w:pPr>
        <w:spacing w:before="0" w:after="0" w:line="259" w:lineRule="auto"/>
        <w:rPr>
          <w:rFonts w:ascii="Calibri" w:eastAsia="Calibri" w:hAnsi="Calibri" w:cs="Calibri"/>
          <w:color w:val="000000" w:themeColor="text1"/>
        </w:rPr>
      </w:pPr>
      <w:r w:rsidRPr="00C66C24">
        <w:t>Up to a third of the litter generated by merchant shipping is not correctly delivered and processed in port</w:t>
      </w:r>
      <w:r w:rsidRPr="00C66C24" w:rsidDel="008C6A28">
        <w:t xml:space="preserve"> </w:t>
      </w:r>
      <w:r w:rsidRPr="00C66C24">
        <w:t>(</w:t>
      </w:r>
      <w:r w:rsidRPr="00C66C24">
        <w:fldChar w:fldCharType="begin"/>
      </w:r>
      <w:r w:rsidRPr="00C66C24">
        <w:instrText xml:space="preserve"> ADDIN ZOTERO_ITEM CSL_CITATION {"citationID":"F7hlgUAB","properties":{"formattedCitation":"(COMMISSION STAFF WORKING DOCUMENT IMPACT ASSESSMENT Accompanying the document Proposal for a Directive of the European Parliament and of the Council on port reception facilities for the delivery of waste from ships, repealing Directive 2000/59/EC and amending Directive 2009/16/EC and Directive 2010/65/EU, 2018)","plainCitation":"(COMMISSION STAFF WORKING DOCUMENT IMPACT ASSESSMENT Accompanying the document Proposal for a Directive of the European Parliament and of the Council on port reception facilities for the delivery of waste from ships, repealing Directive 2000/59/EC and amending Directive 2009/16/EC and Directive 2010/65/EU, 2018)","dontUpdate":true,"noteIndex":0},"citationItems":[{"id":23812,"uris":["http://zotero.org/groups/122386/items/6766GBES"],"itemData":{"id":23812,"type":"bill","language":"en","title":"Commission staff working document impact assessment accompanying the document Proposal for a Directive of the European Parliament and of the Council on port reception facilities for the delivery of waste from ships, repealing Directive 2000/59/EC and amending Directive 2009/16/EC and Directive 2010/65/EU","URL":"https://eur-lex.europa.eu/legal-content/EN/TXT/?uri=CELEX:52018SC0021","author":[{"literal":"EC"}],"accessed":{"date-parts":[["2023",7,3]]},"issued":{"date-parts":[["2018"]]}}}],"schema":"https://github.com/citation-style-language/schema/raw/master/csl-citation.json"} </w:instrText>
      </w:r>
      <w:r w:rsidRPr="00C66C24">
        <w:fldChar w:fldCharType="separate"/>
      </w:r>
      <w:r w:rsidRPr="00C66C24">
        <w:rPr>
          <w:rFonts w:ascii="Calibri" w:hAnsi="Calibri" w:cs="Calibri"/>
        </w:rPr>
        <w:t>EC, 2018)</w:t>
      </w:r>
      <w:r w:rsidRPr="00C66C24">
        <w:fldChar w:fldCharType="end"/>
      </w:r>
      <w:r w:rsidRPr="00C66C24">
        <w:t xml:space="preserve">. </w:t>
      </w:r>
      <w:r w:rsidRPr="00C66C24">
        <w:rPr>
          <w:rFonts w:ascii="Calibri" w:eastAsia="Calibri" w:hAnsi="Calibri" w:cs="Calibri"/>
          <w:color w:val="000000" w:themeColor="text1"/>
        </w:rPr>
        <w:t xml:space="preserve">Ship paints also have been identified as one of the largest and significant sources of microplastic pollution in the oceans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{"citationID":"9qanqQ5h","properties":{"formattedCitation":"(Gondikas et al., 2023)","plainCitation":"(Gondikas et al., 2023)","noteIndex":0},"citationItems":[{"id":23803,"uris":["http://zotero.org/groups/122386/items/NSKJSYUS"],"itemData":{"id":23803,"type":"article-journal","abstract":"Microplastics in the marine environment have been the focus of intense research recently, however little attention has been given to boat paint sources, despite its direct influence on the marine ecosystem. This is largely due to the lack of established analytical methods. Microplastics from boating sources may originate from antifouling paints on the underwater body, surface coatings on the top sides, deck, and superstructure, as well as plastic parts of the boat construction. Their release can occur during construction, operation (leisure boats and commercial ships), service, and maintenance, from the materials themselves or used chemicals (e.g., abrasive detergents). Most importantly, boat paint microplastics containing biocides, such as the metals copper and zinc, and particles containing tin (residues from old or current use of tributyl-tin ship hull paints) should raise higher concern on potential environmental impacts. This study aims to provide practical insight on methods for the quantification of boat paint microplastics in marine waters and provide a baseline survey on their occurrence. Sampling and analysis methods are applied on case studies, i.e., marinas on the Swedish coast. A multi-method approach for identifying and characterizing boat paint microplastics based on visual and chemical characteristics is presented. In general, the measured content of biocide-containing microplastics was remarkably high in all marinas, with concentration levels of copper-rich particles &amp;gt;10 μm between 400 and 1400 particles per L. Given that biocide paint particles are manufactured to be toxic, it is particularly important to take into account field measurements in future environmental status assessments. This work underlines the importance of monitoring data in the action work between relevant authorities and stakeholders.","container-title":"Frontiers in Environmental Chemistry","DOI":"10.3389/fenvc.2023.1090704","ISSN":"2673-4486","journalAbbreviation":"Front. Environ. Chem.","page":"1090704","source":"DOI.org (Crossref)","title":"Methods for the detection and characterization of boat paint microplastics in the marine environment","volume":"4","author":[{"family":"Gondikas","given":"Andreas"},{"family":"Mattsson","given":"Karin"},{"family":"Hassellöv","given":"Martin"}],"issued":{"date-parts":[["2023",1,26]]}}}],"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w:t>
      </w:r>
      <w:proofErr w:type="spellStart"/>
      <w:r w:rsidRPr="00C66C24">
        <w:rPr>
          <w:rFonts w:ascii="Calibri" w:hAnsi="Calibri" w:cs="Calibri"/>
        </w:rPr>
        <w:t>Gondikas</w:t>
      </w:r>
      <w:proofErr w:type="spellEnd"/>
      <w:r w:rsidRPr="00C66C24">
        <w:rPr>
          <w:rFonts w:ascii="Calibri" w:hAnsi="Calibri" w:cs="Calibri"/>
        </w:rPr>
        <w:t xml:space="preserve"> et al., 2023)</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In macro and micro forms, sea-based sources account for around 20% of marine litter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{"citationID":"ahsb5cm0kv","properties":{"formattedCitation":"\\uldash{(UNEP, 2005)}","plainCitation":"(UNEP, 2005)","dontUpdate":true,"noteIndex":0},"citationItems":[{"id":52356,"uris":["http://zotero.org/groups/122386/items/MXIECJ2E"],"itemData":{"id":52356,"type":"webpage","title":"Marine litter, an analytical overview | UNEP - UN Environment Programme","URL":"https://www.unep.org/resources/report/marine-litter-analytical-overview","author":[{"family":"UNEP","given":""}],"accessed":{"date-parts":[["2023",10,26]]},"issued":{"date-parts":[["2005"]]}}}],"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(UNEP, 2005</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w:t>
      </w:r>
      <w:r w:rsidRPr="00C66C24">
        <w:rPr>
          <w:rFonts w:ascii="Calibri" w:eastAsia="Calibri" w:hAnsi="Calibri" w:cs="Calibri"/>
          <w:color w:val="000000" w:themeColor="text1"/>
        </w:rPr>
        <w:fldChar w:fldCharType="begin"/>
      </w:r>
      <w:r w:rsidRPr="00C66C24">
        <w:rPr>
          <w:rFonts w:ascii="Calibri" w:eastAsia="Calibri" w:hAnsi="Calibri" w:cs="Calibri"/>
          <w:color w:val="000000" w:themeColor="text1"/>
        </w:rPr>
        <w:instrText xml:space="preserve"> ADDIN ZOTERO_ITEM CSL_CITATION {"citationID":"a2ne67bjtd0","properties":{"formattedCitation":"\\uldash{({\\i{}Blastic-Backgroundreport-Final.Pdf}, n.d.)}","plainCitation":"(Blastic-Backgroundreport-Final.Pdf, n.d.)","dontUpdate":true,"noteIndex":0},"citationItems":[{"id":52354,"uris":["http://zotero.org/groups/122386/items/U4HIG8NH"],"itemData":{"id":52354,"type":"document","title":"blastic-backgroundreport-final.pdf","URL":"https://www.sei.org/wp-content/uploads/2017/12/blastic-backgroundreport-final.pdf","accessed":{"date-parts":[["2023",10,26]]}}}],"schema":"https://github.com/citation-style-language/schema/raw/master/csl-citation.json"} </w:instrText>
      </w:r>
      <w:r w:rsidRPr="00C66C24">
        <w:rPr>
          <w:rFonts w:ascii="Calibri" w:eastAsia="Calibri" w:hAnsi="Calibri" w:cs="Calibri"/>
          <w:color w:val="000000" w:themeColor="text1"/>
        </w:rPr>
        <w:fldChar w:fldCharType="separate"/>
      </w:r>
      <w:r w:rsidRPr="00C66C24">
        <w:rPr>
          <w:rFonts w:ascii="Calibri" w:hAnsi="Calibri" w:cs="Calibri"/>
        </w:rPr>
        <w:t>SEI, 2016)</w:t>
      </w:r>
      <w:r w:rsidRPr="00C66C24">
        <w:rPr>
          <w:rFonts w:ascii="Calibri" w:eastAsia="Calibri" w:hAnsi="Calibri" w:cs="Calibri"/>
          <w:color w:val="000000" w:themeColor="text1"/>
        </w:rPr>
        <w:fldChar w:fldCharType="end"/>
      </w:r>
      <w:r w:rsidRPr="00C66C24">
        <w:rPr>
          <w:rFonts w:ascii="Calibri" w:eastAsia="Calibri" w:hAnsi="Calibri" w:cs="Calibri"/>
          <w:color w:val="000000" w:themeColor="text1"/>
        </w:rPr>
        <w:t xml:space="preserve">. </w:t>
      </w:r>
    </w:p>
    <w:p w14:paraId="0C478AF8" w14:textId="77777777" w:rsidR="0066097B" w:rsidRPr="00C66C24" w:rsidRDefault="0066097B" w:rsidP="0066097B">
      <w:pPr>
        <w:spacing w:before="0" w:after="0" w:line="259" w:lineRule="auto"/>
      </w:pPr>
      <w:r w:rsidRPr="00C66C24">
        <w:t xml:space="preserve">The loss of containers is also considered as sea-based source of marine litter. Containers transport a great variety of goods, in which toxic products and hazardous substances exist. The loss of containers can lead to containers to sink without any further information about its location that may cause habitat destruction, they can open at sea and liberate the cargo or they can wash up to shore. </w:t>
      </w:r>
    </w:p>
    <w:p w14:paraId="2FAAF3A8" w14:textId="77777777" w:rsidR="0066097B" w:rsidRPr="00C66C24" w:rsidRDefault="0066097B" w:rsidP="0066097B">
      <w:pPr>
        <w:spacing w:before="0" w:after="0" w:line="259" w:lineRule="auto"/>
        <w:rPr>
          <w:b/>
          <w:bCs/>
        </w:rPr>
      </w:pPr>
    </w:p>
    <w:p w14:paraId="4C524A46" w14:textId="77777777" w:rsidR="0066097B" w:rsidRPr="00C66C24" w:rsidRDefault="0066097B" w:rsidP="0066097B">
      <w:pPr>
        <w:spacing w:before="0" w:after="0" w:line="259" w:lineRule="auto"/>
        <w:rPr>
          <w:b/>
          <w:bCs/>
        </w:rPr>
      </w:pPr>
      <w:r w:rsidRPr="00C66C24">
        <w:rPr>
          <w:b/>
          <w:bCs/>
        </w:rPr>
        <w:t>Regulatory Framework</w:t>
      </w:r>
    </w:p>
    <w:p w14:paraId="0BF83BE5" w14:textId="77777777" w:rsidR="0066097B" w:rsidRPr="00C66C24" w:rsidRDefault="0066097B" w:rsidP="0066097B">
      <w:pPr>
        <w:spacing w:before="0" w:after="0" w:line="259" w:lineRule="auto"/>
        <w:rPr>
          <w:u w:val="single"/>
        </w:rPr>
      </w:pPr>
      <w:r w:rsidRPr="00C66C24">
        <w:rPr>
          <w:u w:val="single"/>
        </w:rPr>
        <w:t>International framework</w:t>
      </w:r>
    </w:p>
    <w:p w14:paraId="4D1E7936" w14:textId="77777777" w:rsidR="0066097B" w:rsidRPr="00C66C24" w:rsidRDefault="0066097B" w:rsidP="0066097B">
      <w:pPr>
        <w:spacing w:before="0" w:after="0" w:line="259" w:lineRule="auto"/>
      </w:pPr>
      <w:r w:rsidRPr="00C66C24">
        <w:t>Marine litter is a transboundary problem. There is an ongoing process for a binding international agreement on plastics. In February 2022, during the fifth session of the United Nations Environment Assembly (UNEA-5.2), a significant resolution (UNEP/EA.5/Res.14) was adopted to establish an international legally binding agreement on plastic pollution and marine litter (‘Plastics Accord’). The goal is to complete the negotiations by the end of 2024.</w:t>
      </w:r>
    </w:p>
    <w:p w14:paraId="251CEF3A" w14:textId="274124DC" w:rsidR="0066097B" w:rsidRPr="00C66C24" w:rsidRDefault="0066097B" w:rsidP="0066097B">
      <w:pPr>
        <w:spacing w:before="0" w:after="0" w:line="259" w:lineRule="auto"/>
      </w:pPr>
      <w:r w:rsidRPr="00C66C24">
        <w:t>The IMO Strategy, adopted in 2021, aims to achieve zero plastic waste discharges to sea from ships by 2025”</w:t>
      </w:r>
      <w:r w:rsidRPr="00C66C24" w:rsidDel="003F6341">
        <w:t xml:space="preserve"> </w:t>
      </w:r>
      <w:r w:rsidRPr="00C66C24">
        <w:fldChar w:fldCharType="begin"/>
      </w:r>
      <w:r w:rsidRPr="00C66C24">
        <w:instrText xml:space="preserve"> ADDIN ZOTERO_ITEM CSL_CITATION {"citationID":"IPJzcKJR","properties":{"formattedCitation":"(IMO, 2023d)","plainCitation":"(IMO, 2023d)","dontUpdate":true,"noteIndex":0},"citationItems":[{"id":21745,"uris":["http://zotero.org/groups/122386/items/PXBN9IV4"],"itemData":{"id":21745,"type":"webpage","container-title":"MEdia Centre, Hot Topics","title":"Marine litter","URL":"https://www.imo.org/en/MediaCentre/HotTopics/Pages/marinelitter-default.aspx?ref=marineregulations.news","author":[{"family":"IMO","given":""}],"issued":{"date-parts":[["2023"]]}}}],"schema":"https://github.com/citation-style-language/schema/raw/master/csl-citation.json"} </w:instrText>
      </w:r>
      <w:r w:rsidRPr="00C66C24">
        <w:fldChar w:fldCharType="separate"/>
      </w:r>
      <w:r w:rsidRPr="00C66C24">
        <w:rPr>
          <w:rFonts w:ascii="Calibri" w:hAnsi="Calibri" w:cs="Calibri"/>
        </w:rPr>
        <w:t>(IMO, 2023c)</w:t>
      </w:r>
      <w:r w:rsidRPr="00C66C24">
        <w:fldChar w:fldCharType="end"/>
      </w:r>
      <w:r w:rsidRPr="00C66C24">
        <w:t>. Within this context, several initiatives to address marine plastic litter from ships and strengthen international legislation are ongoing at IMO, including:</w:t>
      </w:r>
    </w:p>
    <w:p w14:paraId="6212390B" w14:textId="5D1A5CC0" w:rsidR="0066097B" w:rsidRPr="00C66C24" w:rsidRDefault="0066097B" w:rsidP="712D5E4A">
      <w:pPr>
        <w:pStyle w:val="ListParagraph"/>
        <w:numPr>
          <w:ilvl w:val="0"/>
          <w:numId w:val="1"/>
        </w:numPr>
        <w:spacing w:before="0" w:after="0" w:line="259" w:lineRule="auto"/>
        <w:rPr>
          <w:rFonts w:ascii="Calibri" w:hAnsi="Calibri"/>
          <w:lang w:val="en-GB"/>
        </w:rPr>
      </w:pPr>
      <w:r w:rsidRPr="00C66C24">
        <w:rPr>
          <w:lang w:val="en-GB"/>
        </w:rPr>
        <w:t xml:space="preserve">Evaluation of regulatory measures to reduce the environmental risk associated with the transport of plastic pellets. The aim will be to improve packaging, stowage on board, labelling and improve disaster response and pollution preparedness </w:t>
      </w:r>
      <w:r w:rsidRPr="00C66C24">
        <w:rPr>
          <w:lang w:val="en-GB"/>
        </w:rPr>
        <w:fldChar w:fldCharType="begin"/>
      </w:r>
      <w:r w:rsidRPr="00C66C24">
        <w:rPr>
          <w:lang w:val="en-GB"/>
        </w:rPr>
        <w:instrText xml:space="preserve"> ADDIN ZOTERO_ITEM CSL_CITATION {"citationID":"a1mf28vecg6","properties":{"formattedCitation":"(Faber, J. et al., 2023)","plainCitation":"(Faber, J. et al., 2023)","noteIndex":0},"citationItems":[{"id":52301,"uris":["http://zotero.org/groups/122386/items/VSK2SBPS"],"itemData":{"id":52301,"type":"report","title":"Preventing spills of plastic pellets: a feasibility analysis of regulatory options","URL":"https://cedelft.eu/wp-content/uploads/sites/2/2023/03/CE_Delft_220512_Preventing_spills_of_plastic_pellets_DEF1-1.pdf","author":[{"literal":"Faber, J."},{"literal":"van den Berg, R."},{"literal":"Raphaël, S."}],"issued":{"date-parts":[["2023"]]}}}],"schema":"https://github.com/citation-style-language/schema/raw/master/csl-citation.json"} </w:instrText>
      </w:r>
      <w:r w:rsidRPr="00C66C24">
        <w:rPr>
          <w:lang w:val="en-GB"/>
        </w:rPr>
        <w:fldChar w:fldCharType="separate"/>
      </w:r>
      <w:r w:rsidRPr="00C66C24">
        <w:rPr>
          <w:rFonts w:ascii="Calibri" w:hAnsi="Calibri" w:cs="Calibri"/>
          <w:lang w:val="en-GB"/>
        </w:rPr>
        <w:t>(Faber, J. et al., 2023)</w:t>
      </w:r>
      <w:r w:rsidRPr="00C66C24">
        <w:rPr>
          <w:lang w:val="en-GB"/>
        </w:rPr>
        <w:fldChar w:fldCharType="end"/>
      </w:r>
      <w:r w:rsidRPr="00C66C24">
        <w:rPr>
          <w:lang w:val="en-GB"/>
        </w:rPr>
        <w:t xml:space="preserve">. </w:t>
      </w:r>
      <w:r w:rsidR="00DD6763" w:rsidRPr="00C66C24">
        <w:rPr>
          <w:lang w:val="en-GB"/>
        </w:rPr>
        <w:t xml:space="preserve">To this extent an IMO Circular is being drafted </w:t>
      </w:r>
      <w:r w:rsidR="0089734A" w:rsidRPr="00C66C24">
        <w:rPr>
          <w:lang w:val="en-GB"/>
        </w:rPr>
        <w:t>as a short-term meas</w:t>
      </w:r>
      <w:r w:rsidR="002F350E" w:rsidRPr="00C66C24">
        <w:rPr>
          <w:lang w:val="en-GB"/>
        </w:rPr>
        <w:t>ure</w:t>
      </w:r>
      <w:r w:rsidR="00952595" w:rsidRPr="00C66C24">
        <w:rPr>
          <w:lang w:val="en-GB"/>
        </w:rPr>
        <w:t xml:space="preserve"> of reducing the environmental risks associated with the carriage of plastic pellets in packaged form </w:t>
      </w:r>
      <w:r w:rsidR="00A129CE" w:rsidRPr="00C66C24">
        <w:rPr>
          <w:lang w:val="en-GB"/>
        </w:rPr>
        <w:t>by sea</w:t>
      </w:r>
      <w:r w:rsidR="0028127F" w:rsidRPr="00C66C24">
        <w:rPr>
          <w:lang w:val="en-GB"/>
        </w:rPr>
        <w:t xml:space="preserve"> </w:t>
      </w:r>
      <w:r w:rsidR="0028127F" w:rsidRPr="00C66C24">
        <w:rPr>
          <w:lang w:val="en-GB"/>
        </w:rPr>
        <w:fldChar w:fldCharType="begin"/>
      </w:r>
      <w:r w:rsidR="0028127F" w:rsidRPr="00C66C24">
        <w:rPr>
          <w:lang w:val="en-GB"/>
        </w:rPr>
        <w:instrText xml:space="preserve"> ADDIN ZOTERO_ITEM CSL_CITATION {"citationID":"accpknoc1n","properties":{"formattedCitation":"\\uldash{(IMO, 2023)}","plainCitation":"(IMO, 2023)","noteIndex":0},"citationItems":[{"id":59498,"uris":["http://zotero.org/groups/122386/items/DHYE5M5Z"],"itemData":{"id":59498,"type":"document","publisher":"International Maritime Organization","title":"PPR 10/18/Add.1. Attached are annexes 1, 2, and 4 to 19 to the report of the Sub-Committee on Pollution Prevention and Response on its tenth session (PPR 10/18).","author":[{"literal":"IMO"}],"issued":{"date-parts":[["2023",5,26]]}}}],"schema":"https://github.com/citation-style-language/schema/raw/master/csl-citation.json"} </w:instrText>
      </w:r>
      <w:r w:rsidR="0028127F" w:rsidRPr="00C66C24">
        <w:rPr>
          <w:lang w:val="en-GB"/>
        </w:rPr>
        <w:fldChar w:fldCharType="separate"/>
      </w:r>
      <w:r w:rsidR="0028127F" w:rsidRPr="00C66C24">
        <w:rPr>
          <w:rFonts w:ascii="Calibri" w:hAnsi="Calibri" w:cs="Calibri"/>
          <w:lang w:val="en-GB"/>
        </w:rPr>
        <w:t>(IMO, 2023)</w:t>
      </w:r>
      <w:r w:rsidR="0028127F" w:rsidRPr="00C66C24">
        <w:rPr>
          <w:lang w:val="en-GB"/>
        </w:rPr>
        <w:fldChar w:fldCharType="end"/>
      </w:r>
      <w:r w:rsidR="5005132B" w:rsidRPr="00C66C24">
        <w:rPr>
          <w:lang w:val="en-GB"/>
        </w:rPr>
        <w:t>.</w:t>
      </w:r>
    </w:p>
    <w:p w14:paraId="702344F1" w14:textId="33D56B0A" w:rsidR="0066097B" w:rsidRPr="00C66C24" w:rsidRDefault="0066097B" w:rsidP="0066097B">
      <w:pPr>
        <w:pStyle w:val="ListParagraph"/>
        <w:numPr>
          <w:ilvl w:val="0"/>
          <w:numId w:val="1"/>
        </w:numPr>
        <w:spacing w:before="0" w:after="0" w:line="259" w:lineRule="auto"/>
        <w:contextualSpacing w:val="0"/>
        <w:rPr>
          <w:rFonts w:ascii="Calibri" w:hAnsi="Calibri"/>
          <w:lang w:val="en-GB"/>
        </w:rPr>
      </w:pPr>
      <w:r w:rsidRPr="00C66C24">
        <w:rPr>
          <w:lang w:val="en-GB"/>
        </w:rPr>
        <w:t>An amendment to MARPOL Annex V to provide for the reporting mechanisms, the modalities and the information to be reported to Administrations and IMO to facilitate and enhance reporting of the loss or discharge of fishing gear.</w:t>
      </w:r>
    </w:p>
    <w:p w14:paraId="1418CB9D" w14:textId="06D1AF3C" w:rsidR="0066097B" w:rsidRPr="00C66C24" w:rsidRDefault="0066097B" w:rsidP="0066097B">
      <w:pPr>
        <w:spacing w:before="0" w:after="0" w:line="259" w:lineRule="auto"/>
      </w:pPr>
      <w:r w:rsidRPr="00C66C24">
        <w:t xml:space="preserve">Recognising the serious hazard to navigation, safety at sea and marine environment from lost containers, the IMO has agreed to amend chapter V of the SOLAS Convention and protocol I of the MARPOL Convention with a view to make mandatory the reporting of lost containers through a standardized procedure from 2026 </w:t>
      </w:r>
      <w:r w:rsidRPr="00C66C24">
        <w:fldChar w:fldCharType="begin"/>
      </w:r>
      <w:r w:rsidR="001855E3" w:rsidRPr="00C66C24">
        <w:instrText xml:space="preserve"> ADDIN ZOTERO_ITEM CSL_CITATION {"citationID":"a1b72qkaji5","properties":{"formattedCitation":"(IMO, 2022d)","plainCitation":"(IMO, 2022d)","noteIndex":0},"citationItems":[{"id":52352,"uris":["http://zotero.org/groups/122386/items/5LE2NKE7"],"itemData":{"id":52352,"type":"webpage","title":"Sub-Committee on Carriage of Cargoes and Containers (CCC 8), 8th session, 14-23 September, 2022","URL":"https://www.imo.org/en/MediaCentre/MeetingSummaries/Pages/CCC-8th-session.aspx","author":[{"literal":"IMO"}],"issued":{"date-parts":[["2022"]]}}}],"schema":"https://github.com/citation-style-language/schema/raw/master/csl-citation.json"} </w:instrText>
      </w:r>
      <w:r w:rsidRPr="00C66C24">
        <w:fldChar w:fldCharType="separate"/>
      </w:r>
      <w:r w:rsidR="001855E3" w:rsidRPr="00C66C24">
        <w:rPr>
          <w:rFonts w:ascii="Calibri" w:hAnsi="Calibri" w:cs="Calibri"/>
        </w:rPr>
        <w:t>(IMO, 2022d)</w:t>
      </w:r>
      <w:r w:rsidRPr="00C66C24">
        <w:fldChar w:fldCharType="end"/>
      </w:r>
      <w:r w:rsidRPr="00C66C24">
        <w:t xml:space="preserve">. </w:t>
      </w:r>
    </w:p>
    <w:p w14:paraId="1647F578" w14:textId="77777777" w:rsidR="0066097B" w:rsidRPr="00C66C24" w:rsidRDefault="0066097B" w:rsidP="0066097B">
      <w:pPr>
        <w:spacing w:before="0" w:after="0" w:line="259" w:lineRule="auto"/>
      </w:pPr>
    </w:p>
    <w:p w14:paraId="61A0AF3E" w14:textId="77777777" w:rsidR="0066097B" w:rsidRPr="00C66C24" w:rsidRDefault="0066097B" w:rsidP="0066097B">
      <w:pPr>
        <w:spacing w:before="0" w:after="0" w:line="259" w:lineRule="auto"/>
        <w:rPr>
          <w:u w:val="single"/>
        </w:rPr>
      </w:pPr>
      <w:r w:rsidRPr="00C66C24">
        <w:rPr>
          <w:u w:val="single"/>
        </w:rPr>
        <w:t>European Union framework</w:t>
      </w:r>
    </w:p>
    <w:p w14:paraId="6C6FD5A2" w14:textId="33865B6F" w:rsidR="0066097B" w:rsidRPr="00C66C24" w:rsidRDefault="0066097B" w:rsidP="0066097B">
      <w:pPr>
        <w:spacing w:before="0" w:after="0" w:line="259" w:lineRule="auto"/>
        <w:rPr>
          <w:rFonts w:ascii="Calibri" w:eastAsia="Calibri" w:hAnsi="Calibri" w:cs="Calibri"/>
          <w:color w:val="000000" w:themeColor="text1"/>
        </w:rPr>
      </w:pPr>
      <w:r w:rsidRPr="00C66C24">
        <w:t xml:space="preserve">The EU’s ZPAP </w:t>
      </w:r>
      <w:r w:rsidRPr="00C66C24">
        <w:fldChar w:fldCharType="begin"/>
      </w:r>
      <w:r w:rsidRPr="00C66C24">
        <w:instrText xml:space="preserve"> ADDIN ZOTERO_ITEM CSL_CITATION {"citationID":"TWowwsWl","properties":{"formattedCitation":"(EC, 2022)","plainCitation":"(EC, 2022)","dontUpdate":true,"noteIndex":0},"citationItems":[{"id":33350,"uris":["http://zotero.org/groups/122386/items/3S2BP9T4"],"itemData":{"id":33350,"type":"report","event-place":"Brussels, Belgium","publisher":"European Commission","publisher-place":"Brussels, Belgium","title":"Zero pollution action plan","URL":"https://ec.europa.eu/environment/strategy/zero-pollution-action-plan_en","author":[{"family":"EC","given":""}],"issued":{"date-parts":[["2021"]]}}}],"schema":"https://github.com/citation-style-language/schema/raw/master/csl-citation.json"} </w:instrText>
      </w:r>
      <w:r w:rsidRPr="00C66C24">
        <w:fldChar w:fldCharType="separate"/>
      </w:r>
      <w:r w:rsidRPr="00C66C24">
        <w:rPr>
          <w:rFonts w:ascii="Calibri" w:hAnsi="Calibri" w:cs="Calibri"/>
        </w:rPr>
        <w:t>(EC, 202</w:t>
      </w:r>
      <w:r w:rsidR="00676FD8">
        <w:rPr>
          <w:rFonts w:ascii="Calibri" w:hAnsi="Calibri" w:cs="Calibri"/>
        </w:rPr>
        <w:t>1f</w:t>
      </w:r>
      <w:r w:rsidRPr="00C66C24">
        <w:rPr>
          <w:rFonts w:ascii="Calibri" w:hAnsi="Calibri" w:cs="Calibri"/>
        </w:rPr>
        <w:t>)</w:t>
      </w:r>
      <w:r w:rsidRPr="00C66C24">
        <w:fldChar w:fldCharType="end"/>
      </w:r>
      <w:r w:rsidRPr="00C66C24">
        <w:t xml:space="preserve"> sets ambitious quantitative targets for reducing plastic litter at sea by 50% (in terms of number of items) and the quantity of microplastics released into the environment by 30% by 2030, taking 2016 as the reference year </w:t>
      </w:r>
      <w:r w:rsidRPr="00632903">
        <w:fldChar w:fldCharType="begin"/>
      </w:r>
      <w:r w:rsidR="00632903" w:rsidRPr="00632903">
        <w:instrText xml:space="preserve"> ADDIN ZOTERO_ITEM CSL_CITATION {"citationID":"a2fgucbm748","properties":{"formattedCitation":"\\uldash{(EC, 2021)}","plainCitation":"(EC, 2021)","noteIndex":0},"citationItems":[{"id":24772,"uris":["http://zotero.org/groups/122386/items/BRZA2EVX"],"itemData":{"id":24772,"type":"document","title":"Pathway to a Healthy Planet for All EU Action Plan: 'Towards Zero Pollution for Air, Water and Soil'","URL":"https://ec.europa.eu/environment/pdf/zero-pollution-action-plan/communication_en.pdf","author":[{"family":"EC","given":""}],"issued":{"date-parts":[["2021"]]}}}],"schema":"https://github.com/citation-style-language/schema/raw/master/csl-citation.json"} </w:instrText>
      </w:r>
      <w:r w:rsidRPr="00632903">
        <w:fldChar w:fldCharType="separate"/>
      </w:r>
      <w:r w:rsidR="00632903" w:rsidRPr="00632903">
        <w:rPr>
          <w:rFonts w:ascii="Calibri" w:hAnsi="Calibri" w:cs="Calibri"/>
        </w:rPr>
        <w:t>(EC, 2021</w:t>
      </w:r>
      <w:r w:rsidR="009F5E60">
        <w:rPr>
          <w:rFonts w:ascii="Calibri" w:hAnsi="Calibri" w:cs="Calibri"/>
        </w:rPr>
        <w:t>f</w:t>
      </w:r>
      <w:r w:rsidR="00632903" w:rsidRPr="00632903">
        <w:rPr>
          <w:rFonts w:ascii="Calibri" w:hAnsi="Calibri" w:cs="Calibri"/>
        </w:rPr>
        <w:t>)</w:t>
      </w:r>
      <w:r w:rsidRPr="00632903">
        <w:fldChar w:fldCharType="end"/>
      </w:r>
      <w:r w:rsidRPr="0007382B">
        <w:t>.</w:t>
      </w:r>
      <w:r w:rsidRPr="00C66C24">
        <w:t xml:space="preserve"> These targets are supported by the Circular Economy Action Plan, which identifies plastics as one of its five priority areas. The EU Plastics Strategy (COM (2018) 028) specifically addresses the leakage of plastics and microplastics and includes the Single Use Plastics Directive (2019/904/EU; </w:t>
      </w:r>
      <w:r w:rsidRPr="00C66C24">
        <w:fldChar w:fldCharType="begin"/>
      </w:r>
      <w:r w:rsidRPr="00C66C24">
        <w:instrText xml:space="preserve"> ADDIN ZOTERO_ITEM CSL_CITATION {"citationID":"a186hrqk1vp","properties":{"formattedCitation":"\\uldash{(EU, 2019)}","plainCitation":"(EU, 2019)","dontUpdate":true,"noteIndex":0},"citationItems":[{"id":1928,"uris":["http://zotero.org/groups/122386/items/ZRC42G2T"],"itemData":{"id":1928,"type":"document","title":"Directive (EU) 2019/904 of the European Parliament and of the Council of 5 June 2019 on the reduction of the impact of certain plastic products on the environment (Text with EEA relevance)","URL":"https://eur-lex.europa.eu/legal-content/EN/TXT/HTML/?uri=CELEX:32019L0904&amp;from=EN","author":[{"family":"EU","given":""}],"accessed":{"date-parts":[["2021",5,20]]},"issued":{"date-parts":[["2019"]]}}}],"schema":"https://github.com/citation-style-language/schema/raw/master/csl-citation.json"} </w:instrText>
      </w:r>
      <w:r w:rsidRPr="00C66C24">
        <w:fldChar w:fldCharType="separate"/>
      </w:r>
      <w:r w:rsidRPr="00C66C24">
        <w:t>EU, 2019)</w:t>
      </w:r>
      <w:r w:rsidRPr="00C66C24">
        <w:fldChar w:fldCharType="end"/>
      </w:r>
      <w:r w:rsidRPr="00C66C24">
        <w:t xml:space="preserve"> which focuses on targeting the ten most found single-use plastic items on </w:t>
      </w:r>
      <w:r w:rsidRPr="00C66C24">
        <w:rPr>
          <w:rFonts w:ascii="Calibri" w:eastAsia="Calibri" w:hAnsi="Calibri" w:cs="Calibri"/>
          <w:color w:val="000000" w:themeColor="text1"/>
        </w:rPr>
        <w:t xml:space="preserve">Europe's beaches and seas. </w:t>
      </w:r>
    </w:p>
    <w:p w14:paraId="19638836" w14:textId="77777777" w:rsidR="0066097B" w:rsidRPr="00C66C24" w:rsidRDefault="0066097B" w:rsidP="0066097B">
      <w:pPr>
        <w:spacing w:before="0" w:after="0" w:line="259" w:lineRule="auto"/>
        <w:rPr>
          <w:rFonts w:cstheme="minorHAnsi"/>
          <w:szCs w:val="22"/>
        </w:rPr>
      </w:pPr>
      <w:r w:rsidRPr="00C66C24">
        <w:rPr>
          <w:rFonts w:ascii="Calibri" w:eastAsia="Calibri" w:hAnsi="Calibri" w:cs="Calibri"/>
          <w:color w:val="000000" w:themeColor="text1"/>
        </w:rPr>
        <w:t>The MSFD creates a</w:t>
      </w:r>
      <w:r w:rsidRPr="00C66C24" w:rsidDel="00E450C3">
        <w:rPr>
          <w:rFonts w:ascii="Calibri" w:eastAsia="Calibri" w:hAnsi="Calibri" w:cs="Calibri"/>
          <w:color w:val="000000" w:themeColor="text1"/>
        </w:rPr>
        <w:t xml:space="preserve"> </w:t>
      </w:r>
      <w:r w:rsidRPr="00C66C24">
        <w:rPr>
          <w:rFonts w:ascii="Calibri" w:eastAsia="Calibri" w:hAnsi="Calibri" w:cs="Calibri"/>
          <w:color w:val="000000" w:themeColor="text1"/>
        </w:rPr>
        <w:t xml:space="preserve">legally binding framework for assessing and monitoring litter quantities, spatial distribution </w:t>
      </w:r>
      <w:r w:rsidRPr="00C66C24">
        <w:rPr>
          <w:rFonts w:eastAsia="Calibri" w:cstheme="minorHAnsi"/>
          <w:color w:val="000000" w:themeColor="text1"/>
          <w:szCs w:val="22"/>
        </w:rPr>
        <w:t>and impacts in the marine and coastal environment and thereby plays a significant role in reducing marine litter</w:t>
      </w:r>
      <w:r w:rsidRPr="00C66C24">
        <w:rPr>
          <w:rFonts w:cstheme="minorHAnsi"/>
          <w:szCs w:val="22"/>
        </w:rPr>
        <w:t xml:space="preserve"> and addressing the issue of marine plastic pollution from all sources in Europe.</w:t>
      </w:r>
    </w:p>
    <w:p w14:paraId="1A6D49E0" w14:textId="77777777" w:rsidR="0066097B" w:rsidRPr="00C66C24" w:rsidRDefault="0066097B" w:rsidP="0066097B">
      <w:pPr>
        <w:pStyle w:val="paragraph"/>
        <w:spacing w:before="0" w:beforeAutospacing="0" w:after="0" w:afterAutospacing="0" w:line="259" w:lineRule="auto"/>
        <w:jc w:val="both"/>
        <w:rPr>
          <w:rFonts w:asciiTheme="minorHAnsi" w:eastAsia="ヒラギノ角ゴ Pro W3" w:hAnsiTheme="minorHAnsi" w:cstheme="minorHAnsi"/>
          <w:sz w:val="22"/>
          <w:szCs w:val="22"/>
          <w:lang w:val="en-GB" w:eastAsia="en-US"/>
        </w:rPr>
      </w:pPr>
      <w:r w:rsidRPr="00C66C24">
        <w:rPr>
          <w:rFonts w:asciiTheme="minorHAnsi" w:eastAsia="ヒラギノ角ゴ Pro W3" w:hAnsiTheme="minorHAnsi" w:cstheme="minorHAnsi"/>
          <w:sz w:val="22"/>
          <w:szCs w:val="22"/>
          <w:lang w:val="en-GB" w:eastAsia="en-US"/>
        </w:rPr>
        <w:t xml:space="preserve">When it comes to passively fished waste, the Port Reception Facilities (PRF) Directive 2019/883/EU includes a requirement to dispose (at port) and report the waste collected by fishers in bets during their work </w:t>
      </w:r>
      <w:r w:rsidRPr="00C66C24">
        <w:rPr>
          <w:rFonts w:asciiTheme="minorHAnsi" w:hAnsiTheme="minorHAnsi" w:cstheme="minorHAnsi"/>
          <w:sz w:val="22"/>
          <w:szCs w:val="22"/>
          <w:lang w:val="en-GB"/>
        </w:rPr>
        <w:fldChar w:fldCharType="begin"/>
      </w:r>
      <w:r w:rsidRPr="00C66C24">
        <w:rPr>
          <w:rFonts w:asciiTheme="minorHAnsi" w:eastAsia="ヒラギノ角ゴ Pro W3" w:hAnsiTheme="minorHAnsi" w:cstheme="minorHAnsi"/>
          <w:sz w:val="22"/>
          <w:szCs w:val="22"/>
          <w:lang w:val="en-GB" w:eastAsia="en-US"/>
        </w:rPr>
        <w:instrText xml:space="preserve"> ADDIN ZOTERO_ITEM CSL_CITATION {"citationID":"akob7eermf","properties":{"formattedCitation":"(EU, 2019a)","plainCitation":"(EU, 2019a)","noteIndex":0},"citationItems":[{"id":21763,"uris":["http://zotero.org/groups/122386/items/A8E8Q6RX"],"itemData":{"id":21763,"type":"document","publisher":"European Parliament and Council","title":"Directive (EU) 2019/883 of the European Parliament and of the Council of 17 April 2019 on port reception facilities for the delivery of waste from ships, amending Directive 2010/65/EU and repealing Directive 2000/59/EC","URL":"https://eur-lex.europa.eu/legal-content/EN/TXT/PDF/?uri=CELEX:32019L0883","author":[{"family":"EU","given":""}],"issued":{"date-parts":[["2019"]]}}}],"schema":"https://github.com/citation-style-language/schema/raw/master/csl-citation.json"} </w:instrText>
      </w:r>
      <w:r w:rsidRPr="00C66C24">
        <w:rPr>
          <w:rFonts w:asciiTheme="minorHAnsi" w:hAnsiTheme="minorHAnsi" w:cstheme="minorHAnsi"/>
          <w:sz w:val="22"/>
          <w:szCs w:val="22"/>
          <w:lang w:val="en-GB"/>
        </w:rPr>
        <w:fldChar w:fldCharType="separate"/>
      </w:r>
      <w:r w:rsidRPr="00C66C24">
        <w:rPr>
          <w:rFonts w:asciiTheme="minorHAnsi" w:hAnsiTheme="minorHAnsi" w:cstheme="minorHAnsi"/>
          <w:sz w:val="22"/>
          <w:szCs w:val="22"/>
          <w:lang w:val="en-GB"/>
        </w:rPr>
        <w:t>(EU, 2019a)</w:t>
      </w:r>
      <w:r w:rsidRPr="00C66C24">
        <w:rPr>
          <w:rFonts w:asciiTheme="minorHAnsi" w:hAnsiTheme="minorHAnsi" w:cstheme="minorHAnsi"/>
          <w:sz w:val="22"/>
          <w:szCs w:val="22"/>
          <w:lang w:val="en-GB"/>
        </w:rPr>
        <w:fldChar w:fldCharType="end"/>
      </w:r>
      <w:r w:rsidRPr="00C66C24">
        <w:rPr>
          <w:rFonts w:asciiTheme="minorHAnsi" w:eastAsia="ヒラギノ角ゴ Pro W3" w:hAnsiTheme="minorHAnsi" w:cstheme="minorHAnsi"/>
          <w:sz w:val="22"/>
          <w:szCs w:val="22"/>
          <w:lang w:val="en-GB" w:eastAsia="en-US"/>
        </w:rPr>
        <w:t>.</w:t>
      </w:r>
    </w:p>
    <w:p w14:paraId="6DB7CA13" w14:textId="6D03AE27" w:rsidR="0066097B" w:rsidRPr="00C66C24" w:rsidRDefault="0066097B" w:rsidP="0066097B">
      <w:pPr>
        <w:pStyle w:val="paragraph"/>
        <w:spacing w:before="0" w:beforeAutospacing="0" w:after="0" w:afterAutospacing="0" w:line="259" w:lineRule="auto"/>
        <w:rPr>
          <w:rFonts w:asciiTheme="minorHAnsi" w:hAnsiTheme="minorHAnsi" w:cstheme="minorHAnsi"/>
          <w:sz w:val="22"/>
          <w:szCs w:val="22"/>
          <w:lang w:val="en-GB"/>
        </w:rPr>
      </w:pPr>
      <w:r w:rsidRPr="00C66C24">
        <w:rPr>
          <w:rFonts w:asciiTheme="minorHAnsi" w:hAnsiTheme="minorHAnsi" w:cstheme="minorHAnsi"/>
          <w:sz w:val="22"/>
          <w:szCs w:val="22"/>
          <w:lang w:val="en-GB"/>
        </w:rPr>
        <w:t xml:space="preserve">The new fisheries Control Regulation (just entered into force on 9 January 2024), includes articles on regulating fishing gears lost at sea (related to logbook) and on the retrieval of lost gears </w:t>
      </w:r>
      <w:r w:rsidRPr="00C66C24">
        <w:rPr>
          <w:rFonts w:asciiTheme="minorHAnsi" w:hAnsiTheme="minorHAnsi" w:cstheme="minorHAnsi"/>
          <w:sz w:val="22"/>
          <w:szCs w:val="22"/>
          <w:lang w:val="en-GB"/>
        </w:rPr>
        <w:fldChar w:fldCharType="begin"/>
      </w:r>
      <w:r w:rsidR="001855E3" w:rsidRPr="00C66C24">
        <w:rPr>
          <w:rFonts w:asciiTheme="minorHAnsi" w:hAnsiTheme="minorHAnsi" w:cstheme="minorHAnsi"/>
          <w:sz w:val="22"/>
          <w:szCs w:val="22"/>
          <w:lang w:val="en-GB"/>
        </w:rPr>
        <w:instrText xml:space="preserve"> ADDIN ZOTERO_ITEM CSL_CITATION {"citationID":"Ei4ZjCxr","properties":{"formattedCitation":"(EU, 2023d)","plainCitation":"(EU, 2023d)","noteIndex":0},"citationItems":[{"id":59263,"uris":["http://zotero.org/groups/122386/items/WBDRNB7J"],"itemData":{"id":59263,"type":"document","publisher":"European Parliament and Council","title":"Regulation (EU) 2023/2842 of the European Parliament and of the Council of 22 November 2023 amending Council Regulation (EC) No 1224/2009, and amending Council Regulations (EC) No 1967/2006 and (EC) No 1005/2008 and Regulations (EU) 2016/1139, (EU) 2017/2403 and (EU) 2019/473 of the European Parliament and of the Council as regards fisheries control","URL":"https://eur-lex.europa.eu/eli/reg/2023/2842/oj","author":[{"literal":"EU"}],"issued":{"date-parts":[["2023"]]}}}],"schema":"https://github.com/citation-style-language/schema/raw/master/csl-citation.json"} </w:instrText>
      </w:r>
      <w:r w:rsidRPr="00C66C24">
        <w:rPr>
          <w:rFonts w:asciiTheme="minorHAnsi" w:hAnsiTheme="minorHAnsi" w:cstheme="minorHAnsi"/>
          <w:sz w:val="22"/>
          <w:szCs w:val="22"/>
          <w:lang w:val="en-GB"/>
        </w:rPr>
        <w:fldChar w:fldCharType="separate"/>
      </w:r>
      <w:r w:rsidR="001855E3" w:rsidRPr="00C66C24">
        <w:rPr>
          <w:rFonts w:ascii="Calibri" w:hAnsi="Calibri" w:cs="Calibri"/>
          <w:sz w:val="22"/>
          <w:lang w:val="en-GB"/>
        </w:rPr>
        <w:t xml:space="preserve">(EU, </w:t>
      </w:r>
      <w:r w:rsidR="00092A88">
        <w:rPr>
          <w:rFonts w:ascii="Calibri" w:hAnsi="Calibri" w:cs="Calibri"/>
          <w:sz w:val="22"/>
          <w:lang w:val="en-GB"/>
        </w:rPr>
        <w:t>2023</w:t>
      </w:r>
      <w:r w:rsidR="005D5419">
        <w:rPr>
          <w:rFonts w:ascii="Calibri" w:hAnsi="Calibri" w:cs="Calibri"/>
          <w:sz w:val="22"/>
          <w:lang w:val="en-GB"/>
        </w:rPr>
        <w:t>e</w:t>
      </w:r>
      <w:r w:rsidR="001855E3" w:rsidRPr="00C66C24">
        <w:rPr>
          <w:rFonts w:ascii="Calibri" w:hAnsi="Calibri" w:cs="Calibri"/>
          <w:sz w:val="22"/>
          <w:lang w:val="en-GB"/>
        </w:rPr>
        <w:t>)</w:t>
      </w:r>
      <w:r w:rsidRPr="00C66C24">
        <w:rPr>
          <w:rFonts w:asciiTheme="minorHAnsi" w:hAnsiTheme="minorHAnsi" w:cstheme="minorHAnsi"/>
          <w:sz w:val="22"/>
          <w:szCs w:val="22"/>
          <w:lang w:val="en-GB"/>
        </w:rPr>
        <w:fldChar w:fldCharType="end"/>
      </w:r>
      <w:r w:rsidRPr="00C66C24">
        <w:rPr>
          <w:rFonts w:asciiTheme="minorHAnsi" w:hAnsiTheme="minorHAnsi" w:cstheme="minorHAnsi"/>
          <w:sz w:val="22"/>
          <w:szCs w:val="22"/>
          <w:lang w:val="en-GB"/>
        </w:rPr>
        <w:t>.</w:t>
      </w:r>
    </w:p>
    <w:p w14:paraId="3ED0217B" w14:textId="77777777" w:rsidR="0066097B" w:rsidRPr="00C66C24" w:rsidRDefault="0066097B" w:rsidP="0066097B">
      <w:pPr>
        <w:spacing w:before="0" w:after="0" w:line="259" w:lineRule="auto"/>
      </w:pPr>
      <w:r w:rsidRPr="00C66C24">
        <w:t xml:space="preserve">At EU level, the issue of reporting/notification of lost containers is addressed in European Union legislation through Directive 2002/59/EC on the establishment of a Community vessel traffic monitoring and information system </w:t>
      </w:r>
      <w:r w:rsidRPr="00C66C24">
        <w:fldChar w:fldCharType="begin"/>
      </w:r>
      <w:r w:rsidRPr="00C66C24">
        <w:instrText xml:space="preserve"> ADDIN ZOTERO_ITEM CSL_CITATION {"citationID":"ab5koifg1b","properties":{"formattedCitation":"(EU, 2002)","plainCitation":"(EU, 2002)","noteIndex":0},"citationItems":[{"id":52378,"uris":["http://zotero.org/groups/122386/items/MLKTMBLR"],"itemData":{"id":52378,"type":"document","publisher":"European Parliament and Council","title":"Directive 2002/59/EC of the European Parliament and of the Council of 27 June 2002 establishing a Community vessel traffic monitoring and information system and repealing Council Directive 93/75/EEC","URL":"https://eur-lex.europa.eu/legal-content/EN/TXT/?uri=CELEX%3A32002L0059&amp;qid=1698323593416","author":[{"literal":"EU"}],"issued":{"date-parts":[["2002"]]}}}],"schema":"https://github.com/citation-style-language/schema/raw/master/csl-citation.json"} </w:instrText>
      </w:r>
      <w:r w:rsidRPr="00C66C24">
        <w:fldChar w:fldCharType="separate"/>
      </w:r>
      <w:r w:rsidRPr="00C66C24">
        <w:rPr>
          <w:rFonts w:ascii="Calibri" w:hAnsi="Calibri" w:cs="Calibri"/>
        </w:rPr>
        <w:t>(EU, 2002)</w:t>
      </w:r>
      <w:r w:rsidRPr="00C66C24">
        <w:fldChar w:fldCharType="end"/>
      </w:r>
      <w:r w:rsidRPr="00C66C24">
        <w:t xml:space="preserve"> and Directive 2009/18/EC governing the investigation of accidents in the maritime transport sector </w:t>
      </w:r>
      <w:r w:rsidRPr="00C66C24">
        <w:fldChar w:fldCharType="begin"/>
      </w:r>
      <w:r w:rsidRPr="00C66C24">
        <w:instrText xml:space="preserve"> ADDIN ZOTERO_ITEM CSL_CITATION {"citationID":"ai5u99j4ln","properties":{"formattedCitation":"(EU, 2009a)","plainCitation":"(EU, 2009a)","noteIndex":0},"citationItems":[{"id":52380,"uris":["http://zotero.org/groups/122386/items/CC3T8XB7"],"itemData":{"id":52380,"type":"document","publisher":"European Parliament and Council","title":"Directive 2009/18/EC of the European Parliament and of the Council of 23 April 2009 establishing the fundamental principles governing the investigation of accidents in the maritime transport sector and amending Council Directive 1999/35/EC and Directive 2002/59/EC of the European Parliament and of the Council (Text with EEA relevance)","URL":"https://eur-lex.europa.eu/legal-content/EN/TXT/?uri=CELEX%3A32009L0018&amp;qid=1698323687599","author":[{"literal":"EU"}],"issued":{"date-parts":[["2009"]]}}}],"schema":"https://github.com/citation-style-language/schema/raw/master/csl-citation.json"} </w:instrText>
      </w:r>
      <w:r w:rsidRPr="00C66C24">
        <w:fldChar w:fldCharType="separate"/>
      </w:r>
      <w:r w:rsidRPr="00C66C24">
        <w:rPr>
          <w:rFonts w:ascii="Calibri" w:hAnsi="Calibri" w:cs="Calibri"/>
        </w:rPr>
        <w:t>(EU, 2009a)</w:t>
      </w:r>
      <w:r w:rsidRPr="00C66C24">
        <w:fldChar w:fldCharType="end"/>
      </w:r>
      <w:r w:rsidRPr="00C66C24">
        <w:t xml:space="preserve">. Directive 2002/59/EC requires that ships report to the coastal Member States containers or packages seen drifting at sea. </w:t>
      </w:r>
    </w:p>
    <w:p w14:paraId="51A138C9" w14:textId="77777777" w:rsidR="0066097B" w:rsidRPr="00C66C24" w:rsidRDefault="0066097B" w:rsidP="0066097B">
      <w:pPr>
        <w:spacing w:before="0" w:after="0" w:line="259" w:lineRule="auto"/>
      </w:pPr>
    </w:p>
    <w:p w14:paraId="310C4D57" w14:textId="77777777" w:rsidR="0066097B" w:rsidRPr="00C66C24" w:rsidRDefault="0066097B" w:rsidP="0066097B">
      <w:pPr>
        <w:spacing w:before="0" w:after="0" w:line="259" w:lineRule="auto"/>
        <w:rPr>
          <w:b/>
          <w:bCs/>
        </w:rPr>
      </w:pPr>
      <w:r w:rsidRPr="00C66C24">
        <w:rPr>
          <w:b/>
          <w:bCs/>
        </w:rPr>
        <w:t>Monitoring and Reporting Framework</w:t>
      </w:r>
    </w:p>
    <w:p w14:paraId="3FFFBFAC" w14:textId="77777777" w:rsidR="0066097B" w:rsidRPr="00C66C24" w:rsidRDefault="0066097B" w:rsidP="0066097B">
      <w:pPr>
        <w:spacing w:before="0" w:after="0" w:line="259" w:lineRule="auto"/>
      </w:pPr>
      <w:r w:rsidRPr="00C66C24">
        <w:t xml:space="preserve">The PRF Directive imposes obligations on Member States to collect and report monitoring data on passively fished waste from fishing vessels. Some countries utilise existing schemes such as the Fishing for Litter initiative </w:t>
      </w:r>
      <w:r w:rsidRPr="00C66C24">
        <w:fldChar w:fldCharType="begin"/>
      </w:r>
      <w:r w:rsidRPr="00C66C24">
        <w:instrText xml:space="preserve"> ADDIN ZOTERO_ITEM CSL_CITATION {"citationID":"a1kdralmp8h","properties":{"formattedCitation":"(KIMO, 2023)","plainCitation":"(KIMO, 2023)","noteIndex":0},"citationItems":[{"id":21746,"uris":["http://zotero.org/groups/122386/items/W8ZDUIYH"],"itemData":{"id":21746,"type":"webpage","container-title":"Projects","title":"Fishing for Litter","URL":"https://www.kimointernational.org/fishing-for-litter/","author":[{"family":"KIMO","given":""}],"issued":{"date-parts":[["2023"]]}}}],"schema":"https://github.com/citation-style-language/schema/raw/master/csl-citation.json"} </w:instrText>
      </w:r>
      <w:r w:rsidRPr="00C66C24">
        <w:fldChar w:fldCharType="separate"/>
      </w:r>
      <w:r w:rsidRPr="00C66C24">
        <w:rPr>
          <w:rFonts w:ascii="Calibri" w:hAnsi="Calibri" w:cs="Calibri"/>
        </w:rPr>
        <w:t>(KIMO, 2023)</w:t>
      </w:r>
      <w:r w:rsidRPr="00C66C24">
        <w:fldChar w:fldCharType="end"/>
      </w:r>
      <w:r w:rsidRPr="00C66C24">
        <w:t xml:space="preserve"> to collect passively fished waste data. Passively fished waste can be considered as an indicator correlated to the quantities of litter in the sea. The first data were reported in 2021 (see Chapter 3 for the results). </w:t>
      </w:r>
    </w:p>
    <w:p w14:paraId="516904BF" w14:textId="77777777" w:rsidR="0066097B" w:rsidRPr="00C66C24" w:rsidRDefault="0066097B" w:rsidP="0066097B">
      <w:pPr>
        <w:spacing w:before="0" w:after="0" w:line="259" w:lineRule="auto"/>
      </w:pPr>
      <w:r w:rsidRPr="00C66C24">
        <w:t>Marine litter is also one of the GES descriptors (D10) of the MSFD. There is an ongoing effort at the Technical Group on Marine Litter to define GES threshold, which has already been achieved for the coastline, where the threshold has been set at 20 litter items per 100 meters of coastline. To achieve GES, Member States must establish and implement a programme of measures, including for the shipping sector, if necessary. Most countries reported on GES (MSFD Art.8).</w:t>
      </w:r>
    </w:p>
    <w:p w14:paraId="44E7F65E" w14:textId="77777777" w:rsidR="0066097B" w:rsidRPr="00C66C24" w:rsidRDefault="0066097B" w:rsidP="0066097B">
      <w:pPr>
        <w:spacing w:before="0" w:after="0" w:line="259" w:lineRule="auto"/>
      </w:pPr>
      <w:r w:rsidRPr="00C66C24">
        <w:t>As previously mentioned, pellets could also be classified in the future as a "harmful substance" in International Maritime Law, which would bring about more stringent obligations regarding their handling, as well as mandatory reporting should containers be lost at sea. Discussions are ongoing regarding this in the International Maritime Organization, supported by the EU. Monitoring efforts should also focus on the impacts of these pellet losses on the environment, fauna and human health.</w:t>
      </w:r>
      <w:r w:rsidRPr="00C66C24" w:rsidDel="00642128">
        <w:t xml:space="preserve"> </w:t>
      </w:r>
    </w:p>
    <w:p w14:paraId="11E34BF8" w14:textId="73C1E690" w:rsidR="0066097B" w:rsidRPr="00C66C24" w:rsidRDefault="0066097B" w:rsidP="0066097B">
      <w:pPr>
        <w:spacing w:before="0" w:after="0" w:line="259" w:lineRule="auto"/>
      </w:pPr>
      <w:r w:rsidRPr="00C66C24">
        <w:t xml:space="preserve">Finally, while the reporting of lost containers is mandatory at EU level and will become mandatory at international level as of 2026, there is no mandatory procedure to what to do next, even though under the Nairobi International convention on the Removal of Wrecks includes “cargoes that are lost at sea from ships are defined as wrecks”, the practical procedures to its recovery are extremely difficult </w:t>
      </w:r>
      <w:r w:rsidRPr="00C66C24">
        <w:fldChar w:fldCharType="begin"/>
      </w:r>
      <w:r w:rsidRPr="00C66C24">
        <w:instrText xml:space="preserve"> ADDIN ZOTERO_ITEM CSL_CITATION {"citationID":"a2oqr9fh2kp","properties":{"formattedCitation":"(IMO, 2007; Jo, 2020)","plainCitation":"(IMO, 2007; Jo, 2020)","noteIndex":0},"citationItems":[{"id":52351,"uris":["http://zotero.org/groups/122386/items/XZWDQEH4"],"itemData":{"id":52351,"type":"paper-conference","event-title":"Nairobi international convention on the removal of wrecks","title":"2007 Nairobi international Convention on the removal of wrecks","URL":"https://legalaffairs.gov.ag/pdf/conventions/Nairobi_International_Convention_on_Removal_of_Wrecks-pdf.pdf","author":[{"literal":"IMO"}],"issued":{"date-parts":[["2007"]]}}},{"id":21661,"uris":["http://zotero.org/groups/122386/items/FI4YTDMQ"],"itemData":{"id":21661,"type":"article-journal","container-title":"Journal of International Maritime Safety, Environmental Affairs, and Shipping","DOI":"10.1080/25725084.2020.1792392","ISSN":"2572-5084","issue":"3","journalAbbreviation":"Journal of International Maritime Safety, Environmental Affairs, and Shipping","language":"en","page":"80-83","source":"DOI.org (Crossref)","title":"The need for international policy regarding lost containers at sea for reducing marine plastic litter","volume":"4","author":[{"family":"Jo","given":"Gye-Wan"}],"issued":{"date-parts":[["2020",7,2]]}}}],"schema":"https://github.com/citation-style-language/schema/raw/master/csl-citation.json"} </w:instrText>
      </w:r>
      <w:r w:rsidRPr="00C66C24">
        <w:fldChar w:fldCharType="separate"/>
      </w:r>
      <w:r w:rsidRPr="00C66C24">
        <w:rPr>
          <w:rFonts w:ascii="Calibri" w:hAnsi="Calibri" w:cs="Calibri"/>
        </w:rPr>
        <w:t>(IMO, 2007; Jo, 2020)</w:t>
      </w:r>
      <w:r w:rsidRPr="00C66C24">
        <w:fldChar w:fldCharType="end"/>
      </w:r>
      <w:r w:rsidRPr="00C66C24">
        <w:t xml:space="preserve">. Future mechanisms for liability and compensation could also be considered to avoid, for example, that clean-up activities are paid by the coastal municipalities instead of the polluters. To report containers lost at sea within the EU, a reporting model has been developed through SafeSeaNet and has been systematically used since 2012 </w:t>
      </w:r>
      <w:r w:rsidRPr="00C66C24">
        <w:fldChar w:fldCharType="begin"/>
      </w:r>
      <w:r w:rsidRPr="00C66C24">
        <w:instrText xml:space="preserve"> ADDIN ZOTERO_ITEM CSL_CITATION {"citationID":"a24a45hsskv","properties":{"formattedCitation":"(EU, 2002)","plainCitation":"(EU, 2002)","noteIndex":0},"citationItems":[{"id":52378,"uris":["http://zotero.org/groups/122386/items/MLKTMBLR"],"itemData":{"id":52378,"type":"document","publisher":"European Parliament and Council","title":"Directive 2002/59/EC of the European Parliament and of the Council of 27 June 2002 establishing a Community vessel traffic monitoring and information system and repealing Council Directive 93/75/EEC","URL":"https://eur-lex.europa.eu/legal-content/EN/TXT/?uri=CELEX%3A32002L0059&amp;qid=1698323593416","author":[{"literal":"EU"}],"issued":{"date-parts":[["2002"]]}}}],"schema":"https://github.com/citation-style-language/schema/raw/master/csl-citation.json"} </w:instrText>
      </w:r>
      <w:r w:rsidRPr="00C66C24">
        <w:fldChar w:fldCharType="separate"/>
      </w:r>
      <w:r w:rsidRPr="00C66C24">
        <w:rPr>
          <w:rFonts w:ascii="Calibri" w:hAnsi="Calibri" w:cs="Calibri"/>
        </w:rPr>
        <w:t>(EU, 2002)</w:t>
      </w:r>
      <w:r w:rsidRPr="00C66C24">
        <w:fldChar w:fldCharType="end"/>
      </w:r>
      <w:r w:rsidRPr="00C66C24">
        <w:t xml:space="preserve">. In addition, data reported to the European Marine Casualty Information Platform (EMCIP), as part of the Directive 2009/18/EC governing the investigation of accidents in the maritime transport sector, provides the most comprehensive overview of lost containers within the EU waters </w:t>
      </w:r>
      <w:r w:rsidRPr="00C66C24">
        <w:fldChar w:fldCharType="begin"/>
      </w:r>
      <w:r w:rsidR="001855E3" w:rsidRPr="00C66C24">
        <w:instrText xml:space="preserve"> ADDIN ZOTERO_ITEM CSL_CITATION {"citationID":"a1e9vaq0pjs","properties":{"formattedCitation":"(EMSA, 2023d)","plainCitation":"(EMSA, 2023d)","noteIndex":0},"citationItems":[{"id":52374,"uris":["http://zotero.org/groups/122386/items/YCHXZJXJ"],"itemData":{"id":52374,"type":"webpage","title":"European Marine Casualty Information Platform – EMCIP","URL":"https://www.emsa.europa.eu/emcip.html","author":[{"literal":"EMSA"}],"issued":{"date-parts":[["2023"]]}}}],"schema":"https://github.com/citation-style-language/schema/raw/master/csl-citation.json"} </w:instrText>
      </w:r>
      <w:r w:rsidRPr="00C66C24">
        <w:fldChar w:fldCharType="separate"/>
      </w:r>
      <w:r w:rsidR="001855E3" w:rsidRPr="00C66C24">
        <w:rPr>
          <w:rFonts w:ascii="Calibri" w:hAnsi="Calibri" w:cs="Calibri"/>
        </w:rPr>
        <w:t xml:space="preserve">(EMSA, </w:t>
      </w:r>
      <w:r w:rsidR="001855E3" w:rsidRPr="60E52959">
        <w:rPr>
          <w:rFonts w:ascii="Calibri" w:hAnsi="Calibri" w:cs="Calibri"/>
        </w:rPr>
        <w:t>2</w:t>
      </w:r>
      <w:r w:rsidR="77A95E41" w:rsidRPr="60E52959">
        <w:rPr>
          <w:rFonts w:ascii="Calibri" w:hAnsi="Calibri" w:cs="Calibri"/>
        </w:rPr>
        <w:t>011</w:t>
      </w:r>
      <w:r w:rsidR="001855E3" w:rsidRPr="00C66C24">
        <w:rPr>
          <w:rFonts w:ascii="Calibri" w:hAnsi="Calibri" w:cs="Calibri"/>
        </w:rPr>
        <w:t>)</w:t>
      </w:r>
      <w:r w:rsidRPr="00C66C24">
        <w:fldChar w:fldCharType="end"/>
      </w:r>
      <w:r w:rsidRPr="00C66C24">
        <w:t xml:space="preserve">. </w:t>
      </w:r>
    </w:p>
    <w:p w14:paraId="57E61813" w14:textId="77777777" w:rsidR="0066097B" w:rsidRPr="00C66C24" w:rsidRDefault="0066097B" w:rsidP="0066097B">
      <w:pPr>
        <w:spacing w:before="0" w:after="0" w:line="259" w:lineRule="auto"/>
        <w:rPr>
          <w:rFonts w:eastAsia="Times New Roman" w:cstheme="minorHAnsi"/>
          <w:color w:val="141624"/>
          <w:lang w:eastAsia="en-IE"/>
        </w:rPr>
      </w:pPr>
    </w:p>
    <w:p w14:paraId="31366679" w14:textId="25FEE3F2" w:rsidR="0066097B" w:rsidRPr="00C66C24" w:rsidRDefault="0066097B" w:rsidP="0060547B">
      <w:pPr>
        <w:pStyle w:val="Heading7"/>
        <w:spacing w:before="0" w:after="120"/>
        <w:ind w:left="714" w:hanging="357"/>
      </w:pPr>
      <w:r w:rsidRPr="00C66C24">
        <w:t>Waste reception at ports</w:t>
      </w:r>
    </w:p>
    <w:p w14:paraId="0F05F412" w14:textId="77777777" w:rsidR="0066097B" w:rsidRPr="00C66C24" w:rsidRDefault="0066097B" w:rsidP="0066097B">
      <w:pPr>
        <w:spacing w:before="0" w:after="0" w:line="259" w:lineRule="auto"/>
        <w:rPr>
          <w:b/>
          <w:bCs/>
        </w:rPr>
      </w:pPr>
      <w:r w:rsidRPr="00C66C24">
        <w:rPr>
          <w:b/>
          <w:bCs/>
        </w:rPr>
        <w:t>Regulatory Framework</w:t>
      </w:r>
    </w:p>
    <w:p w14:paraId="72710E48" w14:textId="77777777" w:rsidR="0066097B" w:rsidRPr="00C66C24" w:rsidRDefault="0066097B" w:rsidP="0066097B">
      <w:pPr>
        <w:spacing w:before="0" w:after="0" w:line="259" w:lineRule="auto"/>
        <w:rPr>
          <w:u w:val="single"/>
        </w:rPr>
      </w:pPr>
      <w:r w:rsidRPr="00C66C24">
        <w:rPr>
          <w:u w:val="single"/>
        </w:rPr>
        <w:t>International framework</w:t>
      </w:r>
    </w:p>
    <w:p w14:paraId="763DE5C0" w14:textId="77777777" w:rsidR="0066097B" w:rsidRPr="00C66C24" w:rsidRDefault="0066097B" w:rsidP="0066097B">
      <w:pPr>
        <w:spacing w:before="0" w:after="0" w:line="259" w:lineRule="auto"/>
      </w:pPr>
      <w:r w:rsidRPr="00C66C24">
        <w:t>The MARPOL Convention and its Annexes contain general discharge prohibitions for a number of pollutants as describe above and sets out the norms and conditions under which certain types of waste can be legally discharged into the marine environment. At the same time, MARPOL requires its contracting parties to provide for facilities in ports and terminals for the reception of the waste and residues from ships. These port reception facilities must be adequate, i.e. capable of receiving the types and quantities of waste from ships normally visiting the port where those facilities are located, without causing undue delay.</w:t>
      </w:r>
    </w:p>
    <w:p w14:paraId="3FA3F1DC" w14:textId="77777777" w:rsidR="0066097B" w:rsidRPr="00C66C24" w:rsidRDefault="0066097B" w:rsidP="0066097B">
      <w:pPr>
        <w:spacing w:before="0" w:after="0" w:line="259" w:lineRule="auto"/>
        <w:rPr>
          <w:rFonts w:eastAsia="Times New Roman" w:cstheme="minorHAnsi"/>
          <w:color w:val="141624"/>
          <w:lang w:eastAsia="en-IE"/>
        </w:rPr>
      </w:pPr>
    </w:p>
    <w:p w14:paraId="0F82492F" w14:textId="77777777" w:rsidR="0066097B" w:rsidRPr="00C66C24" w:rsidRDefault="0066097B" w:rsidP="0066097B">
      <w:pPr>
        <w:spacing w:before="0" w:after="0" w:line="259" w:lineRule="auto"/>
        <w:rPr>
          <w:u w:val="single"/>
        </w:rPr>
      </w:pPr>
      <w:r w:rsidRPr="00C66C24">
        <w:rPr>
          <w:u w:val="single"/>
        </w:rPr>
        <w:t>European Union framework</w:t>
      </w:r>
    </w:p>
    <w:p w14:paraId="143E55C3" w14:textId="77777777" w:rsidR="0066097B" w:rsidRPr="00C66C24" w:rsidDel="000D729D" w:rsidRDefault="0066097B" w:rsidP="0066097B">
      <w:pPr>
        <w:pStyle w:val="paragraph"/>
        <w:spacing w:before="0" w:beforeAutospacing="0" w:after="0" w:afterAutospacing="0" w:line="259" w:lineRule="auto"/>
        <w:jc w:val="both"/>
        <w:rPr>
          <w:rFonts w:asciiTheme="minorHAnsi" w:hAnsiTheme="minorHAnsi" w:cstheme="minorHAnsi"/>
          <w:sz w:val="22"/>
          <w:szCs w:val="22"/>
          <w:lang w:val="en-GB"/>
        </w:rPr>
      </w:pPr>
      <w:r w:rsidRPr="00C66C24" w:rsidDel="000D729D">
        <w:rPr>
          <w:rFonts w:asciiTheme="minorHAnsi" w:eastAsia="ヒラギノ角ゴ Pro W3" w:hAnsiTheme="minorHAnsi"/>
          <w:sz w:val="22"/>
          <w:szCs w:val="22"/>
          <w:lang w:val="en-GB" w:eastAsia="en-US"/>
        </w:rPr>
        <w:t>The PRF Directive was developed with the aim to protect the marine environment against the negative effects from discharges of waste from ships by improving the availability and use of adequate port reception facilities in the Union and the delivery of waste to those facilities. In</w:t>
      </w:r>
      <w:r w:rsidRPr="00C66C24" w:rsidDel="00F512E1">
        <w:rPr>
          <w:rFonts w:asciiTheme="minorHAnsi" w:eastAsia="ヒラギノ角ゴ Pro W3" w:hAnsiTheme="minorHAnsi"/>
          <w:sz w:val="22"/>
          <w:szCs w:val="22"/>
          <w:lang w:val="en-GB" w:eastAsia="en-US"/>
        </w:rPr>
        <w:t xml:space="preserve"> </w:t>
      </w:r>
      <w:r w:rsidRPr="00C66C24" w:rsidDel="000D729D">
        <w:rPr>
          <w:rFonts w:asciiTheme="minorHAnsi" w:eastAsia="ヒラギノ角ゴ Pro W3" w:hAnsiTheme="minorHAnsi"/>
          <w:sz w:val="22"/>
          <w:szCs w:val="22"/>
          <w:lang w:val="en-GB" w:eastAsia="en-US"/>
        </w:rPr>
        <w:t xml:space="preserve">2021, </w:t>
      </w:r>
      <w:r w:rsidRPr="00C66C24" w:rsidDel="000D729D">
        <w:rPr>
          <w:rFonts w:asciiTheme="minorHAnsi" w:eastAsia="ヒラギノ角ゴ Pro W3" w:hAnsiTheme="minorHAnsi" w:cstheme="minorBidi"/>
          <w:sz w:val="22"/>
          <w:szCs w:val="22"/>
          <w:lang w:val="en-GB" w:eastAsia="en-US"/>
        </w:rPr>
        <w:t xml:space="preserve">four  implementing regulations </w:t>
      </w:r>
      <w:r w:rsidRPr="00C66C24">
        <w:rPr>
          <w:rFonts w:asciiTheme="minorHAnsi" w:eastAsia="ヒラギノ角ゴ Pro W3" w:hAnsiTheme="minorHAnsi" w:cstheme="minorBidi"/>
          <w:sz w:val="22"/>
          <w:szCs w:val="22"/>
          <w:lang w:val="en-GB" w:eastAsia="en-US"/>
        </w:rPr>
        <w:t>were</w:t>
      </w:r>
      <w:r w:rsidRPr="00C66C24" w:rsidDel="000D729D">
        <w:rPr>
          <w:rFonts w:asciiTheme="minorHAnsi" w:eastAsia="ヒラギノ角ゴ Pro W3" w:hAnsiTheme="minorHAnsi" w:cstheme="minorBidi"/>
          <w:sz w:val="22"/>
          <w:szCs w:val="22"/>
          <w:lang w:val="en-GB" w:eastAsia="en-US"/>
        </w:rPr>
        <w:t xml:space="preserve"> adopted</w:t>
      </w:r>
      <w:r w:rsidRPr="00C66C24">
        <w:rPr>
          <w:rFonts w:asciiTheme="minorHAnsi" w:eastAsia="ヒラギノ角ゴ Pro W3" w:hAnsiTheme="minorHAnsi" w:cstheme="minorBidi"/>
          <w:sz w:val="22"/>
          <w:szCs w:val="22"/>
          <w:lang w:val="en-GB" w:eastAsia="en-US"/>
        </w:rPr>
        <w:t xml:space="preserve"> to</w:t>
      </w:r>
      <w:r w:rsidRPr="00C66C24" w:rsidDel="00F512E1">
        <w:rPr>
          <w:rFonts w:asciiTheme="minorHAnsi" w:eastAsia="ヒラギノ角ゴ Pro W3" w:hAnsiTheme="minorHAnsi" w:cstheme="minorBidi"/>
          <w:sz w:val="22"/>
          <w:szCs w:val="22"/>
          <w:lang w:val="en-GB" w:eastAsia="en-US"/>
        </w:rPr>
        <w:t xml:space="preserve"> </w:t>
      </w:r>
      <w:r w:rsidRPr="00C66C24" w:rsidDel="000D729D">
        <w:rPr>
          <w:rFonts w:asciiTheme="minorHAnsi" w:eastAsia="ヒラギノ角ゴ Pro W3" w:hAnsiTheme="minorHAnsi" w:cstheme="minorBidi"/>
          <w:sz w:val="22"/>
          <w:szCs w:val="22"/>
          <w:lang w:val="en-GB" w:eastAsia="en-US"/>
        </w:rPr>
        <w:t>include specific definitions on the</w:t>
      </w:r>
      <w:r w:rsidRPr="00C66C24" w:rsidDel="000D729D">
        <w:rPr>
          <w:rFonts w:asciiTheme="minorHAnsi" w:hAnsiTheme="minorHAnsi" w:cstheme="minorHAnsi"/>
          <w:sz w:val="22"/>
          <w:szCs w:val="22"/>
          <w:lang w:val="en-GB"/>
        </w:rPr>
        <w:t xml:space="preserve"> method to check if a ship has sufficient storage capacity for waste; the union risk-based targeting mechanism to select which ships to inspect; the criteria for determining that a ship produces reduced quantities of waste and manages its waste in a sustainable and environmentally sound manner, and; the monitoring data methodologies and the format for reporting passively fished waste.</w:t>
      </w:r>
    </w:p>
    <w:p w14:paraId="366CCA78" w14:textId="77777777" w:rsidR="0066097B" w:rsidRPr="00C66C24" w:rsidDel="000D729D" w:rsidRDefault="0066097B" w:rsidP="0066097B">
      <w:pPr>
        <w:spacing w:before="0" w:after="0" w:line="259" w:lineRule="auto"/>
      </w:pPr>
      <w:r w:rsidRPr="00C66C24" w:rsidDel="000D729D">
        <w:t xml:space="preserve">The PRF Directive also encourages lower waste generation and sustainable handling by ships. </w:t>
      </w:r>
      <w:r w:rsidRPr="00C66C24">
        <w:t>Ships</w:t>
      </w:r>
      <w:r w:rsidRPr="00C66C24" w:rsidDel="000D729D">
        <w:t xml:space="preserve"> must fulfil at least one of the mandatory criteria</w:t>
      </w:r>
      <w:r w:rsidRPr="00C66C24">
        <w:t xml:space="preserve"> (either an</w:t>
      </w:r>
      <w:r w:rsidRPr="00C66C24" w:rsidDel="000D729D">
        <w:t xml:space="preserve"> on-board waste segregation or adopting environmentally sustainable purchasing policies</w:t>
      </w:r>
      <w:r w:rsidRPr="00C66C24">
        <w:t>) in order to have a reduced waste fee in EU ports</w:t>
      </w:r>
      <w:r w:rsidRPr="00C66C24" w:rsidDel="000D729D">
        <w:t>. The Directive also stipulates a minimum annual inspection requirement for vessels, allowing PRF inspectors to record waste disposal operations, which can contribute to the analysis of waste management at sea.</w:t>
      </w:r>
    </w:p>
    <w:p w14:paraId="06A03304" w14:textId="77777777" w:rsidR="0066097B" w:rsidRPr="00C66C24" w:rsidRDefault="0066097B" w:rsidP="0066097B">
      <w:pPr>
        <w:spacing w:before="0" w:after="0" w:line="259" w:lineRule="auto"/>
        <w:rPr>
          <w:b/>
          <w:bCs/>
        </w:rPr>
      </w:pPr>
    </w:p>
    <w:p w14:paraId="4AD1D6A0" w14:textId="77777777" w:rsidR="0066097B" w:rsidRPr="00C66C24" w:rsidDel="000D729D" w:rsidRDefault="0066097B" w:rsidP="0066097B">
      <w:pPr>
        <w:spacing w:before="0" w:after="0" w:line="259" w:lineRule="auto"/>
        <w:rPr>
          <w:b/>
          <w:bCs/>
        </w:rPr>
      </w:pPr>
      <w:r w:rsidRPr="00C66C24" w:rsidDel="000D729D">
        <w:rPr>
          <w:b/>
          <w:bCs/>
        </w:rPr>
        <w:t>Monitoring and Reporting Framework</w:t>
      </w:r>
    </w:p>
    <w:p w14:paraId="6F239E79" w14:textId="77777777" w:rsidR="0066097B" w:rsidRPr="00C66C24" w:rsidDel="000D729D" w:rsidRDefault="0066097B" w:rsidP="0066097B">
      <w:pPr>
        <w:spacing w:before="0" w:after="0" w:line="259" w:lineRule="auto"/>
      </w:pPr>
      <w:r w:rsidRPr="00C66C24" w:rsidDel="000D729D">
        <w:t xml:space="preserve">The PRF Directive mandates the electronic reporting of waste receipts from ships through the SafeSeaNet system in </w:t>
      </w:r>
      <w:r w:rsidRPr="00C66C24">
        <w:t>the EU</w:t>
      </w:r>
      <w:r w:rsidRPr="00C66C24" w:rsidDel="000D729D">
        <w:t xml:space="preserve">. The waste receipts provide valuable source of information on different waste </w:t>
      </w:r>
      <w:r w:rsidRPr="00C66C24">
        <w:t>types generated by ships and delivered at EU ports</w:t>
      </w:r>
      <w:r w:rsidRPr="00C66C24" w:rsidDel="000D729D">
        <w:t xml:space="preserve">. </w:t>
      </w:r>
      <w:r w:rsidRPr="00C66C24">
        <w:t>The</w:t>
      </w:r>
      <w:r w:rsidRPr="00C66C24" w:rsidDel="000D729D">
        <w:t xml:space="preserve"> electronic reporting of waste receipts started in September 2022. </w:t>
      </w:r>
    </w:p>
    <w:p w14:paraId="44838CCE" w14:textId="77777777" w:rsidR="0066097B" w:rsidRPr="00C66C24" w:rsidRDefault="0066097B" w:rsidP="0066097B">
      <w:pPr>
        <w:spacing w:before="0" w:after="0" w:line="259" w:lineRule="auto"/>
        <w:rPr>
          <w:rFonts w:eastAsia="Times New Roman" w:cstheme="minorHAnsi"/>
          <w:color w:val="141624"/>
          <w:lang w:eastAsia="en-IE"/>
        </w:rPr>
      </w:pPr>
    </w:p>
    <w:p w14:paraId="05BD96A1" w14:textId="77777777" w:rsidR="0066097B" w:rsidRPr="00C66C24" w:rsidRDefault="0066097B" w:rsidP="0060547B">
      <w:pPr>
        <w:pStyle w:val="Heading7"/>
        <w:spacing w:before="0" w:after="120"/>
        <w:ind w:left="714" w:hanging="357"/>
      </w:pPr>
      <w:bookmarkStart w:id="282" w:name="_Toc152054897"/>
      <w:bookmarkStart w:id="283" w:name="_Ref157689871"/>
      <w:r w:rsidRPr="00C66C24">
        <w:t>Ship Recycling</w:t>
      </w:r>
      <w:bookmarkEnd w:id="282"/>
      <w:bookmarkEnd w:id="283"/>
    </w:p>
    <w:p w14:paraId="55483F28" w14:textId="77777777" w:rsidR="0066097B" w:rsidRPr="00C66C24" w:rsidRDefault="0066097B" w:rsidP="0066097B">
      <w:pPr>
        <w:spacing w:before="0" w:after="0" w:line="259" w:lineRule="auto"/>
        <w:rPr>
          <w:b/>
          <w:bCs/>
        </w:rPr>
      </w:pPr>
      <w:r w:rsidRPr="00C66C24">
        <w:rPr>
          <w:b/>
          <w:bCs/>
        </w:rPr>
        <w:t>Regulatory Framework</w:t>
      </w:r>
    </w:p>
    <w:p w14:paraId="4FABC2DD" w14:textId="77777777" w:rsidR="0066097B" w:rsidRPr="00C66C24" w:rsidRDefault="0066097B" w:rsidP="0066097B">
      <w:pPr>
        <w:spacing w:before="0" w:after="0" w:line="259" w:lineRule="auto"/>
        <w:rPr>
          <w:u w:val="single"/>
        </w:rPr>
      </w:pPr>
      <w:r w:rsidRPr="00C66C24">
        <w:rPr>
          <w:u w:val="single"/>
        </w:rPr>
        <w:t>International framework</w:t>
      </w:r>
    </w:p>
    <w:p w14:paraId="0B5F7041" w14:textId="77777777" w:rsidR="0066097B" w:rsidRPr="00C66C24" w:rsidRDefault="0066097B" w:rsidP="0066097B">
      <w:pPr>
        <w:spacing w:before="0" w:after="0" w:line="259" w:lineRule="auto"/>
        <w:rPr>
          <w:rFonts w:eastAsiaTheme="minorEastAsia"/>
        </w:rPr>
      </w:pPr>
      <w:r w:rsidRPr="00C66C24">
        <w:rPr>
          <w:rFonts w:eastAsia="Times New Roman" w:cstheme="minorBidi"/>
          <w:color w:val="141624"/>
          <w:lang w:eastAsia="en-IE"/>
        </w:rPr>
        <w:t xml:space="preserve">The Hong Kong International Convention for the Safe and Environmentally Sound Recycling of Ships, 2009 (the Hong Kong Convention, HKC), adopted in May 2009, aims at ensuring that ships do not pose any unnecessary risks to human health, safety and to the environment, when being recycled after reaching the end of their operational lives. This also addresses issues such as the ships going for recycling may contain environmentally hazardous substances such as asbestos, heavy metals, hydrocarbons, ozone-depleting substances and others. It also addresses concerns raised about the working and environmental conditions at many of the world's ship recycling locations. </w:t>
      </w:r>
      <w:r w:rsidRPr="00C66C24">
        <w:t>The HKC applies to:</w:t>
      </w:r>
    </w:p>
    <w:p w14:paraId="67622A87" w14:textId="77777777" w:rsidR="0066097B" w:rsidRPr="00C66C24" w:rsidRDefault="0066097B" w:rsidP="00B14BA4">
      <w:pPr>
        <w:pStyle w:val="ListParagraph"/>
        <w:numPr>
          <w:ilvl w:val="0"/>
          <w:numId w:val="11"/>
        </w:numPr>
        <w:spacing w:before="0" w:after="0" w:line="259" w:lineRule="auto"/>
        <w:contextualSpacing w:val="0"/>
        <w:jc w:val="left"/>
        <w:textAlignment w:val="baseline"/>
        <w:rPr>
          <w:lang w:val="en-GB"/>
        </w:rPr>
      </w:pPr>
      <w:r w:rsidRPr="00C66C24">
        <w:rPr>
          <w:lang w:val="en-GB"/>
        </w:rPr>
        <w:t xml:space="preserve">ships entitled to fly the flag of a Party or operating under its authority; </w:t>
      </w:r>
    </w:p>
    <w:p w14:paraId="3C0670BC" w14:textId="77777777" w:rsidR="0066097B" w:rsidRPr="00C66C24" w:rsidRDefault="0066097B" w:rsidP="00B14BA4">
      <w:pPr>
        <w:pStyle w:val="ListParagraph"/>
        <w:numPr>
          <w:ilvl w:val="0"/>
          <w:numId w:val="11"/>
        </w:numPr>
        <w:spacing w:before="0" w:after="0" w:line="259" w:lineRule="auto"/>
        <w:contextualSpacing w:val="0"/>
        <w:jc w:val="left"/>
        <w:textAlignment w:val="baseline"/>
        <w:rPr>
          <w:lang w:val="en-GB"/>
        </w:rPr>
      </w:pPr>
      <w:r w:rsidRPr="00C66C24">
        <w:rPr>
          <w:lang w:val="en-GB"/>
        </w:rPr>
        <w:t>ships of 500 GT and above or to ships operating throughout their life only in waters subject to the sovereignty or jurisdiction of the State whose flag the ship is entitled to fly. and,</w:t>
      </w:r>
    </w:p>
    <w:p w14:paraId="5E1FA128" w14:textId="77777777" w:rsidR="0066097B" w:rsidRPr="00C66C24" w:rsidRDefault="0066097B" w:rsidP="00B14BA4">
      <w:pPr>
        <w:pStyle w:val="ListParagraph"/>
        <w:numPr>
          <w:ilvl w:val="0"/>
          <w:numId w:val="11"/>
        </w:numPr>
        <w:spacing w:before="0" w:after="0" w:line="259" w:lineRule="auto"/>
        <w:contextualSpacing w:val="0"/>
        <w:jc w:val="left"/>
        <w:textAlignment w:val="baseline"/>
        <w:rPr>
          <w:lang w:val="en-GB"/>
        </w:rPr>
      </w:pPr>
      <w:r w:rsidRPr="00C66C24">
        <w:rPr>
          <w:lang w:val="en-GB"/>
        </w:rPr>
        <w:t xml:space="preserve">Ship Recycling Facilities operating under the jurisdiction of a Party. </w:t>
      </w:r>
    </w:p>
    <w:p w14:paraId="7E765298" w14:textId="3E7B756F" w:rsidR="0066097B" w:rsidRPr="00C66C24" w:rsidRDefault="0066097B" w:rsidP="0066097B">
      <w:pPr>
        <w:pStyle w:val="NormalWeb"/>
        <w:shd w:val="clear" w:color="auto" w:fill="FFFFFF" w:themeFill="background1"/>
        <w:spacing w:before="0" w:beforeAutospacing="0" w:after="0" w:afterAutospacing="0" w:line="259" w:lineRule="auto"/>
        <w:jc w:val="both"/>
        <w:rPr>
          <w:rFonts w:asciiTheme="minorHAnsi" w:hAnsiTheme="minorHAnsi" w:cstheme="minorBidi"/>
          <w:color w:val="141624"/>
          <w:sz w:val="22"/>
          <w:szCs w:val="22"/>
          <w:lang w:eastAsia="en-IE"/>
        </w:rPr>
      </w:pPr>
      <w:r w:rsidRPr="00C66C24">
        <w:rPr>
          <w:rFonts w:asciiTheme="minorHAnsi" w:hAnsiTheme="minorHAnsi" w:cstheme="minorBidi"/>
          <w:color w:val="212529"/>
          <w:sz w:val="22"/>
          <w:szCs w:val="22"/>
        </w:rPr>
        <w:t xml:space="preserve">The Hong Kong Convention (ratified by 11 EU Member States by the beginning of 2024) will officially enter into force on June 26, </w:t>
      </w:r>
      <w:proofErr w:type="gramStart"/>
      <w:r w:rsidRPr="00C66C24">
        <w:rPr>
          <w:rFonts w:asciiTheme="minorHAnsi" w:hAnsiTheme="minorHAnsi" w:cstheme="minorBidi"/>
          <w:color w:val="212529"/>
          <w:sz w:val="22"/>
          <w:szCs w:val="22"/>
        </w:rPr>
        <w:t>2025</w:t>
      </w:r>
      <w:proofErr w:type="gramEnd"/>
      <w:r w:rsidRPr="00C66C24">
        <w:rPr>
          <w:rFonts w:asciiTheme="minorHAnsi" w:hAnsiTheme="minorHAnsi" w:cstheme="minorBidi"/>
          <w:color w:val="212529"/>
          <w:sz w:val="22"/>
          <w:szCs w:val="22"/>
        </w:rPr>
        <w:t xml:space="preserve"> and will </w:t>
      </w:r>
      <w:r w:rsidRPr="00C66C24">
        <w:rPr>
          <w:rFonts w:asciiTheme="minorHAnsi" w:hAnsiTheme="minorHAnsi" w:cstheme="minorBidi"/>
          <w:color w:val="141624"/>
          <w:sz w:val="22"/>
          <w:szCs w:val="22"/>
          <w:lang w:eastAsia="en-IE"/>
        </w:rPr>
        <w:t>cover:</w:t>
      </w:r>
    </w:p>
    <w:p w14:paraId="1C4B93F9" w14:textId="77777777" w:rsidR="0066097B" w:rsidRPr="00C66C24" w:rsidRDefault="0066097B" w:rsidP="00B14BA4">
      <w:pPr>
        <w:pStyle w:val="ListParagraph"/>
        <w:numPr>
          <w:ilvl w:val="0"/>
          <w:numId w:val="10"/>
        </w:numPr>
        <w:spacing w:before="0" w:after="0" w:line="259" w:lineRule="auto"/>
        <w:contextualSpacing w:val="0"/>
        <w:rPr>
          <w:rFonts w:eastAsia="Times New Roman" w:cstheme="minorHAnsi"/>
          <w:color w:val="141624"/>
          <w:lang w:val="en-GB" w:eastAsia="en-IE"/>
        </w:rPr>
      </w:pPr>
      <w:r w:rsidRPr="00C66C24">
        <w:rPr>
          <w:rFonts w:eastAsia="Times New Roman" w:cstheme="minorHAnsi"/>
          <w:color w:val="141624"/>
          <w:lang w:val="en-GB" w:eastAsia="en-IE"/>
        </w:rPr>
        <w:t xml:space="preserve">the design, construction, operation and preparation of ships so as to facilitate safe and environmentally sound recycling without compromising the safety and operational efficiency of ships; </w:t>
      </w:r>
    </w:p>
    <w:p w14:paraId="1A786996" w14:textId="77777777" w:rsidR="0066097B" w:rsidRPr="00C66C24" w:rsidRDefault="0066097B" w:rsidP="00B14BA4">
      <w:pPr>
        <w:pStyle w:val="ListParagraph"/>
        <w:numPr>
          <w:ilvl w:val="0"/>
          <w:numId w:val="10"/>
        </w:numPr>
        <w:spacing w:before="0" w:after="0" w:line="259" w:lineRule="auto"/>
        <w:contextualSpacing w:val="0"/>
        <w:rPr>
          <w:rFonts w:eastAsia="Times New Roman" w:cstheme="minorHAnsi"/>
          <w:color w:val="141624"/>
          <w:lang w:val="en-GB" w:eastAsia="en-IE"/>
        </w:rPr>
      </w:pPr>
      <w:r w:rsidRPr="00C66C24">
        <w:rPr>
          <w:rFonts w:eastAsia="Times New Roman" w:cstheme="minorHAnsi"/>
          <w:color w:val="141624"/>
          <w:lang w:val="en-GB" w:eastAsia="en-IE"/>
        </w:rPr>
        <w:t>the operation of ship recycling facilities in a safe and environmentally sound manner, and;</w:t>
      </w:r>
    </w:p>
    <w:p w14:paraId="187766D4" w14:textId="77777777" w:rsidR="0066097B" w:rsidRPr="00C66C24" w:rsidRDefault="0066097B" w:rsidP="00B14BA4">
      <w:pPr>
        <w:pStyle w:val="ListParagraph"/>
        <w:numPr>
          <w:ilvl w:val="0"/>
          <w:numId w:val="10"/>
        </w:numPr>
        <w:spacing w:before="0" w:after="0" w:line="259" w:lineRule="auto"/>
        <w:contextualSpacing w:val="0"/>
        <w:rPr>
          <w:rFonts w:eastAsia="Times New Roman" w:cstheme="minorHAnsi"/>
          <w:color w:val="141624"/>
          <w:lang w:val="en-GB" w:eastAsia="en-IE"/>
        </w:rPr>
      </w:pPr>
      <w:r w:rsidRPr="00C66C24">
        <w:rPr>
          <w:rFonts w:eastAsia="Times New Roman" w:cstheme="minorHAnsi"/>
          <w:color w:val="141624"/>
          <w:lang w:val="en-GB" w:eastAsia="en-IE"/>
        </w:rPr>
        <w:t>the establishment of an appropriate enforcement mechanism for ship recycling, incorporating certification and reporting requirements.</w:t>
      </w:r>
    </w:p>
    <w:p w14:paraId="37B0837F" w14:textId="77777777" w:rsidR="0066097B" w:rsidRPr="00C66C24" w:rsidRDefault="0066097B" w:rsidP="0066097B">
      <w:pPr>
        <w:spacing w:before="0" w:after="0" w:line="259" w:lineRule="auto"/>
        <w:rPr>
          <w:rFonts w:eastAsia="Times New Roman" w:cstheme="minorBidi"/>
          <w:color w:val="141624"/>
          <w:lang w:eastAsia="en-IE"/>
        </w:rPr>
      </w:pPr>
      <w:r w:rsidRPr="00C66C24">
        <w:rPr>
          <w:rFonts w:eastAsia="Times New Roman" w:cstheme="minorBidi"/>
          <w:color w:val="141624"/>
          <w:lang w:eastAsia="en-IE"/>
        </w:rPr>
        <w:t xml:space="preserve">The Convention, requires that ships to be sent for recycling will be required to carry a ship specific inventory of hazardous materials (IHM), based on a list of hazardous materials included that are contained in an appendix to in the Convention. </w:t>
      </w:r>
    </w:p>
    <w:p w14:paraId="09B1669F" w14:textId="77777777" w:rsidR="0066097B" w:rsidRPr="00C66C24" w:rsidRDefault="0066097B" w:rsidP="0066097B">
      <w:pPr>
        <w:spacing w:before="0" w:after="0" w:line="259" w:lineRule="auto"/>
        <w:rPr>
          <w:u w:val="single"/>
        </w:rPr>
      </w:pPr>
    </w:p>
    <w:p w14:paraId="75BAA02D" w14:textId="77777777" w:rsidR="0066097B" w:rsidRPr="00C66C24" w:rsidRDefault="0066097B" w:rsidP="0066097B">
      <w:pPr>
        <w:spacing w:before="0" w:after="0" w:line="259" w:lineRule="auto"/>
        <w:rPr>
          <w:u w:val="single"/>
        </w:rPr>
      </w:pPr>
      <w:r w:rsidRPr="00C66C24">
        <w:rPr>
          <w:u w:val="single"/>
        </w:rPr>
        <w:t>European Union Framework</w:t>
      </w:r>
    </w:p>
    <w:p w14:paraId="139FC3F4" w14:textId="2154F7D8" w:rsidR="0066097B" w:rsidRPr="00C66C24" w:rsidRDefault="0066097B" w:rsidP="0066097B">
      <w:pPr>
        <w:spacing w:before="0" w:after="0" w:line="259" w:lineRule="auto"/>
        <w:textAlignment w:val="baseline"/>
        <w:rPr>
          <w:rFonts w:eastAsia="Times New Roman" w:cstheme="minorBidi"/>
          <w:color w:val="141624"/>
          <w:lang w:eastAsia="en-IE"/>
        </w:rPr>
      </w:pPr>
      <w:r w:rsidRPr="00C66C24">
        <w:rPr>
          <w:rFonts w:eastAsia="Times New Roman" w:cstheme="minorBidi"/>
          <w:color w:val="141624"/>
          <w:lang w:eastAsia="en-IE"/>
        </w:rPr>
        <w:t xml:space="preserve">Regulation (EU) No 1257/2013 </w:t>
      </w:r>
      <w:r w:rsidRPr="00C66C24">
        <w:rPr>
          <w:rFonts w:eastAsia="Times New Roman" w:cstheme="minorBidi"/>
          <w:color w:val="141624"/>
          <w:lang w:eastAsia="en-IE"/>
        </w:rPr>
        <w:fldChar w:fldCharType="begin"/>
      </w:r>
      <w:r w:rsidRPr="00C66C24">
        <w:rPr>
          <w:rFonts w:eastAsia="Times New Roman" w:cstheme="minorBidi"/>
          <w:color w:val="141624"/>
          <w:lang w:eastAsia="en-IE"/>
        </w:rPr>
        <w:instrText xml:space="preserve"> ADDIN ZOTERO_ITEM CSL_CITATION {"citationID":"3FxRcCgJ","properties":{"formattedCitation":"(EU, 2013)","plainCitation":"(EU, 2013)","noteIndex":0},"citationItems":[{"id":29350,"uris":["http://zotero.org/groups/122386/items/Q7PYL5IF"],"itemData":{"id":29350,"type":"document","title":"Regulation (EU) No 1257/2013 of the European Parliament and of the Council of 20 November 2013 on ship recycling and amending Regulation (EC) No 1013/2006 and Directive 2009/16/EC; OJ L 330, 10.12.2013, p. 1–20","URL":"https://eur-lex.europa.eu/legal-content/EN/ALL/?uri=CELEX:32013R1257","author":[{"family":"EU","given":""}],"issued":{"date-parts":[["2013"]]}}}],"schema":"https://github.com/citation-style-language/schema/raw/master/csl-citation.json"} </w:instrText>
      </w:r>
      <w:r w:rsidRPr="00C66C24">
        <w:rPr>
          <w:rFonts w:eastAsia="Times New Roman" w:cstheme="minorBidi"/>
          <w:color w:val="141624"/>
          <w:lang w:eastAsia="en-IE"/>
        </w:rPr>
        <w:fldChar w:fldCharType="separate"/>
      </w:r>
      <w:r w:rsidRPr="00C66C24">
        <w:rPr>
          <w:rFonts w:eastAsia="Times New Roman" w:cstheme="minorBidi"/>
          <w:color w:val="141624"/>
          <w:lang w:eastAsia="en-IE"/>
        </w:rPr>
        <w:t>(EU, 2013)</w:t>
      </w:r>
      <w:r w:rsidRPr="00C66C24">
        <w:rPr>
          <w:rFonts w:eastAsia="Times New Roman" w:cstheme="minorBidi"/>
          <w:color w:val="141624"/>
          <w:lang w:eastAsia="en-IE"/>
        </w:rPr>
        <w:fldChar w:fldCharType="end"/>
      </w:r>
      <w:r w:rsidRPr="00C66C24">
        <w:rPr>
          <w:rFonts w:eastAsia="Times New Roman" w:cstheme="minorBidi"/>
          <w:color w:val="141624"/>
          <w:lang w:eastAsia="en-IE"/>
        </w:rPr>
        <w:t xml:space="preserve"> on ship recycling (</w:t>
      </w:r>
      <w:r w:rsidRPr="00C66C24">
        <w:rPr>
          <w:color w:val="141624"/>
        </w:rPr>
        <w:t>SRR</w:t>
      </w:r>
      <w:r w:rsidRPr="00C66C24">
        <w:rPr>
          <w:rFonts w:eastAsia="Times New Roman" w:cstheme="minorBidi"/>
          <w:color w:val="141624"/>
          <w:lang w:eastAsia="en-IE"/>
        </w:rPr>
        <w:t>) aims to prevent, reduce and minimise accidents, injuries and other negative effects on human health and the environment when ships are recycled and the hazardous waste they contain is removed. It sets out the following responsibilities for ship owners and for recycling facilities both in the EU and in other third countries:</w:t>
      </w:r>
    </w:p>
    <w:p w14:paraId="732D26CD" w14:textId="53B4EF1C" w:rsidR="0066097B" w:rsidRPr="00C66C24" w:rsidRDefault="0066097B" w:rsidP="00B14BA4">
      <w:pPr>
        <w:pStyle w:val="ListParagraph"/>
        <w:numPr>
          <w:ilvl w:val="0"/>
          <w:numId w:val="11"/>
        </w:numPr>
        <w:shd w:val="clear" w:color="auto" w:fill="FFFFFF" w:themeFill="background1"/>
        <w:spacing w:before="0" w:after="0" w:line="259" w:lineRule="auto"/>
        <w:contextualSpacing w:val="0"/>
        <w:rPr>
          <w:rFonts w:eastAsiaTheme="minorEastAsia" w:cstheme="minorBidi"/>
          <w:szCs w:val="22"/>
          <w:lang w:val="en-GB"/>
        </w:rPr>
      </w:pPr>
      <w:r w:rsidRPr="00C66C24">
        <w:rPr>
          <w:rFonts w:eastAsia="Times New Roman" w:cstheme="minorBidi"/>
          <w:color w:val="141624"/>
          <w:lang w:val="en-GB" w:eastAsia="en-IE"/>
        </w:rPr>
        <w:t>Every new and existing ship flagged to an EU MS has to have on board an </w:t>
      </w:r>
      <w:r w:rsidRPr="00C66C24">
        <w:rPr>
          <w:rFonts w:eastAsia="Times New Roman"/>
          <w:color w:val="141624"/>
          <w:lang w:val="en-GB" w:eastAsia="en-IE"/>
        </w:rPr>
        <w:t>inventory of the hazardous materials</w:t>
      </w:r>
      <w:r w:rsidRPr="00C66C24">
        <w:rPr>
          <w:rStyle w:val="FootnoteReference"/>
          <w:lang w:val="en-GB"/>
        </w:rPr>
        <w:footnoteReference w:id="52"/>
      </w:r>
      <w:r w:rsidRPr="00C66C24">
        <w:rPr>
          <w:rFonts w:eastAsia="Times New Roman"/>
          <w:color w:val="141624"/>
          <w:lang w:val="en-GB" w:eastAsia="en-IE"/>
        </w:rPr>
        <w:t xml:space="preserve"> </w:t>
      </w:r>
    </w:p>
    <w:p w14:paraId="26368B66" w14:textId="5F45F69D" w:rsidR="0066097B" w:rsidRPr="00C66C24" w:rsidRDefault="0066097B" w:rsidP="00B14BA4">
      <w:pPr>
        <w:numPr>
          <w:ilvl w:val="0"/>
          <w:numId w:val="12"/>
        </w:numPr>
        <w:shd w:val="clear" w:color="auto" w:fill="FFFFFF" w:themeFill="background1"/>
        <w:spacing w:before="0" w:after="0" w:line="259" w:lineRule="auto"/>
        <w:rPr>
          <w:rFonts w:eastAsia="Times New Roman" w:cstheme="minorBidi"/>
          <w:color w:val="141624"/>
          <w:lang w:eastAsia="en-IE"/>
        </w:rPr>
      </w:pPr>
      <w:r w:rsidRPr="00C66C24">
        <w:rPr>
          <w:rFonts w:eastAsia="Times New Roman" w:cstheme="minorBidi"/>
          <w:color w:val="141624"/>
          <w:lang w:eastAsia="en-IE"/>
        </w:rPr>
        <w:t>Before a ship flagged to an EU Member State is recycled, its owner must provide the facility carrying out the work with specific information about the vessel and that facility should prepare a ship recycling plan. This, for instance, identifies the type and amount of hazardous materials and waste that will be generated from the obsolete vessel.</w:t>
      </w:r>
    </w:p>
    <w:p w14:paraId="158E8486" w14:textId="77777777" w:rsidR="0066097B" w:rsidRPr="00C66C24" w:rsidRDefault="0066097B" w:rsidP="00B14BA4">
      <w:pPr>
        <w:numPr>
          <w:ilvl w:val="0"/>
          <w:numId w:val="12"/>
        </w:numPr>
        <w:shd w:val="clear" w:color="auto" w:fill="FFFFFF" w:themeFill="background1"/>
        <w:spacing w:before="0" w:after="0" w:line="259" w:lineRule="auto"/>
        <w:rPr>
          <w:rFonts w:eastAsia="Times New Roman" w:cstheme="minorBidi"/>
          <w:color w:val="141624"/>
          <w:lang w:eastAsia="en-IE"/>
        </w:rPr>
      </w:pPr>
      <w:r w:rsidRPr="00C66C24">
        <w:rPr>
          <w:rFonts w:eastAsia="Times New Roman" w:cstheme="minorBidi"/>
          <w:color w:val="141624"/>
          <w:lang w:eastAsia="en-IE"/>
        </w:rPr>
        <w:t>A ship flagged to an EU MS may only be recycled at facilities listed on the EU </w:t>
      </w:r>
      <w:hyperlink r:id="rId227">
        <w:r w:rsidRPr="00C66C24">
          <w:rPr>
            <w:rFonts w:eastAsia="Times New Roman"/>
            <w:color w:val="141624"/>
            <w:lang w:eastAsia="en-IE"/>
          </w:rPr>
          <w:t>List of facilities</w:t>
        </w:r>
      </w:hyperlink>
      <w:r w:rsidRPr="00C66C24">
        <w:rPr>
          <w:rFonts w:eastAsia="Times New Roman" w:cstheme="minorBidi"/>
          <w:color w:val="141624"/>
          <w:lang w:eastAsia="en-IE"/>
        </w:rPr>
        <w:t>, which was established by Commission Implementing Decision (EU) </w:t>
      </w:r>
      <w:hyperlink r:id="rId228">
        <w:r w:rsidRPr="00C66C24">
          <w:rPr>
            <w:rFonts w:eastAsia="Times New Roman"/>
            <w:color w:val="141624"/>
            <w:lang w:eastAsia="en-IE"/>
          </w:rPr>
          <w:t>2016/2323</w:t>
        </w:r>
      </w:hyperlink>
      <w:r w:rsidRPr="00C66C24">
        <w:rPr>
          <w:rFonts w:eastAsia="Times New Roman" w:cstheme="minorBidi"/>
          <w:color w:val="141624"/>
          <w:lang w:eastAsia="en-IE"/>
        </w:rPr>
        <w:t>. The facilities may be located in the EU or in non-EU countries. They must comply with a series of requirements related to workers' safety and environmental protection.</w:t>
      </w:r>
    </w:p>
    <w:p w14:paraId="177ED290" w14:textId="77777777" w:rsidR="0066097B" w:rsidRPr="00C66C24" w:rsidRDefault="0066097B" w:rsidP="00B14BA4">
      <w:pPr>
        <w:numPr>
          <w:ilvl w:val="0"/>
          <w:numId w:val="12"/>
        </w:numPr>
        <w:shd w:val="clear" w:color="auto" w:fill="FFFFFF"/>
        <w:spacing w:before="0" w:after="0" w:line="259" w:lineRule="auto"/>
        <w:rPr>
          <w:rFonts w:eastAsia="Times New Roman" w:cstheme="minorBidi"/>
          <w:color w:val="141624"/>
          <w:lang w:eastAsia="en-IE"/>
        </w:rPr>
      </w:pPr>
      <w:r w:rsidRPr="00C66C24">
        <w:rPr>
          <w:rFonts w:eastAsia="Times New Roman" w:cstheme="minorBidi"/>
          <w:color w:val="141624"/>
          <w:lang w:eastAsia="en-IE"/>
        </w:rPr>
        <w:t>These requirements are designed to prevent health risks to the workers involved and the neighbouring population and to minimise any adverse effects on the environment. They also provide for specific training and protective equipment for employees dismantling the vessels and require a record to be kept of any incidents or accidents.</w:t>
      </w:r>
    </w:p>
    <w:p w14:paraId="77609588" w14:textId="77777777" w:rsidR="0066097B" w:rsidRPr="00C66C24" w:rsidRDefault="0066097B" w:rsidP="00B14BA4">
      <w:pPr>
        <w:numPr>
          <w:ilvl w:val="0"/>
          <w:numId w:val="12"/>
        </w:numPr>
        <w:shd w:val="clear" w:color="auto" w:fill="FFFFFF"/>
        <w:spacing w:before="0" w:after="0" w:line="259" w:lineRule="auto"/>
        <w:rPr>
          <w:rFonts w:eastAsia="Times New Roman" w:cstheme="minorBidi"/>
          <w:color w:val="141624"/>
          <w:lang w:eastAsia="en-IE"/>
        </w:rPr>
      </w:pPr>
      <w:r w:rsidRPr="00C66C24">
        <w:rPr>
          <w:rFonts w:eastAsia="Times New Roman" w:cstheme="minorBidi"/>
          <w:color w:val="141624"/>
          <w:lang w:eastAsia="en-IE"/>
        </w:rPr>
        <w:t xml:space="preserve">The legislation contains an authorisation process for ship recycling yards within the EU. Those in other countries must </w:t>
      </w:r>
      <w:proofErr w:type="gramStart"/>
      <w:r w:rsidRPr="00C66C24">
        <w:rPr>
          <w:rFonts w:eastAsia="Times New Roman" w:cstheme="minorBidi"/>
          <w:color w:val="141624"/>
          <w:lang w:eastAsia="en-IE"/>
        </w:rPr>
        <w:t>submit an application</w:t>
      </w:r>
      <w:proofErr w:type="gramEnd"/>
      <w:r w:rsidRPr="00C66C24">
        <w:rPr>
          <w:rFonts w:eastAsia="Times New Roman" w:cstheme="minorBidi"/>
          <w:color w:val="141624"/>
          <w:lang w:eastAsia="en-IE"/>
        </w:rPr>
        <w:t xml:space="preserve"> to the European Commission and demonstrate that they fulfil all the criteria in the regulation.</w:t>
      </w:r>
    </w:p>
    <w:p w14:paraId="4F557D96" w14:textId="77777777" w:rsidR="0066097B" w:rsidRPr="00C66C24" w:rsidRDefault="0066097B" w:rsidP="0066097B">
      <w:pPr>
        <w:shd w:val="clear" w:color="auto" w:fill="FFFFFF" w:themeFill="background1"/>
        <w:spacing w:before="0" w:after="0" w:line="259" w:lineRule="auto"/>
        <w:rPr>
          <w:rFonts w:eastAsia="Times New Roman" w:cstheme="minorBidi"/>
          <w:color w:val="141624"/>
          <w:lang w:eastAsia="en-IE"/>
        </w:rPr>
      </w:pPr>
      <w:r w:rsidRPr="00C66C24">
        <w:rPr>
          <w:rFonts w:eastAsia="Times New Roman" w:cstheme="minorBidi"/>
          <w:color w:val="141624"/>
          <w:lang w:eastAsia="en-IE"/>
        </w:rPr>
        <w:t xml:space="preserve">Article 12 of the SRR extends the requirement to have an </w:t>
      </w:r>
      <w:r w:rsidRPr="00C66C24">
        <w:rPr>
          <w:rFonts w:cstheme="minorBidi"/>
          <w:color w:val="141624"/>
          <w:szCs w:val="22"/>
        </w:rPr>
        <w:t xml:space="preserve">Inventory of Hazardous Materials (IHM) </w:t>
      </w:r>
      <w:r w:rsidRPr="00C66C24">
        <w:rPr>
          <w:rFonts w:eastAsia="Times New Roman" w:cstheme="minorBidi"/>
          <w:color w:val="141624"/>
          <w:lang w:eastAsia="en-IE"/>
        </w:rPr>
        <w:t xml:space="preserve">onboard to all vessels entering an EU port, regardless of the flag and this has to be certified through a Statement of Compliance from the flag State administration. Many flag States have met this requirement through using the IHM Certificate in the HKC text and adding a reference to the EU legislation to prove compliance. </w:t>
      </w:r>
    </w:p>
    <w:p w14:paraId="1DBFD503" w14:textId="77777777" w:rsidR="0066097B" w:rsidRPr="00C66C24" w:rsidRDefault="0066097B" w:rsidP="0066097B">
      <w:pPr>
        <w:shd w:val="clear" w:color="auto" w:fill="FFFFFF" w:themeFill="background1"/>
        <w:spacing w:before="0" w:after="0" w:line="259" w:lineRule="auto"/>
        <w:rPr>
          <w:rFonts w:eastAsia="Times New Roman" w:cstheme="minorBidi"/>
          <w:color w:val="141624"/>
          <w:lang w:eastAsia="en-IE"/>
        </w:rPr>
      </w:pPr>
      <w:r w:rsidRPr="00C66C24">
        <w:rPr>
          <w:rFonts w:eastAsia="Times New Roman" w:cstheme="minorBidi"/>
          <w:color w:val="141624"/>
          <w:lang w:eastAsia="en-IE"/>
        </w:rPr>
        <w:t>One of the main differences between the HKC and the SRR is the requirement for EU Flagged ships to be recycled in an EU approved Ship Recycling Facility</w:t>
      </w:r>
      <w:r w:rsidRPr="00C66C24">
        <w:rPr>
          <w:rStyle w:val="FootnoteReference"/>
        </w:rPr>
        <w:footnoteReference w:id="53"/>
      </w:r>
      <w:r w:rsidRPr="00C66C24">
        <w:rPr>
          <w:rFonts w:eastAsia="Times New Roman" w:cstheme="minorBidi"/>
          <w:color w:val="141624"/>
          <w:lang w:eastAsia="en-IE"/>
        </w:rPr>
        <w:t xml:space="preserve">. The Regulation (EC) No 1013/2006 on Waste Shipment of the European Parliament and of the Council, of 14 June 2006, applies within the European Union the requirements of the Basel Convention on the Control of Trans Boundary Movements of Hazardous Wastes and their Disposal and also applies an amendment to the Convention adopted in 1995 </w:t>
      </w:r>
      <w:r w:rsidRPr="00C66C24">
        <w:rPr>
          <w:rFonts w:eastAsia="Times New Roman" w:cstheme="minorBidi"/>
          <w:color w:val="141624"/>
          <w:lang w:eastAsia="en-IE"/>
        </w:rPr>
        <w:fldChar w:fldCharType="begin"/>
      </w:r>
      <w:r w:rsidRPr="00C66C24">
        <w:rPr>
          <w:rFonts w:eastAsia="Times New Roman" w:cstheme="minorBidi"/>
          <w:color w:val="141624"/>
          <w:lang w:eastAsia="en-IE"/>
        </w:rPr>
        <w:instrText xml:space="preserve"> ADDIN ZOTERO_ITEM CSL_CITATION {"citationID":"a2nn94lei1o","properties":{"formattedCitation":"(EC, 2006)","plainCitation":"(EC, 2006)","dontUpdate":true,"noteIndex":0},"citationItems":[{"id":52190,"uris":["http://zotero.org/groups/122386/items/NK42X4WN"],"itemData":{"id":52190,"type":"document","language":"en","note":"Legislative Body: CONSIL, EP","title":"Regulation (EC) No 1013/2006 of the European Parliament and of the Council of  14 June 2006  on shipments of waste","URL":"http://data.europa.eu/eli/reg/2006/1013/oj/eng","author":[{"family":"EU","given":""}],"accessed":{"date-parts":[["2023",10,23]]},"issued":{"date-parts":[["2006"]]}}}],"schema":"https://github.com/citation-style-language/schema/raw/master/csl-citation.json"} </w:instrText>
      </w:r>
      <w:r w:rsidRPr="00C66C24">
        <w:rPr>
          <w:rFonts w:eastAsia="Times New Roman" w:cstheme="minorBidi"/>
          <w:color w:val="141624"/>
          <w:lang w:eastAsia="en-IE"/>
        </w:rPr>
        <w:fldChar w:fldCharType="separate"/>
      </w:r>
      <w:r w:rsidRPr="00C66C24">
        <w:rPr>
          <w:rFonts w:ascii="Calibri" w:hAnsi="Calibri" w:cs="Calibri"/>
        </w:rPr>
        <w:t>(EU, 2006)</w:t>
      </w:r>
      <w:r w:rsidRPr="00C66C24">
        <w:rPr>
          <w:rFonts w:eastAsia="Times New Roman" w:cstheme="minorBidi"/>
          <w:color w:val="141624"/>
          <w:lang w:eastAsia="en-IE"/>
        </w:rPr>
        <w:fldChar w:fldCharType="end"/>
      </w:r>
      <w:r w:rsidRPr="00C66C24">
        <w:rPr>
          <w:rFonts w:eastAsia="Times New Roman" w:cstheme="minorBidi"/>
          <w:color w:val="141624"/>
          <w:lang w:eastAsia="en-IE"/>
        </w:rPr>
        <w:t>. The so-called 'Basel ban' entered into force in 2019 and prohibits the export of hazardous waste from Member States (MS) to countries that are not members of the Organization for Economic Cooperation and Development (OECD).</w:t>
      </w:r>
    </w:p>
    <w:p w14:paraId="635B8EAF" w14:textId="1A12BF07" w:rsidR="0066097B" w:rsidRPr="00C66C24" w:rsidRDefault="0066097B" w:rsidP="0066097B">
      <w:pPr>
        <w:shd w:val="clear" w:color="auto" w:fill="FFFFFF" w:themeFill="background1"/>
        <w:spacing w:before="0" w:after="0" w:line="259" w:lineRule="auto"/>
        <w:rPr>
          <w:rFonts w:eastAsia="Times New Roman" w:cstheme="minorBidi"/>
          <w:color w:val="141624"/>
          <w:lang w:eastAsia="en-IE"/>
        </w:rPr>
      </w:pPr>
      <w:r w:rsidRPr="00C66C24">
        <w:rPr>
          <w:rFonts w:eastAsia="Times New Roman" w:cstheme="minorBidi"/>
          <w:color w:val="141624"/>
          <w:lang w:eastAsia="en-IE"/>
        </w:rPr>
        <w:t>Under Regulation (EC) No 1013/2006, ships flying the flag of an EU Member State sent for dismantling are classified as hazardous waste because dangerous substances are present therein.  The regulation covers only vessels that do not fall within the scope of Regulation (EU) No 1257/2013.  However, with the future Regulation (EC) No 1013/2006, the ban to export end-of-life vessels for recycling in shipyards located in non-OECD countries will also apply to ships under Regulation (EU) No 1257/2013 that become waste in the EU.</w:t>
      </w:r>
    </w:p>
    <w:p w14:paraId="4A7DAB10" w14:textId="77777777" w:rsidR="0066097B" w:rsidRPr="00C66C24" w:rsidRDefault="0066097B" w:rsidP="0066097B">
      <w:pPr>
        <w:spacing w:before="0" w:after="0" w:line="259" w:lineRule="auto"/>
        <w:textAlignment w:val="baseline"/>
        <w:rPr>
          <w:rFonts w:eastAsia="Times New Roman" w:cstheme="minorBidi"/>
          <w:color w:val="141624"/>
          <w:lang w:eastAsia="en-IE"/>
        </w:rPr>
      </w:pPr>
    </w:p>
    <w:p w14:paraId="52185655" w14:textId="77777777" w:rsidR="0066097B" w:rsidRPr="00C66C24" w:rsidRDefault="0066097B" w:rsidP="0066097B">
      <w:pPr>
        <w:spacing w:before="0" w:after="0" w:line="259" w:lineRule="auto"/>
        <w:textAlignment w:val="baseline"/>
        <w:rPr>
          <w:rFonts w:eastAsia="Times New Roman" w:cstheme="minorBidi"/>
          <w:b/>
          <w:bCs/>
          <w:color w:val="141624"/>
          <w:lang w:eastAsia="en-IE"/>
        </w:rPr>
      </w:pPr>
      <w:r w:rsidRPr="00C66C24">
        <w:rPr>
          <w:rFonts w:eastAsia="Times New Roman" w:cstheme="minorBidi"/>
          <w:b/>
          <w:bCs/>
          <w:color w:val="141624"/>
          <w:lang w:eastAsia="en-IE"/>
        </w:rPr>
        <w:t>Monitoring and reporting framework</w:t>
      </w:r>
    </w:p>
    <w:p w14:paraId="0AB4ECB3" w14:textId="77777777" w:rsidR="0066097B" w:rsidRPr="00C66C24" w:rsidRDefault="0066097B" w:rsidP="0066097B">
      <w:pPr>
        <w:spacing w:before="0" w:after="0" w:line="259" w:lineRule="auto"/>
        <w:textAlignment w:val="baseline"/>
        <w:rPr>
          <w:rFonts w:eastAsia="Times New Roman" w:cstheme="minorBidi"/>
          <w:color w:val="141624"/>
          <w:lang w:eastAsia="en-IE"/>
        </w:rPr>
      </w:pPr>
      <w:r w:rsidRPr="00C66C24">
        <w:rPr>
          <w:rFonts w:eastAsia="Times New Roman" w:cstheme="minorBidi"/>
          <w:color w:val="141624"/>
          <w:lang w:eastAsia="en-IE"/>
        </w:rPr>
        <w:t>In accordance with Article 21 of the SSR, EU Member States must submit reports on ship recycling every 3 years, including information such as lists of ships to which a ready for recycling certificate has been issued and information on illegal ship recycling. Further to this, Article 30 of the SRR calls for a review of the Regulation 18 months before entry into force of the HKC. An evaluation is presently being undertaken to assess how well the Regulation contributes to the general policy objectives of the European Green Deal and the circular economy action plan as well as how it has been applied and its impact to date, and to identify shortcomings with its implementation and enforcement.</w:t>
      </w:r>
    </w:p>
    <w:p w14:paraId="59E93F21" w14:textId="77777777" w:rsidR="0066097B" w:rsidRPr="00C66C24" w:rsidRDefault="0066097B" w:rsidP="0066097B">
      <w:pPr>
        <w:shd w:val="clear" w:color="auto" w:fill="FFFFFF"/>
        <w:spacing w:before="0" w:after="0" w:line="259" w:lineRule="auto"/>
        <w:rPr>
          <w:rFonts w:eastAsia="Times New Roman" w:cstheme="minorBidi"/>
          <w:color w:val="141624"/>
          <w:lang w:eastAsia="en-IE"/>
        </w:rPr>
      </w:pPr>
      <w:r w:rsidRPr="00C66C24">
        <w:rPr>
          <w:rFonts w:eastAsia="Times New Roman" w:cstheme="minorBidi"/>
          <w:color w:val="141624"/>
          <w:lang w:eastAsia="en-IE"/>
        </w:rPr>
        <w:t>Issues being considered in the review include a financial measure to improve the number of ships being recycled in the EU listed facilities and improvements in implementation and enforcement. Today the regulation is largely circumvented by ship owners re-flagging their ships to non-EU flag, in particular flag of convenience, with the view to dismantle the ships in non-EU listed facilities, mainly in South Asia.</w:t>
      </w:r>
    </w:p>
    <w:p w14:paraId="6427C65A" w14:textId="77777777" w:rsidR="0066097B" w:rsidRPr="00C66C24" w:rsidRDefault="0066097B" w:rsidP="0066097B">
      <w:pPr>
        <w:shd w:val="clear" w:color="auto" w:fill="FFFFFF"/>
        <w:spacing w:before="0" w:after="0" w:line="259" w:lineRule="auto"/>
        <w:rPr>
          <w:rFonts w:eastAsia="Times New Roman" w:cstheme="minorBidi"/>
          <w:color w:val="141624"/>
          <w:lang w:eastAsia="en-IE"/>
        </w:rPr>
      </w:pPr>
    </w:p>
    <w:p w14:paraId="64F16414" w14:textId="1B0DA27B" w:rsidR="0066097B" w:rsidRPr="00C66C24" w:rsidRDefault="0066097B" w:rsidP="0060547B">
      <w:pPr>
        <w:pStyle w:val="Heading6"/>
        <w:spacing w:before="0" w:after="120"/>
        <w:ind w:left="714" w:hanging="357"/>
      </w:pPr>
      <w:bookmarkStart w:id="284" w:name="_Toc152054898"/>
      <w:r w:rsidRPr="00C66C24">
        <w:t>Hazards and physical disturbance of the seabed</w:t>
      </w:r>
      <w:bookmarkEnd w:id="284"/>
    </w:p>
    <w:p w14:paraId="1B9936FF" w14:textId="77777777" w:rsidR="0066097B" w:rsidRPr="00C66C24" w:rsidRDefault="0066097B" w:rsidP="00C74B0A">
      <w:pPr>
        <w:pStyle w:val="Heading7"/>
      </w:pPr>
      <w:bookmarkStart w:id="285" w:name="_Toc152054899"/>
      <w:r w:rsidRPr="00C66C24">
        <w:t>Collisions with mammals</w:t>
      </w:r>
      <w:bookmarkEnd w:id="285"/>
      <w:r w:rsidRPr="00C66C24">
        <w:t xml:space="preserve"> </w:t>
      </w:r>
    </w:p>
    <w:p w14:paraId="5FDFA568" w14:textId="75392D98" w:rsidR="0066097B" w:rsidRPr="00C66C24" w:rsidRDefault="0066097B" w:rsidP="0066097B">
      <w:pPr>
        <w:spacing w:before="0" w:after="0" w:line="259" w:lineRule="auto"/>
      </w:pPr>
      <w:r w:rsidRPr="00C66C24">
        <w:t xml:space="preserve">Fast-growing maritime traffic, coupled with increased vessel speed and engine power, has heightened the risk of collisions between vessels and marine species </w:t>
      </w:r>
      <w:r w:rsidRPr="00C66C24">
        <w:fldChar w:fldCharType="begin"/>
      </w:r>
      <w:r w:rsidRPr="00C66C24">
        <w:instrText xml:space="preserve"> ADDIN ZOTERO_ITEM CSL_CITATION {"citationID":"qShT6JZ6","properties":{"formattedCitation":"(Schoeman et al., 2020)","plainCitation":"(Schoeman et al., 2020)","noteIndex":0},"citationItems":[{"id":572,"uris":["http://zotero.org/groups/122386/items/FSYGTLN2"],"itemData":{"id":572,"type":"article-journal","container-title":"Frontiers in Marine Science","DOI":"10.3389/fmars.2020.00292","ISSN":"2296-7745","journalAbbreviation":"Front. Mar. Sci.","page":"292","source":"DOI.org (Crossref)","title":"A Global Review of Vessel Collisions With Marine Animals","volume":"7","author":[{"family":"Schoeman","given":"Renée P."},{"family":"Patterson-Abrolat","given":"Claire"},{"family":"Plön","given":"Stephanie"}],"issued":{"date-parts":[["2020",5,19]]}}}],"schema":"https://github.com/citation-style-language/schema/raw/master/csl-citation.json"} </w:instrText>
      </w:r>
      <w:r w:rsidRPr="00C66C24">
        <w:fldChar w:fldCharType="separate"/>
      </w:r>
      <w:r w:rsidRPr="00C66C24">
        <w:rPr>
          <w:rFonts w:ascii="Calibri" w:hAnsi="Calibri" w:cs="Calibri"/>
        </w:rPr>
        <w:t>(Schoeman et al., 2020)</w:t>
      </w:r>
      <w:r w:rsidRPr="00C66C24">
        <w:fldChar w:fldCharType="end"/>
      </w:r>
      <w:r w:rsidRPr="00C66C24">
        <w:t xml:space="preserve">. Collisions occur when vessels, ranging from large cargo ships to smaller recreational boats, unintentionally strike marine mammals and fish </w:t>
      </w:r>
      <w:r w:rsidRPr="00C66C24">
        <w:fldChar w:fldCharType="begin"/>
      </w:r>
      <w:r w:rsidRPr="00C66C24">
        <w:instrText xml:space="preserve"> ADDIN ZOTERO_ITEM CSL_CITATION {"citationID":"NmmieW60","properties":{"formattedCitation":"(Minton et al., 2021)","plainCitation":"(Minton et al., 2021)","noteIndex":0},"citationItems":[{"id":59264,"uris":["http://zotero.org/groups/122386/items/2WW8AKKS"],"itemData":{"id":59264,"type":"report","publisher":"World Wide Fund For Nature","title":"Shipping and cetaceans: a review of impacts and mitigation options for policymakers 2021","URL":"https://static1.squarespace.com/static/5fb210d07f71d5494d254bb9/t/60bee13c0281ed6eb1215253/1623122300235/WWF_Shipping_Cetaceans_Report_2021.pdf","author":[{"family":"Minton","given":"Gianna"},{"family":"Folegot","given":"Thomas"},{"family":"Cosandey-Godin","given":"Aurelie"},{"family":"Jacob","given":"Thea"},{"family":"Lancaster","given":"Melanie"},{"family":"Ushio","given":"Miako"}],"issued":{"date-parts":[["2021"]]}}}],"schema":"https://github.com/citation-style-language/schema/raw/master/csl-citation.json"} </w:instrText>
      </w:r>
      <w:r w:rsidRPr="00C66C24">
        <w:fldChar w:fldCharType="separate"/>
      </w:r>
      <w:r w:rsidRPr="00C66C24">
        <w:rPr>
          <w:rFonts w:ascii="Calibri" w:hAnsi="Calibri" w:cs="Calibri"/>
        </w:rPr>
        <w:t>(Minton et al., 2021)</w:t>
      </w:r>
      <w:r w:rsidRPr="00C66C24">
        <w:fldChar w:fldCharType="end"/>
      </w:r>
      <w:r w:rsidRPr="00C66C24">
        <w:t xml:space="preserve">. The impact of collisions can be severe, leading to injuries, fatalities, and resulting in population declines. Along the Atlantic and Mediterranean coasts, collisions are the main human-caused large cetacean deaths </w:t>
      </w:r>
      <w:r w:rsidRPr="00C66C24">
        <w:fldChar w:fldCharType="begin"/>
      </w:r>
      <w:r w:rsidRPr="00C66C24">
        <w:instrText xml:space="preserve"> ADDIN ZOTERO_ITEM CSL_CITATION {"citationID":"gMWw7fET","properties":{"formattedCitation":"(Peltier et al., 2019)","plainCitation":"(Peltier et al., 2019)","noteIndex":0},"citationItems":[{"id":525,"uris":["http://zotero.org/groups/122386/items/ALKTY376"],"itemData":{"id":525,"type":"article-journal","container-title":"Frontiers in Marine Science","DOI":"10.3389/fmars.2019.00486","ISSN":"2296-7745","journalAbbreviation":"Front. Mar. Sci.","page":"486","source":"DOI.org (Crossref)","title":"Monitoring of marine mammal strandings along french coasts reveals the importance of ship strikes on large cetaceans: a challenge for the European Marine Strategy Framework Directive","title-short":"Monitoring of Marine Mammal Strandings Along French Coasts Reveals the Importance of Ship Strikes on Large Cetaceans","volume":"6","author":[{"family":"Peltier","given":"Hélène"},{"family":"Beaufils","given":"Alain"},{"family":"Cesarini","given":"Catherine"},{"family":"Dabin","given":"Willy"},{"family":"Dars","given":"Cécile"},{"family":"Demaret","given":"Fabien"},{"family":"Dhermain","given":"Frank"},{"family":"Doremus","given":"Ghislain"},{"family":"Labach","given":"Hélène"},{"family":"Van Canneyt","given":"Olivier"},{"family":"Spitz","given":"Jérôme"}],"issued":{"date-parts":[["2019",7,31]]}}}],"schema":"https://github.com/citation-style-language/schema/raw/master/csl-citation.json"} </w:instrText>
      </w:r>
      <w:r w:rsidRPr="00C66C24">
        <w:fldChar w:fldCharType="separate"/>
      </w:r>
      <w:r w:rsidRPr="00C66C24">
        <w:rPr>
          <w:rFonts w:ascii="Calibri" w:hAnsi="Calibri" w:cs="Calibri"/>
        </w:rPr>
        <w:t>(Peltier et al., 2019)</w:t>
      </w:r>
      <w:r w:rsidRPr="00C66C24">
        <w:fldChar w:fldCharType="end"/>
      </w:r>
      <w:r w:rsidRPr="00C66C24">
        <w:t xml:space="preserve">. </w:t>
      </w:r>
    </w:p>
    <w:p w14:paraId="21D97FA5" w14:textId="77777777" w:rsidR="0066097B" w:rsidRPr="00C66C24" w:rsidRDefault="0066097B" w:rsidP="0066097B">
      <w:pPr>
        <w:tabs>
          <w:tab w:val="left" w:pos="4678"/>
        </w:tabs>
        <w:spacing w:before="0" w:after="0" w:line="259" w:lineRule="auto"/>
      </w:pPr>
    </w:p>
    <w:p w14:paraId="30028FE5" w14:textId="77777777" w:rsidR="0066097B" w:rsidRPr="00C66C24" w:rsidRDefault="0066097B" w:rsidP="0066097B">
      <w:pPr>
        <w:tabs>
          <w:tab w:val="left" w:pos="4678"/>
        </w:tabs>
        <w:spacing w:before="0" w:after="0" w:line="259" w:lineRule="auto"/>
        <w:rPr>
          <w:b/>
          <w:bCs/>
        </w:rPr>
      </w:pPr>
      <w:r w:rsidRPr="00C66C24">
        <w:rPr>
          <w:b/>
          <w:bCs/>
        </w:rPr>
        <w:t>Regulatory Framework</w:t>
      </w:r>
    </w:p>
    <w:p w14:paraId="6D570B72" w14:textId="77777777" w:rsidR="0066097B" w:rsidRPr="00C66C24" w:rsidRDefault="0066097B" w:rsidP="0066097B">
      <w:pPr>
        <w:tabs>
          <w:tab w:val="left" w:pos="4678"/>
        </w:tabs>
        <w:spacing w:before="0" w:after="0" w:line="259" w:lineRule="auto"/>
        <w:rPr>
          <w:u w:val="single"/>
        </w:rPr>
      </w:pPr>
      <w:r w:rsidRPr="00C66C24">
        <w:rPr>
          <w:u w:val="single"/>
        </w:rPr>
        <w:t>International framework</w:t>
      </w:r>
    </w:p>
    <w:p w14:paraId="3F5F0AA7" w14:textId="77777777" w:rsidR="0066097B" w:rsidRPr="00C66C24" w:rsidRDefault="0066097B" w:rsidP="0066097B">
      <w:pPr>
        <w:tabs>
          <w:tab w:val="left" w:pos="4678"/>
        </w:tabs>
        <w:spacing w:before="0" w:after="0" w:line="259" w:lineRule="auto"/>
      </w:pPr>
      <w:r w:rsidRPr="00C66C24">
        <w:t>At the global scale, efforts are underway to minimise ship strikes. In 2009 the International Maritime Organization (IMO) developed guidelines to minimise the risk of ship strikes with cetaceans (</w:t>
      </w:r>
      <w:r w:rsidRPr="00C66C24">
        <w:fldChar w:fldCharType="begin"/>
      </w:r>
      <w:r w:rsidRPr="00C66C24">
        <w:instrText xml:space="preserve"> ADDIN ZOTERO_ITEM CSL_CITATION {"citationID":"fs4gnHo0","properties":{"formattedCitation":"(Marine Environment Protection Committee (MEPC), 69th session, 18-22 April 2016, forthcoming)","plainCitation":"(Marine Environment Protection Committee (MEPC), 69th session, 18-22 April 2016, forthcoming)","dontUpdate":true,"noteIndex":0},"citationItems":[{"id":519,"uris":["http://zotero.org/groups/122386/items/K52PZLQM"],"itemData":{"id":519,"type":"webpage","title":"Marine Environment Protection Committee (MEPC), 69th session, 18-22 April 2016","URL":"https://www.imo.org/en/MediaCentre/MeetingSummaries/Pages/MEPC-69th-session.aspx","author":[{"literal":"IMO"}],"accessed":{"date-parts":[["2023",6,15]]}}}],"schema":"https://github.com/citation-style-language/schema/raw/master/csl-citation.json"} </w:instrText>
      </w:r>
      <w:r w:rsidRPr="00C66C24">
        <w:fldChar w:fldCharType="separate"/>
      </w:r>
      <w:r w:rsidRPr="00C66C24">
        <w:rPr>
          <w:rFonts w:ascii="Calibri" w:hAnsi="Calibri" w:cs="Calibri"/>
        </w:rPr>
        <w:t>IMO, 2016)</w:t>
      </w:r>
      <w:r w:rsidRPr="00C66C24">
        <w:fldChar w:fldCharType="end"/>
      </w:r>
      <w:r w:rsidRPr="00C66C24">
        <w:t xml:space="preserve">. </w:t>
      </w:r>
    </w:p>
    <w:p w14:paraId="506350A6" w14:textId="77777777" w:rsidR="0066097B" w:rsidRDefault="0066097B" w:rsidP="0066097B">
      <w:pPr>
        <w:tabs>
          <w:tab w:val="left" w:pos="4678"/>
        </w:tabs>
        <w:spacing w:before="0" w:after="0" w:line="259" w:lineRule="auto"/>
        <w:rPr>
          <w:u w:val="single"/>
        </w:rPr>
      </w:pPr>
    </w:p>
    <w:p w14:paraId="77071F35" w14:textId="45CFCFCA" w:rsidR="0066097B" w:rsidRPr="00C66C24" w:rsidRDefault="0066097B" w:rsidP="0066097B">
      <w:pPr>
        <w:tabs>
          <w:tab w:val="left" w:pos="4678"/>
        </w:tabs>
        <w:spacing w:before="0" w:after="0" w:line="259" w:lineRule="auto"/>
        <w:rPr>
          <w:u w:val="single"/>
        </w:rPr>
      </w:pPr>
      <w:r w:rsidRPr="00C66C24">
        <w:rPr>
          <w:u w:val="single"/>
        </w:rPr>
        <w:t xml:space="preserve">European Union framework </w:t>
      </w:r>
    </w:p>
    <w:p w14:paraId="67453B7F" w14:textId="77777777" w:rsidR="0066097B" w:rsidRPr="00C66C24" w:rsidRDefault="0066097B" w:rsidP="0066097B">
      <w:pPr>
        <w:tabs>
          <w:tab w:val="left" w:pos="4678"/>
        </w:tabs>
        <w:spacing w:before="0" w:after="0" w:line="259" w:lineRule="auto"/>
      </w:pPr>
      <w:r w:rsidRPr="00C66C24">
        <w:t xml:space="preserve">As part of the EU's Biodiversity Strategy for 2030, one of the targets is to legally protect at least 30% of European seas by 2030, with 10% of the sea area designated as strictly protected </w:t>
      </w:r>
      <w:r w:rsidRPr="00C66C24">
        <w:fldChar w:fldCharType="begin"/>
      </w:r>
      <w:r w:rsidRPr="00C66C24">
        <w:instrText xml:space="preserve"> ADDIN ZOTERO_ITEM CSL_CITATION {"citationID":"iag2Ddne","properties":{"formattedCitation":"(European Commission., 2020)","plainCitation":"(European Commission., 2020)","dontUpdate":true,"noteIndex":0},"citationItems":[{"id":545,"uris":["http://zotero.org/groups/122386/items/T7AHZF2E"],"itemData":{"id":545,"type":"standard","number":"COM(2020) 380 final","title":"Communication from the Commission to the European Parliament, the Council, the Economic and Social Committee and the Committee of the Regions, EU Biodiversity Strategy for 2030","URL":"https://eur-lex.europa.eu/legal-content/EN/TXT/?uri=celex%3A52020DC0380","author":[{"literal":"European Commission."}],"accessed":{"date-parts":[["2023",6,15]]},"issued":{"date-parts":[["2020",5,20]]}}}],"schema":"https://github.com/citation-style-language/schema/raw/master/csl-citation.json"} </w:instrText>
      </w:r>
      <w:r w:rsidRPr="00C66C24">
        <w:fldChar w:fldCharType="separate"/>
      </w:r>
      <w:r w:rsidRPr="00C66C24">
        <w:rPr>
          <w:rFonts w:ascii="Calibri" w:hAnsi="Calibri" w:cs="Calibri"/>
        </w:rPr>
        <w:t>(EC, 2020b)</w:t>
      </w:r>
      <w:r w:rsidRPr="00C66C24">
        <w:fldChar w:fldCharType="end"/>
      </w:r>
      <w:r w:rsidRPr="00C66C24">
        <w:t xml:space="preserve">. The Birds and Habitats Directives, along with the Natura 2000 sites designated under these directives, make a significant contribution towards achieving the strategic targets of the Biodiversity Strategy </w:t>
      </w:r>
      <w:r w:rsidRPr="00C66C24">
        <w:fldChar w:fldCharType="begin"/>
      </w:r>
      <w:r w:rsidRPr="00C66C24">
        <w:instrText xml:space="preserve"> ADDIN ZOTERO_ITEM CSL_CITATION {"citationID":"TNg7MvIH","properties":{"formattedCitation":"(The Natura 2000 protected areas network \\uc0\\u8212{} European Environment Agency, forthcoming)","plainCitation":"(The Natura 2000 protected areas network — European Environment Agency, forthcoming)","dontUpdate":true,"noteIndex":0},"citationItems":[{"id":529,"uris":["http://zotero.org/groups/122386/items/XKRIKMSK"],"itemData":{"id":529,"type":"webpage","title":"The Natura 2000 protected areas network — European Environment Agency","URL":"https://www.eea.europa.eu/themes/biodiversity/natura-2000","author":[{"literal":"EEA"}],"accessed":{"date-parts":[["2023",6,15]]},"issued":{"date-parts":[["2023",2,28]]}}}],"schema":"https://github.com/citation-style-language/schema/raw/master/csl-citation.json"} </w:instrText>
      </w:r>
      <w:r w:rsidRPr="00C66C24">
        <w:fldChar w:fldCharType="separate"/>
      </w:r>
      <w:r w:rsidRPr="00C66C24">
        <w:rPr>
          <w:rFonts w:ascii="Calibri" w:hAnsi="Calibri" w:cs="Calibri"/>
        </w:rPr>
        <w:t>(EEA, 2023b)</w:t>
      </w:r>
      <w:r w:rsidRPr="00C66C24">
        <w:fldChar w:fldCharType="end"/>
      </w:r>
      <w:r w:rsidRPr="00C66C24">
        <w:t xml:space="preserve">. Natura 2000 sites preserve rare, threatened, or vulnerable marine species and unique marine environments </w:t>
      </w:r>
      <w:r w:rsidRPr="00C66C24">
        <w:fldChar w:fldCharType="begin"/>
      </w:r>
      <w:r w:rsidRPr="00C66C24">
        <w:instrText xml:space="preserve"> ADDIN ZOTERO_ITEM CSL_CITATION {"citationID":"hj042z8t","properties":{"formattedCitation":"(The Natura 2000 protected areas network \\uc0\\u8212{} European Environment Agency, forthcoming)","plainCitation":"(The Natura 2000 protected areas network — European Environment Agency, forthcoming)","dontUpdate":true,"noteIndex":0},"citationItems":[{"id":529,"uris":["http://zotero.org/groups/122386/items/XKRIKMSK"],"itemData":{"id":529,"type":"webpage","title":"The Natura 2000 protected areas network — European Environment Agency","URL":"https://www.eea.europa.eu/themes/biodiversity/natura-2000","author":[{"literal":"EEA"}],"accessed":{"date-parts":[["2023",6,15]]},"issued":{"date-parts":[["2023",2,28]]}}}],"schema":"https://github.com/citation-style-language/schema/raw/master/csl-citation.json"} </w:instrText>
      </w:r>
      <w:r w:rsidRPr="00C66C24">
        <w:fldChar w:fldCharType="separate"/>
      </w:r>
      <w:r w:rsidRPr="00C66C24">
        <w:rPr>
          <w:rFonts w:ascii="Calibri" w:hAnsi="Calibri" w:cs="Calibri"/>
        </w:rPr>
        <w:t>(EEA, 2018)</w:t>
      </w:r>
      <w:r w:rsidRPr="00C66C24">
        <w:fldChar w:fldCharType="end"/>
      </w:r>
      <w:r w:rsidRPr="00C66C24">
        <w:t xml:space="preserve">. The primary objectives of these protected sites are to reduce anthropogenic pressures that significantly disturb species or damage habitats and to implement positive measures, including mitigating ship collisions with marine mammals. One of the MSFD criteria of good environmental status for species requires that ‘population abundance of the species is not adversely affected due to anthropogenic pressures, such that its long-term viability is ensured.’ This implies that pressures impacting species’ abundance, including collisions with ships, must be managed and reduced where necessary. The Marine Spatial Planning Directive (MSPD, 2014/89/EU) mandates the establishment of marine spatial plans and allows Member States to implement spatial zoning, routing measures, speed restrictions, or the establishment of traffic separation schemes to minimise the risk of ship strikes and disturbance to marine animals. </w:t>
      </w:r>
    </w:p>
    <w:p w14:paraId="66087218" w14:textId="77777777" w:rsidR="0066097B" w:rsidRPr="00C66C24" w:rsidRDefault="0066097B" w:rsidP="0066097B">
      <w:pPr>
        <w:spacing w:before="0" w:after="0" w:line="259" w:lineRule="auto"/>
      </w:pPr>
    </w:p>
    <w:p w14:paraId="6D0DDF54" w14:textId="77777777" w:rsidR="0066097B" w:rsidRPr="00C66C24" w:rsidRDefault="0066097B" w:rsidP="0066097B">
      <w:pPr>
        <w:spacing w:before="0" w:after="0" w:line="259" w:lineRule="auto"/>
        <w:rPr>
          <w:b/>
          <w:bCs/>
        </w:rPr>
      </w:pPr>
      <w:r w:rsidRPr="00C66C24">
        <w:rPr>
          <w:b/>
          <w:bCs/>
        </w:rPr>
        <w:t xml:space="preserve">Monitoring and reporting framework </w:t>
      </w:r>
    </w:p>
    <w:p w14:paraId="483D86D6" w14:textId="77777777" w:rsidR="0066097B" w:rsidRPr="00C66C24" w:rsidRDefault="0066097B" w:rsidP="0066097B">
      <w:pPr>
        <w:spacing w:before="0" w:after="0" w:line="259" w:lineRule="auto"/>
      </w:pPr>
      <w:r w:rsidRPr="00C66C24">
        <w:t xml:space="preserve">Country or regional level monitoring and assessments are currently being conducted as part of MSFD program of measures. However, at the EU level, there is a lack of comprehensive monitoring schemes and indicators. </w:t>
      </w:r>
    </w:p>
    <w:p w14:paraId="7B6A9A2D" w14:textId="77777777" w:rsidR="0066097B" w:rsidRPr="00C66C24" w:rsidRDefault="0066097B" w:rsidP="0066097B">
      <w:pPr>
        <w:spacing w:before="0" w:after="0" w:line="259" w:lineRule="auto"/>
      </w:pPr>
    </w:p>
    <w:p w14:paraId="43A9B9C4" w14:textId="77777777" w:rsidR="0066097B" w:rsidRPr="00C66C24" w:rsidRDefault="0066097B" w:rsidP="00C74B0A">
      <w:pPr>
        <w:pStyle w:val="Heading7"/>
      </w:pPr>
      <w:bookmarkStart w:id="286" w:name="_Toc152054900"/>
      <w:r w:rsidRPr="00C66C24">
        <w:t>Physical disturbance of the seabed</w:t>
      </w:r>
      <w:bookmarkEnd w:id="286"/>
      <w:r w:rsidRPr="00C66C24">
        <w:t xml:space="preserve"> </w:t>
      </w:r>
    </w:p>
    <w:p w14:paraId="61487323" w14:textId="77777777" w:rsidR="0066097B" w:rsidRPr="00C66C24" w:rsidRDefault="0066097B" w:rsidP="0066097B">
      <w:pPr>
        <w:spacing w:before="0" w:after="0" w:line="259" w:lineRule="auto"/>
        <w:rPr>
          <w:rStyle w:val="ui-provider"/>
        </w:rPr>
      </w:pPr>
      <w:r w:rsidRPr="00C66C24">
        <w:rPr>
          <w:rStyle w:val="ui-provider"/>
        </w:rPr>
        <w:t>To safeguard marine biodiversity and living resources, it is essential to ensure the integrity of the seafloor in the face of pressures that could impact its functions and services. The physical disturbance of the seabed from maritime transport and port activities is linked to several human activities such as the expansion of port facilities, wake-induced habitat disturbance, dredging, and anchoring. The main disturbance caused by anthropogenic activities is the re-suspension of sediments within the water column and the benthos, as well as abrasion from dredges and anchors. This has both short- and long-term negative repercussions on marine ecosystems, habitats, and species diversity</w:t>
      </w:r>
      <w:r w:rsidRPr="00C66C24">
        <w:t xml:space="preserve"> </w:t>
      </w:r>
      <w:r w:rsidRPr="00C66C24">
        <w:fldChar w:fldCharType="begin"/>
      </w:r>
      <w:r w:rsidRPr="00C66C24">
        <w:instrText xml:space="preserve"> ADDIN ZOTERO_ITEM CSL_CITATION {"citationID":"guTIs3tL","properties":{"formattedCitation":"(Nylund et al., 2021)","plainCitation":"(Nylund et al., 2021)","noteIndex":0},"citationItems":[{"id":51972,"uris":["http://zotero.org/groups/122386/items/3YN7FL3P"],"itemData":{"id":51972,"type":"article-journal","abstract":"Abstract. In areas of intensive ship traffic, ships pass every 10 min. Considering the amount of ship traffic and the predicted increase in global maritime trade, there is a need to consider all types of impacts shipping has on the marine environment. While the awareness about, and efforts to reduce, chemical pollution from ships is increasing, less is known about physical disturbances, and ship-induced turbulence has so far been completely neglected. To address the potential importance of ship-induced turbulence on, e.g., gas exchange, dispersion of pollutants, and biogeochemical processes, a characterisation of the temporal and spatial scales of the turbulent wake is needed. Currently, field measurements of turbulent wakes of real-size ships are lacking. This study addresses that gap by using two different methodological approaches: in situ and ex situ observations. For the in situ observations, a bottom-mounted acoustic Doppler current profiler (ADCP) was placed at 32 m depth below the shipping lane outside Gothenburg harbour. Both the acoustic backscatter from the air bubbles in the wake and the dissipation rate of turbulent kinetic energy were used to quantify the turbulent wake depth, intensity, and temporal longevity for 38 ship passages of differently sized ships. The results from the ADCP measurements show median wake depths of 13 m and several occasions of wakes reaching depths &gt; 18 m, which is in the same depth range as the seasonal thermocline in the Baltic Sea. The temporal longevity of the observable part of the wakes had a median of around 10 min and several passages of &gt; 20 min. In the ex situ approach, sea surface temperature was used as a proxy for the water mass affected by the turbulent wake (thermal wake), as lowered temperature in the ship wake indicates vertical mixing in a thermally stratified water column. Satellite images of the thermal infrared sensor (TIRS) onboard Landsat-8 were used to measure thermal wake width and length, in the highly frequented and thus major shipping lane north of Bornholm, Baltic Sea. Automatic information system (AIS) records from both the investigated areas were used to identify the ships inducing the wakes. The satellite analysis showed a median thermal wake length of 13.7 km (n=144), and the longest wake extended over 60 km, which would correspond to a temporal longevity of 1 h 42 min (for a ship speed of 20 kn). The median thermal wake width was 157.5 m. The measurements of the spatial and temporal scales are in line with previous studies, but the maximum turbulent wake depth (30.5 m) is deeper than previously reported. The results from this study, combined with the knowledge of regional high traffic densities, show that ship-induced turbulence occurs at temporal and spatial scales large enough to imply that this process should be considered when estimating environmental impacts from shipping in areas with intense ship traffic.","container-title":"Ocean Science","DOI":"10.5194/os-17-1285-2021","ISSN":"1812-0792","issue":"5","journalAbbreviation":"Ocean Sci.","language":"en","page":"1285-1302","source":"DOI.org (Crossref)","title":"In situ observations of turbulent ship wakes and their spatiotemporal extent","volume":"17","author":[{"family":"Nylund","given":"Amanda T."},{"family":"Arneborg","given":"Lars"},{"family":"Tengberg","given":"Anders"},{"family":"Mallast","given":"Ulf"},{"family":"Hassellöv","given":"Ida-Maja"}],"issued":{"date-parts":[["2021",9,27]]}}}],"schema":"https://github.com/citation-style-language/schema/raw/master/csl-citation.json"} </w:instrText>
      </w:r>
      <w:r w:rsidRPr="00C66C24">
        <w:fldChar w:fldCharType="separate"/>
      </w:r>
      <w:r w:rsidRPr="00C66C24">
        <w:rPr>
          <w:rFonts w:ascii="Calibri" w:hAnsi="Calibri" w:cs="Calibri"/>
        </w:rPr>
        <w:t>(</w:t>
      </w:r>
      <w:proofErr w:type="spellStart"/>
      <w:r w:rsidRPr="00C66C24">
        <w:rPr>
          <w:rFonts w:ascii="Calibri" w:hAnsi="Calibri" w:cs="Calibri"/>
        </w:rPr>
        <w:t>Nylund</w:t>
      </w:r>
      <w:proofErr w:type="spellEnd"/>
      <w:r w:rsidRPr="00C66C24">
        <w:rPr>
          <w:rFonts w:ascii="Calibri" w:hAnsi="Calibri" w:cs="Calibri"/>
        </w:rPr>
        <w:t xml:space="preserve"> et al., 2021)</w:t>
      </w:r>
      <w:r w:rsidRPr="00C66C24">
        <w:fldChar w:fldCharType="end"/>
      </w:r>
      <w:r w:rsidRPr="00C66C24">
        <w:t xml:space="preserve">. </w:t>
      </w:r>
    </w:p>
    <w:p w14:paraId="3375E4E0" w14:textId="77777777" w:rsidR="0066097B" w:rsidRPr="00C66C24" w:rsidRDefault="0066097B" w:rsidP="0066097B">
      <w:pPr>
        <w:spacing w:before="0" w:after="0" w:line="259" w:lineRule="auto"/>
        <w:rPr>
          <w:b/>
          <w:bCs/>
        </w:rPr>
      </w:pPr>
    </w:p>
    <w:p w14:paraId="4CDA3313" w14:textId="77777777" w:rsidR="0066097B" w:rsidRPr="00C66C24" w:rsidRDefault="0066097B" w:rsidP="0066097B">
      <w:pPr>
        <w:spacing w:before="0" w:after="0" w:line="259" w:lineRule="auto"/>
        <w:rPr>
          <w:b/>
          <w:bCs/>
        </w:rPr>
      </w:pPr>
      <w:r w:rsidRPr="00C66C24">
        <w:rPr>
          <w:b/>
          <w:bCs/>
        </w:rPr>
        <w:t>Regulatory framework</w:t>
      </w:r>
    </w:p>
    <w:p w14:paraId="69E6479A" w14:textId="77777777" w:rsidR="0066097B" w:rsidRPr="00C66C24" w:rsidRDefault="0066097B" w:rsidP="0066097B">
      <w:pPr>
        <w:spacing w:before="0" w:after="0" w:line="259" w:lineRule="auto"/>
        <w:rPr>
          <w:u w:val="single"/>
        </w:rPr>
      </w:pPr>
      <w:r w:rsidRPr="00C66C24">
        <w:rPr>
          <w:u w:val="single"/>
        </w:rPr>
        <w:t>International framework</w:t>
      </w:r>
    </w:p>
    <w:p w14:paraId="4255C7C5" w14:textId="77777777" w:rsidR="0066097B" w:rsidRPr="00C66C24" w:rsidRDefault="0066097B" w:rsidP="0066097B">
      <w:pPr>
        <w:spacing w:before="0" w:after="0" w:line="259" w:lineRule="auto"/>
      </w:pPr>
      <w:r w:rsidRPr="00C66C24">
        <w:t xml:space="preserve">The United Nations Convention on the Law of the Sea (UNCLOS) </w:t>
      </w:r>
      <w:r w:rsidRPr="00C66C24">
        <w:rPr>
          <w:rFonts w:eastAsiaTheme="minorEastAsia" w:cstheme="minorBidi"/>
          <w:kern w:val="2"/>
          <w14:ligatures w14:val="standardContextual"/>
        </w:rPr>
        <w:t xml:space="preserve">sets obligations for the </w:t>
      </w:r>
      <w:r w:rsidRPr="00C66C24">
        <w:t xml:space="preserve">Coastal States to adopt laws and regulations to prevent, reduce and control pollution of the marine environment arising from, or in connection with, seabed activities subject to their jurisdiction (UNCLOS, 1982). </w:t>
      </w:r>
    </w:p>
    <w:p w14:paraId="6FDDAED3" w14:textId="77777777" w:rsidR="0066097B" w:rsidRPr="00C66C24" w:rsidRDefault="0066097B" w:rsidP="0066097B">
      <w:pPr>
        <w:spacing w:before="0" w:after="0" w:line="259" w:lineRule="auto"/>
      </w:pPr>
      <w:r w:rsidRPr="00C66C24">
        <w:t>Furthermore, the Convention pays particular attention for the protection from harmful effects of activities such as dredging and also defines dumping as any deliberate disposal at sea of wastes or other matter from vessels (or other artificial structures at sea). The London Convention (London Convention, 1972) and Protocol (London Protocol, 2006) have very similar definitions, which translate into a list of waste or other material that can be considered for dumping including dredged material.</w:t>
      </w:r>
    </w:p>
    <w:p w14:paraId="2688C1D3" w14:textId="77777777" w:rsidR="0066097B" w:rsidRPr="00C66C24" w:rsidRDefault="0066097B" w:rsidP="0066097B">
      <w:pPr>
        <w:spacing w:before="0" w:after="0" w:line="259" w:lineRule="auto"/>
        <w:rPr>
          <w:u w:val="single"/>
        </w:rPr>
      </w:pPr>
    </w:p>
    <w:p w14:paraId="67808827" w14:textId="77777777" w:rsidR="0066097B" w:rsidRPr="00C66C24" w:rsidRDefault="0066097B" w:rsidP="0066097B">
      <w:pPr>
        <w:spacing w:before="0" w:after="0" w:line="259" w:lineRule="auto"/>
        <w:rPr>
          <w:u w:val="single"/>
        </w:rPr>
      </w:pPr>
      <w:r w:rsidRPr="00C66C24">
        <w:rPr>
          <w:u w:val="single"/>
        </w:rPr>
        <w:t>European Union Framework</w:t>
      </w:r>
    </w:p>
    <w:p w14:paraId="48F42B77" w14:textId="71EFB031" w:rsidR="0066097B" w:rsidRPr="00C66C24" w:rsidRDefault="0066097B" w:rsidP="0066097B">
      <w:pPr>
        <w:spacing w:before="0" w:after="0" w:line="259" w:lineRule="auto"/>
      </w:pPr>
      <w:bookmarkStart w:id="287" w:name="_Toc146704159"/>
      <w:bookmarkStart w:id="288" w:name="_Toc146704968"/>
      <w:bookmarkStart w:id="289" w:name="_Toc146705104"/>
      <w:bookmarkStart w:id="290" w:name="_Toc146704160"/>
      <w:bookmarkStart w:id="291" w:name="_Toc146704969"/>
      <w:bookmarkStart w:id="292" w:name="_Toc146705105"/>
      <w:bookmarkStart w:id="293" w:name="_Toc146704161"/>
      <w:bookmarkStart w:id="294" w:name="_Toc146704970"/>
      <w:bookmarkStart w:id="295" w:name="_Toc146705106"/>
      <w:bookmarkStart w:id="296" w:name="_Toc146704162"/>
      <w:bookmarkStart w:id="297" w:name="_Toc146704971"/>
      <w:bookmarkStart w:id="298" w:name="_Toc146705107"/>
      <w:bookmarkStart w:id="299" w:name="_Toc146704163"/>
      <w:bookmarkStart w:id="300" w:name="_Toc146704972"/>
      <w:bookmarkStart w:id="301" w:name="_Toc146705108"/>
      <w:bookmarkStart w:id="302" w:name="_Toc146704164"/>
      <w:bookmarkStart w:id="303" w:name="_Toc146704973"/>
      <w:bookmarkStart w:id="304" w:name="_Toc146705109"/>
      <w:bookmarkStart w:id="305" w:name="_Toc146704165"/>
      <w:bookmarkStart w:id="306" w:name="_Toc146704974"/>
      <w:bookmarkStart w:id="307" w:name="_Toc146705110"/>
      <w:bookmarkStart w:id="308" w:name="_Toc146704166"/>
      <w:bookmarkStart w:id="309" w:name="_Toc146704975"/>
      <w:bookmarkStart w:id="310" w:name="_Toc146705111"/>
      <w:bookmarkStart w:id="311" w:name="_Toc146704167"/>
      <w:bookmarkStart w:id="312" w:name="_Toc146704976"/>
      <w:bookmarkStart w:id="313" w:name="_Toc146705112"/>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sidRPr="00C66C24">
        <w:t>The MSFD GES descriptor 6 is related to seafloor integrity. It requires that the “</w:t>
      </w:r>
      <w:r w:rsidRPr="00C66C24">
        <w:rPr>
          <w:i/>
          <w:iCs w:val="0"/>
        </w:rPr>
        <w:t>seafloor integrity is at a level that ensures that the structure and functions of the ecosystems are safeguarded and benthic ecosystems, in particular, are not adversely affecte</w:t>
      </w:r>
      <w:r w:rsidRPr="00C66C24">
        <w:t xml:space="preserve">d” </w:t>
      </w:r>
      <w:r w:rsidRPr="00C66C24">
        <w:fldChar w:fldCharType="begin"/>
      </w:r>
      <w:r w:rsidRPr="00C66C24">
        <w:instrText xml:space="preserve"> ADDIN ZOTERO_ITEM CSL_CITATION {"citationID":"a16a10q4d6v","properties":{"formattedCitation":"\\uldash{(Commission Decision (EU) 2017/848 of 17 May 2017 Laying down Criteria and Methodological Standards on Good Environmental Status of Marine Waters and Specifications and Standardised Methods for Monitoring and Assessment, and Repealing Decision 2010/477/EU (Text with EEA Relevance. ), 2017)}","plainCitation":"(Commission Decision (EU) 2017/848 of 17 May 2017 Laying down Criteria and Methodological Standards on Good Environmental Status of Marine Waters and Specifications and Standardised Methods for Monitoring and Assessment, and Repealing Decision 2010/477/EU (Text with EEA Relevance. ), 2017)","dontUpdate":true,"noteIndex":0},"citationItems":[{"id":52238,"uris":["http://zotero.org/groups/122386/items/E2BCVCBZ"],"itemData":{"id":52238,"type":"legislation","container-title":"OJ L","language":"en","note":"Legislative Body: COM, ENV","title":"Commission Decision (EU) 2017/848 of 17 May 2017 laying down criteria and methodological standards on good environmental status of marine waters and specifications and standardised methods for monitoring and assessment, and repealing Decision 2010/477/EU (Text with EEA relevance. )","URL":"http://data.europa.eu/eli/dec/2017/848/oj/eng","volume":"125","author":[{"literal":"EU"}],"accessed":{"date-parts":[["2023",10,24]]},"issued":{"date-parts":[["2017",5,17]]}}}],"schema":"https://github.com/citation-style-language/schema/raw/master/csl-citation.json"} </w:instrText>
      </w:r>
      <w:r w:rsidRPr="00C66C24">
        <w:fldChar w:fldCharType="separate"/>
      </w:r>
      <w:r w:rsidRPr="00C66C24">
        <w:rPr>
          <w:rFonts w:ascii="Calibri" w:hAnsi="Calibri" w:cs="Calibri"/>
        </w:rPr>
        <w:t>(EU</w:t>
      </w:r>
      <w:r w:rsidRPr="00C66C24">
        <w:fldChar w:fldCharType="end"/>
      </w:r>
      <w:r w:rsidRPr="00C66C24">
        <w:t>, 2017</w:t>
      </w:r>
      <w:r w:rsidRPr="00C66C24">
        <w:fldChar w:fldCharType="begin"/>
      </w:r>
      <w:r w:rsidRPr="00C66C24">
        <w:instrText xml:space="preserve"> ADDIN ZOTERO_ITEM CSL_CITATION {"citationID":"56ap1CGN","properties":{"formattedCitation":"(European Commission. Joint Research Centre., 2021)","plainCitation":"(European Commission. Joint Research Centre., 2021)","dontUpdate":true,"noteIndex":0},"citationItems":[{"id":34124,"uris":["http://zotero.org/groups/122386/items/ARZSX8R9"],"itemData":{"id":34124,"type":"book","event-place":"LU","language":"eng","publisher":"Publications Office","publisher-place":"LU","source":"DOI.org (CSL JSON)","title":"Marine strategy framework directive, descriptor 2, non-indigenous species: delivering solid recommendations for setting threshold values for non indigenous species pressure on European seas.","title-short":"Marine strategy framework directive, descriptor 2, non-indigenous species","URL":"https://data.europa.eu/doi/10.2760/035071","author":[{"literal":"European Commission. Joint Research Centre."}],"accessed":{"date-parts":[["2023",6,17]]},"issued":{"date-parts":[["2021"]]}}}],"schema":"https://github.com/citation-style-language/schema/raw/master/csl-citation.json"} </w:instrText>
      </w:r>
      <w:r w:rsidRPr="00C66C24">
        <w:fldChar w:fldCharType="separate"/>
      </w:r>
      <w:r w:rsidRPr="00C66C24">
        <w:rPr>
          <w:rFonts w:ascii="Calibri" w:hAnsi="Calibri" w:cs="Calibri"/>
        </w:rPr>
        <w:t>)</w:t>
      </w:r>
      <w:r w:rsidRPr="00C66C24">
        <w:fldChar w:fldCharType="end"/>
      </w:r>
      <w:r w:rsidRPr="00C66C24">
        <w:t>. In 2023, the MSFD Common Implementation Strategy Technical Group on Seabed Habitats and Sea-floor Integrity has set three thresholds for good environmental status of seabed integrity in 2023 (TG SEABED, 2023). These include the maximum threshold of the benthic habitat that can be adversely affected (25%), including a maximum that can be lost (2%). In the case of maritime transport, the seabed areas likely to be under adverse effects or lost include port areas, anchoring areas and dredged shipping lanes.</w:t>
      </w:r>
    </w:p>
    <w:p w14:paraId="5A345244" w14:textId="77777777" w:rsidR="0066097B" w:rsidRPr="00C66C24" w:rsidRDefault="0066097B" w:rsidP="0066097B">
      <w:pPr>
        <w:spacing w:before="0" w:after="0" w:line="259" w:lineRule="auto"/>
      </w:pPr>
    </w:p>
    <w:p w14:paraId="2444D2F8" w14:textId="77777777" w:rsidR="0066097B" w:rsidRPr="00C66C24" w:rsidRDefault="0066097B" w:rsidP="0066097B">
      <w:pPr>
        <w:spacing w:before="0" w:after="0" w:line="259" w:lineRule="auto"/>
        <w:rPr>
          <w:b/>
          <w:bCs/>
        </w:rPr>
      </w:pPr>
      <w:r w:rsidRPr="00C66C24">
        <w:rPr>
          <w:b/>
          <w:bCs/>
        </w:rPr>
        <w:t>Monitoring and reporting framework</w:t>
      </w:r>
    </w:p>
    <w:bookmarkEnd w:id="266"/>
    <w:p w14:paraId="7C9947CC" w14:textId="39DAC3FD" w:rsidR="00347543" w:rsidRPr="00C66C24" w:rsidRDefault="0066097B" w:rsidP="0060547B">
      <w:pPr>
        <w:spacing w:before="0" w:after="0" w:line="259" w:lineRule="auto"/>
      </w:pPr>
      <w:r w:rsidRPr="00C66C24">
        <w:t xml:space="preserve">There is no international framework for the monitoring of seabed disturbance in a systematic way. At the EU level, the MSFD requires that systematic monitoring is carried out of the extent and condition of seabed habitats and the impacts of human activities on seafloor integrity, including where relevant maritime transport. Member States must report to the Commission progress towards the achievement of the threshold values for good environmental status every </w:t>
      </w:r>
      <w:r w:rsidR="0060547B" w:rsidRPr="00C66C24">
        <w:t>six</w:t>
      </w:r>
      <w:r w:rsidRPr="00C66C24">
        <w:t xml:space="preserve"> years. </w:t>
      </w:r>
    </w:p>
    <w:p w14:paraId="089C7A91" w14:textId="0B2F1175" w:rsidR="00DC25EB" w:rsidRPr="00C66C24" w:rsidRDefault="00DC25EB" w:rsidP="008C6A9C">
      <w:pPr>
        <w:spacing w:line="257" w:lineRule="auto"/>
        <w:rPr>
          <w:rStyle w:val="normaltextrun"/>
        </w:rPr>
      </w:pPr>
    </w:p>
    <w:sectPr w:rsidR="00DC25EB" w:rsidRPr="00C66C24" w:rsidSect="00C34C73">
      <w:headerReference w:type="even" r:id="rId229"/>
      <w:headerReference w:type="default" r:id="rId230"/>
      <w:footerReference w:type="default" r:id="rId231"/>
      <w:headerReference w:type="first" r:id="rId232"/>
      <w:footerReference w:type="first" r:id="rId233"/>
      <w:pgSz w:w="11906" w:h="16838"/>
      <w:pgMar w:top="1417" w:right="1701" w:bottom="1417" w:left="1701" w:header="708"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704FC" w14:textId="77777777" w:rsidR="00D77731" w:rsidRDefault="00D77731" w:rsidP="00442DE0">
      <w:r>
        <w:separator/>
      </w:r>
    </w:p>
  </w:endnote>
  <w:endnote w:type="continuationSeparator" w:id="0">
    <w:p w14:paraId="4DCE4FDE" w14:textId="77777777" w:rsidR="00D77731" w:rsidRDefault="00D77731" w:rsidP="00442DE0">
      <w:r>
        <w:continuationSeparator/>
      </w:r>
    </w:p>
  </w:endnote>
  <w:endnote w:type="continuationNotice" w:id="1">
    <w:p w14:paraId="2CB76DAB" w14:textId="77777777" w:rsidR="00D77731" w:rsidRDefault="00D7773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ヒラギノ角ゴ Pro W3">
    <w:altName w:val="Yu Gothic"/>
    <w:panose1 w:val="00000000000000000000"/>
    <w:charset w:val="80"/>
    <w:family w:val="roman"/>
    <w:notTrueType/>
    <w:pitch w:val="default"/>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NeueLT Std Lt Cn">
    <w:altName w:val="Arial"/>
    <w:panose1 w:val="00000000000000000000"/>
    <w:charset w:val="00"/>
    <w:family w:val="swiss"/>
    <w:notTrueType/>
    <w:pitch w:val="default"/>
    <w:sig w:usb0="00000003" w:usb1="00000000" w:usb2="00000000" w:usb3="00000000" w:csb0="00000001" w:csb1="00000000"/>
  </w:font>
  <w:font w:name="Aptos">
    <w:altName w:val="Aptos"/>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D9E4D" w14:textId="5D051947" w:rsidR="001D0F05" w:rsidRPr="00822195" w:rsidRDefault="001D0F05">
    <w:pPr>
      <w:pStyle w:val="Footer"/>
      <w:rPr>
        <w:rFonts w:cstheme="minorHAnsi"/>
        <w:sz w:val="18"/>
      </w:rPr>
    </w:pPr>
  </w:p>
  <w:p w14:paraId="072EECE2" w14:textId="304C6883" w:rsidR="001D0F05" w:rsidRPr="00822195" w:rsidRDefault="001D0F05">
    <w:pPr>
      <w:pStyle w:val="Footer"/>
      <w:rPr>
        <w:rFonts w:cstheme="minorHAnsi"/>
        <w:sz w:val="18"/>
      </w:rPr>
    </w:pPr>
    <w:r w:rsidRPr="00822195">
      <w:rPr>
        <w:rFonts w:cstheme="minorHAnsi"/>
        <w:sz w:val="18"/>
      </w:rPr>
      <w:t xml:space="preserve">Page | </w:t>
    </w:r>
    <w:r w:rsidRPr="00822195">
      <w:rPr>
        <w:rFonts w:cstheme="minorHAnsi"/>
        <w:sz w:val="18"/>
      </w:rPr>
      <w:fldChar w:fldCharType="begin"/>
    </w:r>
    <w:r w:rsidRPr="00822195">
      <w:rPr>
        <w:rFonts w:cstheme="minorHAnsi"/>
        <w:sz w:val="18"/>
      </w:rPr>
      <w:instrText xml:space="preserve"> PAGE   \* MERGEFORMAT </w:instrText>
    </w:r>
    <w:r w:rsidRPr="00822195">
      <w:rPr>
        <w:rFonts w:cstheme="minorHAnsi"/>
        <w:sz w:val="18"/>
      </w:rPr>
      <w:fldChar w:fldCharType="separate"/>
    </w:r>
    <w:r w:rsidR="00006C70">
      <w:rPr>
        <w:rFonts w:cstheme="minorHAnsi"/>
        <w:noProof/>
        <w:sz w:val="18"/>
      </w:rPr>
      <w:t>7</w:t>
    </w:r>
    <w:r w:rsidRPr="00822195">
      <w:rPr>
        <w:rFonts w:cstheme="minorHAnsi"/>
        <w:noProof/>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CA68" w14:textId="7AA76833" w:rsidR="001D0F05" w:rsidRDefault="00E72D55" w:rsidP="00442DE0">
    <w:pPr>
      <w:pStyle w:val="Footer"/>
    </w:pPr>
    <w:r>
      <w:rPr>
        <w:noProof/>
      </w:rPr>
      <mc:AlternateContent>
        <mc:Choice Requires="wps">
          <w:drawing>
            <wp:anchor distT="0" distB="0" distL="114300" distR="114300" simplePos="0" relativeHeight="251664384" behindDoc="0" locked="0" layoutInCell="1" allowOverlap="1" wp14:anchorId="48CDF4E9" wp14:editId="525A104A">
              <wp:simplePos x="0" y="0"/>
              <wp:positionH relativeFrom="column">
                <wp:posOffset>4685665</wp:posOffset>
              </wp:positionH>
              <wp:positionV relativeFrom="bottomMargin">
                <wp:posOffset>-320040</wp:posOffset>
              </wp:positionV>
              <wp:extent cx="1551305" cy="995680"/>
              <wp:effectExtent l="0" t="0" r="0" b="0"/>
              <wp:wrapSquare wrapText="bothSides"/>
              <wp:docPr id="1164877166" name="Text Box 1164877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305" cy="995680"/>
                      </a:xfrm>
                      <a:prstGeom prst="rect">
                        <a:avLst/>
                      </a:prstGeom>
                      <a:solidFill>
                        <a:srgbClr val="FFFFFF"/>
                      </a:solidFill>
                      <a:ln w="9525">
                        <a:noFill/>
                        <a:miter lim="800000"/>
                        <a:headEnd/>
                        <a:tailEnd/>
                      </a:ln>
                    </wps:spPr>
                    <wps:txbx>
                      <w:txbxContent>
                        <w:p w14:paraId="0529854D" w14:textId="77777777" w:rsidR="00C20375" w:rsidRDefault="00C203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CDF4E9" id="_x0000_t202" coordsize="21600,21600" o:spt="202" path="m,l,21600r21600,l21600,xe">
              <v:stroke joinstyle="miter"/>
              <v:path gradientshapeok="t" o:connecttype="rect"/>
            </v:shapetype>
            <v:shape id="Text Box 1164877166" o:spid="_x0000_s1026" type="#_x0000_t202" style="position:absolute;left:0;text-align:left;margin-left:368.95pt;margin-top:-25.2pt;width:122.15pt;height:7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" stroked="f">
              <v:textbox>
                <w:txbxContent>
                  <w:p w14:paraId="0529854D" w14:textId="77777777" w:rsidR="00C20375" w:rsidRDefault="00C20375"/>
                </w:txbxContent>
              </v:textbox>
              <w10:wrap type="square"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F640F" w14:textId="71B550A3" w:rsidR="00576E4F" w:rsidRPr="00822195" w:rsidRDefault="00576E4F">
    <w:pPr>
      <w:pStyle w:val="Footer"/>
      <w:rPr>
        <w:rFonts w:cstheme="minorHAnsi"/>
        <w:sz w:val="18"/>
      </w:rPr>
    </w:pPr>
  </w:p>
  <w:p w14:paraId="144E3B9D" w14:textId="77777777" w:rsidR="00576E4F" w:rsidRPr="00822195" w:rsidRDefault="00576E4F">
    <w:pPr>
      <w:pStyle w:val="Footer"/>
      <w:rPr>
        <w:rFonts w:cstheme="minorHAnsi"/>
        <w:sz w:val="18"/>
      </w:rPr>
    </w:pPr>
    <w:r w:rsidRPr="00822195">
      <w:rPr>
        <w:rFonts w:cstheme="minorHAnsi"/>
        <w:sz w:val="18"/>
      </w:rPr>
      <w:t xml:space="preserve">Page | </w:t>
    </w:r>
    <w:r w:rsidRPr="00822195">
      <w:rPr>
        <w:rFonts w:cstheme="minorHAnsi"/>
        <w:sz w:val="18"/>
      </w:rPr>
      <w:fldChar w:fldCharType="begin"/>
    </w:r>
    <w:r w:rsidRPr="00822195">
      <w:rPr>
        <w:rFonts w:cstheme="minorHAnsi"/>
        <w:sz w:val="18"/>
      </w:rPr>
      <w:instrText xml:space="preserve"> PAGE   \* MERGEFORMAT </w:instrText>
    </w:r>
    <w:r w:rsidRPr="00822195">
      <w:rPr>
        <w:rFonts w:cstheme="minorHAnsi"/>
        <w:sz w:val="18"/>
      </w:rPr>
      <w:fldChar w:fldCharType="separate"/>
    </w:r>
    <w:r>
      <w:rPr>
        <w:rFonts w:cstheme="minorHAnsi"/>
        <w:noProof/>
        <w:sz w:val="18"/>
      </w:rPr>
      <w:t>7</w:t>
    </w:r>
    <w:r w:rsidRPr="00822195">
      <w:rPr>
        <w:rFonts w:cstheme="minorHAnsi"/>
        <w:noProof/>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68877" w14:textId="4428A036" w:rsidR="00576E4F" w:rsidRPr="00647130" w:rsidRDefault="00576E4F" w:rsidP="00647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35302" w14:textId="77777777" w:rsidR="00D77731" w:rsidRDefault="00D77731" w:rsidP="00442DE0">
      <w:r>
        <w:separator/>
      </w:r>
    </w:p>
  </w:footnote>
  <w:footnote w:type="continuationSeparator" w:id="0">
    <w:p w14:paraId="5A1B9D41" w14:textId="77777777" w:rsidR="00D77731" w:rsidRDefault="00D77731" w:rsidP="00442DE0">
      <w:r>
        <w:continuationSeparator/>
      </w:r>
    </w:p>
  </w:footnote>
  <w:footnote w:type="continuationNotice" w:id="1">
    <w:p w14:paraId="1648264B" w14:textId="77777777" w:rsidR="00D77731" w:rsidRDefault="00D77731">
      <w:pPr>
        <w:spacing w:before="0" w:after="0"/>
      </w:pPr>
    </w:p>
  </w:footnote>
  <w:footnote w:id="2">
    <w:p w14:paraId="543BE98A" w14:textId="77777777" w:rsidR="005B4B4C" w:rsidRPr="00C72A0F" w:rsidRDefault="005B4B4C" w:rsidP="005B4B4C">
      <w:pPr>
        <w:pStyle w:val="FootnoteText"/>
        <w:rPr>
          <w:sz w:val="18"/>
          <w:szCs w:val="18"/>
        </w:rPr>
      </w:pPr>
      <w:r w:rsidRPr="00B73ADC">
        <w:rPr>
          <w:rStyle w:val="FootnoteReference"/>
        </w:rPr>
        <w:footnoteRef/>
      </w:r>
      <w:r w:rsidRPr="00C72A0F">
        <w:rPr>
          <w:sz w:val="18"/>
          <w:szCs w:val="18"/>
        </w:rPr>
        <w:t xml:space="preserve"> Ro-Ro and Ro-Pax ships are ships built for freight vehicle transport along with passenger accommodation.</w:t>
      </w:r>
    </w:p>
  </w:footnote>
  <w:footnote w:id="3">
    <w:p w14:paraId="70A5B619" w14:textId="6C3BA637" w:rsidR="00C07EC2" w:rsidRPr="00950C27" w:rsidRDefault="00C07EC2">
      <w:pPr>
        <w:pStyle w:val="FootnoteText"/>
        <w:rPr>
          <w:sz w:val="18"/>
          <w:szCs w:val="18"/>
        </w:rPr>
      </w:pPr>
      <w:r w:rsidRPr="00B73ADC">
        <w:rPr>
          <w:rStyle w:val="FootnoteReference"/>
        </w:rPr>
        <w:footnoteRef/>
      </w:r>
      <w:r w:rsidRPr="00950C27">
        <w:rPr>
          <w:sz w:val="18"/>
          <w:szCs w:val="18"/>
        </w:rPr>
        <w:t xml:space="preserve"> </w:t>
      </w:r>
      <w:r w:rsidR="00615E31" w:rsidRPr="00950C27">
        <w:rPr>
          <w:sz w:val="18"/>
          <w:szCs w:val="18"/>
        </w:rPr>
        <w:t xml:space="preserve">Relevant data are available on the </w:t>
      </w:r>
      <w:r w:rsidR="00950C27" w:rsidRPr="00950C27">
        <w:rPr>
          <w:sz w:val="18"/>
          <w:szCs w:val="18"/>
        </w:rPr>
        <w:t xml:space="preserve">Scientific, Technical and Economic Committee for Fisheries (STECF) website: </w:t>
      </w:r>
      <w:hyperlink r:id="rId1" w:history="1">
        <w:r w:rsidR="00950C27" w:rsidRPr="00950C27">
          <w:rPr>
            <w:rStyle w:val="Hyperlink"/>
            <w:sz w:val="18"/>
            <w:szCs w:val="18"/>
          </w:rPr>
          <w:t>https://stecf.jrc.ec.europa.eu/index.html</w:t>
        </w:r>
      </w:hyperlink>
      <w:r w:rsidR="00950C27" w:rsidRPr="00950C27">
        <w:rPr>
          <w:sz w:val="18"/>
          <w:szCs w:val="18"/>
        </w:rPr>
        <w:t xml:space="preserve"> </w:t>
      </w:r>
    </w:p>
  </w:footnote>
  <w:footnote w:id="4">
    <w:p w14:paraId="6ABFB486" w14:textId="1167D407" w:rsidR="005E5E17" w:rsidRPr="00FD087B" w:rsidRDefault="005E5E17" w:rsidP="005E5E17">
      <w:pPr>
        <w:pStyle w:val="FootnoteText"/>
        <w:rPr>
          <w:sz w:val="18"/>
          <w:szCs w:val="18"/>
        </w:rPr>
      </w:pPr>
      <w:r w:rsidRPr="00FD087B">
        <w:rPr>
          <w:rStyle w:val="FootnoteReference"/>
          <w:sz w:val="18"/>
          <w:szCs w:val="18"/>
        </w:rPr>
        <w:footnoteRef/>
      </w:r>
      <w:r w:rsidRPr="00FD087B">
        <w:rPr>
          <w:sz w:val="18"/>
          <w:szCs w:val="18"/>
        </w:rPr>
        <w:t xml:space="preserve"> MRV system allows for correction of already submitted emissions on a rolling basis. All MRV data and information was extracted on </w:t>
      </w:r>
      <w:r w:rsidR="00500BEB" w:rsidRPr="00FD087B">
        <w:rPr>
          <w:sz w:val="18"/>
          <w:szCs w:val="18"/>
        </w:rPr>
        <w:t>16</w:t>
      </w:r>
      <w:r w:rsidRPr="00FD087B">
        <w:rPr>
          <w:sz w:val="18"/>
          <w:szCs w:val="18"/>
        </w:rPr>
        <w:t xml:space="preserve"> </w:t>
      </w:r>
      <w:r w:rsidR="00923D46" w:rsidRPr="00FD087B">
        <w:rPr>
          <w:sz w:val="18"/>
          <w:szCs w:val="18"/>
        </w:rPr>
        <w:t>October 2023</w:t>
      </w:r>
      <w:r w:rsidRPr="00FD087B">
        <w:rPr>
          <w:sz w:val="18"/>
          <w:szCs w:val="18"/>
        </w:rPr>
        <w:t xml:space="preserve">. Data provided or updated by shipping companies after this date is not reflected in this report. </w:t>
      </w:r>
    </w:p>
  </w:footnote>
  <w:footnote w:id="5">
    <w:p w14:paraId="577D743C" w14:textId="77777777" w:rsidR="005E5E17" w:rsidRPr="00FD087B" w:rsidRDefault="005E5E17" w:rsidP="005E5E17">
      <w:pPr>
        <w:pStyle w:val="FootnoteText"/>
        <w:rPr>
          <w:sz w:val="18"/>
          <w:szCs w:val="18"/>
        </w:rPr>
      </w:pPr>
      <w:r w:rsidRPr="00E20787">
        <w:rPr>
          <w:sz w:val="18"/>
          <w:szCs w:val="18"/>
          <w:vertAlign w:val="superscript"/>
        </w:rPr>
        <w:footnoteRef/>
      </w:r>
      <w:r w:rsidRPr="00E20787">
        <w:rPr>
          <w:sz w:val="18"/>
          <w:szCs w:val="18"/>
        </w:rPr>
        <w:t xml:space="preserve"> </w:t>
      </w:r>
      <w:r w:rsidRPr="00FD087B">
        <w:rPr>
          <w:sz w:val="18"/>
          <w:szCs w:val="18"/>
        </w:rPr>
        <w:t>The 2020 MRV data also accounted for the UK vessels.</w:t>
      </w:r>
    </w:p>
  </w:footnote>
  <w:footnote w:id="6">
    <w:p w14:paraId="02E10FCC" w14:textId="77777777" w:rsidR="005E5E17" w:rsidRPr="00AB5D8E" w:rsidRDefault="005E5E17" w:rsidP="005E5E17">
      <w:pPr>
        <w:pStyle w:val="FootnoteText"/>
        <w:rPr>
          <w:sz w:val="18"/>
          <w:szCs w:val="18"/>
        </w:rPr>
      </w:pPr>
    </w:p>
  </w:footnote>
  <w:footnote w:id="7">
    <w:p w14:paraId="0F27AB1A" w14:textId="77777777" w:rsidR="005E5E17" w:rsidRPr="00DB487D" w:rsidRDefault="005E5E17" w:rsidP="005E5E17">
      <w:pPr>
        <w:pStyle w:val="FootnoteText"/>
        <w:rPr>
          <w:sz w:val="18"/>
          <w:szCs w:val="18"/>
        </w:rPr>
      </w:pPr>
      <w:r w:rsidRPr="00D56000">
        <w:rPr>
          <w:sz w:val="18"/>
          <w:szCs w:val="18"/>
          <w:vertAlign w:val="superscript"/>
        </w:rPr>
        <w:footnoteRef/>
      </w:r>
      <w:r w:rsidRPr="00D56000">
        <w:rPr>
          <w:sz w:val="18"/>
          <w:szCs w:val="18"/>
          <w:vertAlign w:val="superscript"/>
        </w:rPr>
        <w:t xml:space="preserve"> </w:t>
      </w:r>
      <w:r w:rsidRPr="00AB5D8E">
        <w:rPr>
          <w:sz w:val="18"/>
          <w:szCs w:val="18"/>
        </w:rPr>
        <w:t>Note</w:t>
      </w:r>
      <w:r w:rsidRPr="00DB487D">
        <w:rPr>
          <w:rFonts w:cstheme="minorHAnsi"/>
          <w:sz w:val="18"/>
          <w:szCs w:val="18"/>
          <w:shd w:val="clear" w:color="auto" w:fill="FFFFFF"/>
        </w:rPr>
        <w:t xml:space="preserve"> that the definitions of the categories differ across the dataset. For MRV emissions are divided in intra EEA, extra EEA and at berth. For inventories and STEAM, emissions are divided in domestic and international navigation. Notice that these categories are defined in a different way in the two datasets.</w:t>
      </w:r>
    </w:p>
  </w:footnote>
  <w:footnote w:id="8">
    <w:p w14:paraId="7FDBBB71" w14:textId="77777777" w:rsidR="005E5E17" w:rsidRPr="00DB487D" w:rsidRDefault="005E5E17" w:rsidP="005E5E17">
      <w:pPr>
        <w:pStyle w:val="FootnoteText"/>
        <w:rPr>
          <w:sz w:val="18"/>
          <w:szCs w:val="18"/>
        </w:rPr>
      </w:pPr>
      <w:r w:rsidRPr="00F029EB">
        <w:rPr>
          <w:rStyle w:val="FootnoteReference"/>
        </w:rPr>
        <w:footnoteRef/>
      </w:r>
      <w:r w:rsidRPr="00DB487D">
        <w:rPr>
          <w:sz w:val="18"/>
          <w:szCs w:val="18"/>
        </w:rPr>
        <w:t xml:space="preserve"> Tonnes-kilometre (</w:t>
      </w:r>
      <w:proofErr w:type="spellStart"/>
      <w:r w:rsidRPr="00DB487D">
        <w:rPr>
          <w:sz w:val="18"/>
          <w:szCs w:val="18"/>
        </w:rPr>
        <w:t>tkm</w:t>
      </w:r>
      <w:proofErr w:type="spellEnd"/>
      <w:r w:rsidRPr="00DB487D">
        <w:rPr>
          <w:sz w:val="18"/>
          <w:szCs w:val="18"/>
        </w:rPr>
        <w:t>):  unit of measure of freight transport which represents the transport of one tonne of goods over the distance of one kilometre:</w:t>
      </w:r>
      <w:r w:rsidRPr="00DB487D">
        <w:rPr>
          <w:rFonts w:cstheme="minorHAnsi"/>
          <w:sz w:val="18"/>
          <w:szCs w:val="18"/>
        </w:rPr>
        <w:t xml:space="preserve"> </w:t>
      </w:r>
      <w:hyperlink r:id="rId2" w:history="1">
        <w:r w:rsidRPr="00DB487D">
          <w:rPr>
            <w:rStyle w:val="Hyperlink"/>
            <w:rFonts w:cstheme="minorHAnsi"/>
            <w:sz w:val="18"/>
            <w:szCs w:val="18"/>
            <w:shd w:val="clear" w:color="auto" w:fill="FFFFFF"/>
          </w:rPr>
          <w:t>https://ec.europa.eu/eurostat/statistics-explained/index.php?title=Glossary:Tonne-kilometre_(tkm</w:t>
        </w:r>
      </w:hyperlink>
      <w:r w:rsidRPr="00DB487D">
        <w:rPr>
          <w:rFonts w:cstheme="minorHAnsi"/>
          <w:sz w:val="18"/>
          <w:szCs w:val="18"/>
          <w:shd w:val="clear" w:color="auto" w:fill="FFFFFF"/>
        </w:rPr>
        <w:t>)</w:t>
      </w:r>
    </w:p>
  </w:footnote>
  <w:footnote w:id="9">
    <w:p w14:paraId="2BB2DB55" w14:textId="77777777" w:rsidR="005E5E17" w:rsidRDefault="005E5E17" w:rsidP="005E5E17">
      <w:pPr>
        <w:pStyle w:val="FootnoteText"/>
      </w:pPr>
      <w:r w:rsidRPr="00F029EB">
        <w:rPr>
          <w:rStyle w:val="FootnoteReference"/>
        </w:rPr>
        <w:footnoteRef/>
      </w:r>
      <w:r w:rsidRPr="00DB487D">
        <w:rPr>
          <w:sz w:val="18"/>
          <w:szCs w:val="18"/>
        </w:rPr>
        <w:t xml:space="preserve"> Passenger-kilometre (</w:t>
      </w:r>
      <w:proofErr w:type="spellStart"/>
      <w:r w:rsidRPr="00DB487D">
        <w:rPr>
          <w:sz w:val="18"/>
          <w:szCs w:val="18"/>
        </w:rPr>
        <w:t>pkm</w:t>
      </w:r>
      <w:proofErr w:type="spellEnd"/>
      <w:r w:rsidRPr="00DB487D">
        <w:rPr>
          <w:sz w:val="18"/>
          <w:szCs w:val="18"/>
        </w:rPr>
        <w:t xml:space="preserve">): unit of measure of passenger transport which represents the transport of one passenger over a distance of one kilometre: </w:t>
      </w:r>
      <w:hyperlink r:id="rId3" w:history="1">
        <w:r w:rsidRPr="00DB487D">
          <w:rPr>
            <w:rStyle w:val="Hyperlink"/>
            <w:sz w:val="18"/>
            <w:szCs w:val="18"/>
          </w:rPr>
          <w:t>https://ec.europa.eu/eurostat/statistics-explained/index.php?title=Glossary:Passenger-kilometre</w:t>
        </w:r>
      </w:hyperlink>
      <w:r>
        <w:rPr>
          <w:sz w:val="20"/>
        </w:rPr>
        <w:t xml:space="preserve"> </w:t>
      </w:r>
    </w:p>
  </w:footnote>
  <w:footnote w:id="10">
    <w:p w14:paraId="6BB7D023" w14:textId="1506034C" w:rsidR="003E4A69" w:rsidRPr="00930D62" w:rsidRDefault="003E4A69">
      <w:pPr>
        <w:pStyle w:val="FootnoteText"/>
        <w:rPr>
          <w:sz w:val="18"/>
          <w:szCs w:val="18"/>
        </w:rPr>
      </w:pPr>
      <w:r w:rsidRPr="00930D62">
        <w:rPr>
          <w:rStyle w:val="FootnoteReference"/>
          <w:sz w:val="18"/>
          <w:szCs w:val="18"/>
        </w:rPr>
        <w:footnoteRef/>
      </w:r>
      <w:r w:rsidRPr="00930D62">
        <w:rPr>
          <w:sz w:val="18"/>
          <w:szCs w:val="18"/>
        </w:rPr>
        <w:t xml:space="preserve"> </w:t>
      </w:r>
      <w:r w:rsidR="00930D62" w:rsidRPr="00930D62">
        <w:rPr>
          <w:sz w:val="18"/>
          <w:szCs w:val="18"/>
        </w:rPr>
        <w:t>https://blue-economy-observatory.ec.europa.eu/fishing-fleet-fuel-analysis_en</w:t>
      </w:r>
    </w:p>
  </w:footnote>
  <w:footnote w:id="11">
    <w:p w14:paraId="5CF81D97" w14:textId="628D30A4" w:rsidR="00FB265A" w:rsidRPr="00BA2E02" w:rsidRDefault="00FB265A">
      <w:pPr>
        <w:pStyle w:val="FootnoteText"/>
        <w:rPr>
          <w:sz w:val="18"/>
          <w:szCs w:val="18"/>
        </w:rPr>
      </w:pPr>
      <w:r w:rsidRPr="00BA2E02">
        <w:rPr>
          <w:rStyle w:val="FootnoteReference"/>
          <w:sz w:val="18"/>
          <w:szCs w:val="18"/>
        </w:rPr>
        <w:footnoteRef/>
      </w:r>
      <w:r w:rsidRPr="00BA2E02">
        <w:rPr>
          <w:sz w:val="18"/>
          <w:szCs w:val="18"/>
        </w:rPr>
        <w:t xml:space="preserve"> </w:t>
      </w:r>
      <w:r w:rsidR="00BA2E02" w:rsidRPr="00BA2E02">
        <w:rPr>
          <w:rFonts w:ascii="Calibri" w:eastAsia="Calibri" w:hAnsi="Calibri" w:cs="Calibri"/>
          <w:color w:val="000000" w:themeColor="text1"/>
          <w:sz w:val="18"/>
          <w:szCs w:val="18"/>
        </w:rPr>
        <w:t>More specifically:</w:t>
      </w:r>
      <w:r w:rsidR="0050365C" w:rsidRPr="00BA2E02">
        <w:rPr>
          <w:rFonts w:ascii="Calibri" w:eastAsia="Calibri" w:hAnsi="Calibri" w:cs="Calibri"/>
          <w:color w:val="000000" w:themeColor="text1"/>
          <w:sz w:val="18"/>
          <w:szCs w:val="18"/>
        </w:rPr>
        <w:t xml:space="preserve"> i) the discharge is not allowed in areas such estuaries, specific ports, harbours (or areas with other regional measures); ii) the water to be discharged does not comply with the criteria defined under the IMO 2021 EGCS guidelines (resolution MEPC.340(77))</w:t>
      </w:r>
      <w:r w:rsidR="00BA2E02" w:rsidRPr="00BA2E02">
        <w:rPr>
          <w:rFonts w:ascii="Calibri" w:eastAsia="Calibri" w:hAnsi="Calibri" w:cs="Calibri"/>
          <w:color w:val="000000" w:themeColor="text1"/>
          <w:sz w:val="18"/>
          <w:szCs w:val="18"/>
        </w:rPr>
        <w:t>.</w:t>
      </w:r>
    </w:p>
  </w:footnote>
  <w:footnote w:id="12">
    <w:p w14:paraId="2E1E88C9" w14:textId="26138384" w:rsidR="00470A98" w:rsidRPr="000F3011" w:rsidRDefault="00470A98" w:rsidP="0046573D">
      <w:pPr>
        <w:spacing w:before="0" w:after="0" w:line="259" w:lineRule="auto"/>
        <w:rPr>
          <w:sz w:val="18"/>
          <w:szCs w:val="18"/>
        </w:rPr>
      </w:pPr>
      <w:r w:rsidRPr="00F029EB">
        <w:rPr>
          <w:rStyle w:val="FootnoteReference"/>
        </w:rPr>
        <w:footnoteRef/>
      </w:r>
      <w:r w:rsidRPr="00D751BC">
        <w:rPr>
          <w:sz w:val="18"/>
          <w:szCs w:val="18"/>
        </w:rPr>
        <w:t xml:space="preserve"> </w:t>
      </w:r>
      <w:r w:rsidR="00332867" w:rsidRPr="00D751BC">
        <w:rPr>
          <w:rFonts w:ascii="Calibri" w:eastAsia="Calibri" w:hAnsi="Calibri" w:cs="Calibri"/>
          <w:color w:val="000000" w:themeColor="text1"/>
          <w:sz w:val="18"/>
          <w:szCs w:val="18"/>
        </w:rPr>
        <w:t>T</w:t>
      </w:r>
      <w:r w:rsidRPr="00D751BC">
        <w:rPr>
          <w:rFonts w:ascii="Calibri" w:eastAsia="Calibri" w:hAnsi="Calibri" w:cs="Calibri"/>
          <w:color w:val="000000" w:themeColor="text1"/>
          <w:sz w:val="18"/>
          <w:szCs w:val="18"/>
        </w:rPr>
        <w:t>he last period is shorter (3-year).</w:t>
      </w:r>
    </w:p>
  </w:footnote>
  <w:footnote w:id="13">
    <w:p w14:paraId="13F585C8" w14:textId="2DD06025" w:rsidR="00506291" w:rsidRPr="000F3011" w:rsidRDefault="00506291">
      <w:pPr>
        <w:pStyle w:val="FootnoteText"/>
        <w:rPr>
          <w:sz w:val="18"/>
          <w:szCs w:val="18"/>
        </w:rPr>
      </w:pPr>
      <w:r w:rsidRPr="00B73ADC">
        <w:rPr>
          <w:rStyle w:val="FootnoteReference"/>
        </w:rPr>
        <w:footnoteRef/>
      </w:r>
      <w:r w:rsidRPr="000F3011">
        <w:rPr>
          <w:sz w:val="18"/>
          <w:szCs w:val="18"/>
        </w:rPr>
        <w:t xml:space="preserve"> Key to categories: ‘ballast water’: with ships ballast waters; ‘hull fouling’: attached to ships’ outer hulls; ‘contaminant’: carried with another species in a ship; ‘Corridor’: via man-made shipping canals; ‘other’: any other ship-related means.</w:t>
      </w:r>
      <w:r w:rsidR="00332867" w:rsidRPr="000F3011">
        <w:rPr>
          <w:sz w:val="18"/>
          <w:szCs w:val="18"/>
        </w:rPr>
        <w:t xml:space="preserve"> </w:t>
      </w:r>
      <w:r w:rsidRPr="000F3011">
        <w:rPr>
          <w:sz w:val="18"/>
          <w:szCs w:val="18"/>
        </w:rPr>
        <w:t>The last period is shorter (3-year)</w:t>
      </w:r>
      <w:r w:rsidR="00F4255E" w:rsidRPr="000F3011">
        <w:rPr>
          <w:sz w:val="18"/>
          <w:szCs w:val="18"/>
        </w:rPr>
        <w:t>.</w:t>
      </w:r>
    </w:p>
  </w:footnote>
  <w:footnote w:id="14">
    <w:p w14:paraId="6EAF05AE" w14:textId="2EF7F845" w:rsidR="00DE7129" w:rsidRPr="00504A7D" w:rsidRDefault="00DE7129">
      <w:pPr>
        <w:pStyle w:val="FootnoteText"/>
        <w:rPr>
          <w:sz w:val="18"/>
          <w:szCs w:val="18"/>
        </w:rPr>
      </w:pPr>
      <w:r w:rsidRPr="00B73ADC">
        <w:rPr>
          <w:rStyle w:val="FootnoteReference"/>
        </w:rPr>
        <w:footnoteRef/>
      </w:r>
      <w:r w:rsidRPr="00504A7D">
        <w:rPr>
          <w:sz w:val="18"/>
          <w:szCs w:val="18"/>
        </w:rPr>
        <w:t xml:space="preserve"> </w:t>
      </w:r>
      <w:r w:rsidR="000F3011" w:rsidRPr="00504A7D">
        <w:rPr>
          <w:sz w:val="18"/>
          <w:szCs w:val="18"/>
        </w:rPr>
        <w:t xml:space="preserve">These figures </w:t>
      </w:r>
      <w:r w:rsidR="000F3011" w:rsidRPr="00504A7D">
        <w:rPr>
          <w:sz w:val="18"/>
          <w:szCs w:val="18"/>
          <w:lang w:val="en-US"/>
        </w:rPr>
        <w:t>refer</w:t>
      </w:r>
      <w:r w:rsidR="000F3011" w:rsidRPr="00504A7D">
        <w:rPr>
          <w:sz w:val="18"/>
          <w:szCs w:val="18"/>
        </w:rPr>
        <w:t xml:space="preserve"> to vessels globally, as fleet regionalisation (to EU or European Economic Area) is difficult and no</w:t>
      </w:r>
      <w:r w:rsidR="000F3011" w:rsidRPr="00504A7D">
        <w:rPr>
          <w:sz w:val="18"/>
          <w:szCs w:val="18"/>
          <w:lang w:val="en-US"/>
        </w:rPr>
        <w:t>t</w:t>
      </w:r>
      <w:r w:rsidR="000F3011" w:rsidRPr="00504A7D">
        <w:rPr>
          <w:sz w:val="18"/>
          <w:szCs w:val="18"/>
        </w:rPr>
        <w:t xml:space="preserve"> meaningful since vessels from all over the world are present in European Seas. Only a small share (&lt; 4000 vessels) with Certificate is registered in the European Economic Area countries.</w:t>
      </w:r>
    </w:p>
  </w:footnote>
  <w:footnote w:id="15">
    <w:p w14:paraId="00A91B19" w14:textId="2E7B2FA6" w:rsidR="00D16842" w:rsidRPr="00D16842" w:rsidRDefault="00D16842">
      <w:pPr>
        <w:pStyle w:val="FootnoteText"/>
        <w:rPr>
          <w:sz w:val="18"/>
          <w:szCs w:val="18"/>
        </w:rPr>
      </w:pPr>
      <w:r w:rsidRPr="00B73ADC">
        <w:rPr>
          <w:rStyle w:val="FootnoteReference"/>
        </w:rPr>
        <w:footnoteRef/>
      </w:r>
      <w:r w:rsidRPr="00D16842">
        <w:rPr>
          <w:sz w:val="18"/>
          <w:szCs w:val="18"/>
        </w:rPr>
        <w:t xml:space="preserve"> SPL calculations are performed for two 1/10- decade (one tenth of a decade, or </w:t>
      </w:r>
      <w:proofErr w:type="spellStart"/>
      <w:r w:rsidRPr="00D16842">
        <w:rPr>
          <w:sz w:val="18"/>
          <w:szCs w:val="18"/>
        </w:rPr>
        <w:t>decidecade</w:t>
      </w:r>
      <w:proofErr w:type="spellEnd"/>
      <w:r w:rsidRPr="00D16842">
        <w:rPr>
          <w:sz w:val="18"/>
          <w:szCs w:val="18"/>
        </w:rPr>
        <w:t>) bands, with nominal centre frequencies (63 and 125 Hz) corresponding to the European Union’s (EU’s) Marine Strategy Framework Directive (MSFD) environmental status indicators for low-frequency continuous sound (2008/56/EC).</w:t>
      </w:r>
    </w:p>
  </w:footnote>
  <w:footnote w:id="16">
    <w:p w14:paraId="6EF7B38E" w14:textId="47F2AFE0" w:rsidR="004B02B7" w:rsidRPr="004B02B7" w:rsidRDefault="004B02B7">
      <w:pPr>
        <w:pStyle w:val="FootnoteText"/>
        <w:rPr>
          <w:sz w:val="18"/>
          <w:szCs w:val="18"/>
        </w:rPr>
      </w:pPr>
      <w:r w:rsidRPr="00B73ADC">
        <w:rPr>
          <w:rStyle w:val="FootnoteReference"/>
        </w:rPr>
        <w:footnoteRef/>
      </w:r>
      <w:r w:rsidRPr="004B02B7">
        <w:rPr>
          <w:sz w:val="18"/>
          <w:szCs w:val="18"/>
        </w:rPr>
        <w:t xml:space="preserve"> Monitoring events of the recent most recent available five years 2018–2022 are included. The share is calculated based on the number of items, not the volume/weight.</w:t>
      </w:r>
    </w:p>
  </w:footnote>
  <w:footnote w:id="17">
    <w:p w14:paraId="6A5E92AA" w14:textId="56D1A177" w:rsidR="006132E6" w:rsidRPr="00590B58" w:rsidRDefault="006132E6">
      <w:pPr>
        <w:pStyle w:val="FootnoteText"/>
        <w:rPr>
          <w:sz w:val="18"/>
          <w:szCs w:val="18"/>
        </w:rPr>
      </w:pPr>
      <w:r w:rsidRPr="00B73ADC">
        <w:rPr>
          <w:rStyle w:val="FootnoteReference"/>
        </w:rPr>
        <w:footnoteRef/>
      </w:r>
      <w:r w:rsidRPr="006132E6">
        <w:rPr>
          <w:sz w:val="18"/>
          <w:szCs w:val="18"/>
        </w:rPr>
        <w:t xml:space="preserve"> </w:t>
      </w:r>
      <w:r w:rsidRPr="00082517">
        <w:rPr>
          <w:iCs w:val="0"/>
          <w:sz w:val="18"/>
          <w:szCs w:val="18"/>
        </w:rPr>
        <w:t>Monitoring events of the recent most recent available five years 2018–2022 are included. The share is calculated based on the number of items, not the volume/weight.</w:t>
      </w:r>
    </w:p>
  </w:footnote>
  <w:footnote w:id="18">
    <w:p w14:paraId="27201322" w14:textId="5A7865BA" w:rsidR="00590B58" w:rsidRDefault="00590B58">
      <w:pPr>
        <w:pStyle w:val="FootnoteText"/>
      </w:pPr>
      <w:r w:rsidRPr="00B73ADC">
        <w:rPr>
          <w:rStyle w:val="FootnoteReference"/>
        </w:rPr>
        <w:footnoteRef/>
      </w:r>
      <w:r w:rsidRPr="00590B58">
        <w:rPr>
          <w:sz w:val="18"/>
          <w:szCs w:val="18"/>
        </w:rPr>
        <w:t xml:space="preserve"> Monitoring events of the period 2013–2022 are included.</w:t>
      </w:r>
    </w:p>
  </w:footnote>
  <w:footnote w:id="19">
    <w:p w14:paraId="25483475" w14:textId="498E094B" w:rsidR="00AD4B0F" w:rsidRPr="00EE2716" w:rsidRDefault="00AD4B0F">
      <w:pPr>
        <w:pStyle w:val="FootnoteText"/>
        <w:rPr>
          <w:sz w:val="18"/>
          <w:szCs w:val="18"/>
        </w:rPr>
      </w:pPr>
      <w:r w:rsidRPr="00EE2716">
        <w:rPr>
          <w:rStyle w:val="FootnoteReference"/>
          <w:sz w:val="18"/>
          <w:szCs w:val="18"/>
        </w:rPr>
        <w:footnoteRef/>
      </w:r>
      <w:r w:rsidRPr="00EE2716">
        <w:rPr>
          <w:sz w:val="18"/>
          <w:szCs w:val="18"/>
        </w:rPr>
        <w:t xml:space="preserve"> </w:t>
      </w:r>
      <w:r w:rsidRPr="00EE2716">
        <w:rPr>
          <w:rFonts w:eastAsiaTheme="minorEastAsia" w:cstheme="minorBidi"/>
          <w:sz w:val="18"/>
          <w:szCs w:val="18"/>
        </w:rPr>
        <w:t>To be noted that not all the Member States have yet reported under the PRF Directive for the first and second obligatory reporting period.</w:t>
      </w:r>
    </w:p>
  </w:footnote>
  <w:footnote w:id="20">
    <w:p w14:paraId="6D075047" w14:textId="77777777" w:rsidR="00CA6F23" w:rsidRPr="00BB5B7B" w:rsidRDefault="00CA6F23" w:rsidP="00CA6F23">
      <w:pPr>
        <w:pStyle w:val="FootnoteText"/>
        <w:rPr>
          <w:sz w:val="18"/>
          <w:szCs w:val="18"/>
        </w:rPr>
      </w:pPr>
      <w:r w:rsidRPr="00EE2716">
        <w:rPr>
          <w:rStyle w:val="FootnoteReference"/>
          <w:sz w:val="18"/>
          <w:szCs w:val="18"/>
        </w:rPr>
        <w:footnoteRef/>
      </w:r>
      <w:r w:rsidRPr="00EE2716">
        <w:rPr>
          <w:sz w:val="18"/>
          <w:szCs w:val="18"/>
        </w:rPr>
        <w:t xml:space="preserve"> Data from Portugal and Spain has been reported, but is currently being updated by the authorities. Graph will be updated by adding these two amounts.</w:t>
      </w:r>
    </w:p>
  </w:footnote>
  <w:footnote w:id="21">
    <w:p w14:paraId="4AD052D5" w14:textId="32EAE003" w:rsidR="00BB5B7B" w:rsidRDefault="00BB5B7B">
      <w:pPr>
        <w:pStyle w:val="FootnoteText"/>
      </w:pPr>
      <w:r w:rsidRPr="00BB5B7B">
        <w:rPr>
          <w:rStyle w:val="FootnoteReference"/>
          <w:sz w:val="18"/>
          <w:szCs w:val="18"/>
        </w:rPr>
        <w:footnoteRef/>
      </w:r>
      <w:r w:rsidRPr="00BB5B7B">
        <w:rPr>
          <w:sz w:val="18"/>
          <w:szCs w:val="18"/>
        </w:rPr>
        <w:t xml:space="preserve"> </w:t>
      </w:r>
      <w:r w:rsidRPr="00BB5B7B">
        <w:rPr>
          <w:rFonts w:eastAsiaTheme="minorEastAsia" w:cstheme="minorBidi"/>
          <w:sz w:val="18"/>
          <w:szCs w:val="18"/>
        </w:rPr>
        <w:t>6089 and 7225 PRF Directive inspections where respectively carried out in 2022 and 2023.</w:t>
      </w:r>
    </w:p>
  </w:footnote>
  <w:footnote w:id="22">
    <w:p w14:paraId="1E163B44" w14:textId="42F9E08C" w:rsidR="00A76194" w:rsidRPr="00A855C9" w:rsidRDefault="00A76194" w:rsidP="00A855C9">
      <w:pPr>
        <w:spacing w:before="0" w:after="0" w:line="259" w:lineRule="auto"/>
        <w:rPr>
          <w:rFonts w:eastAsiaTheme="minorEastAsia" w:cstheme="minorBidi"/>
          <w:sz w:val="18"/>
          <w:szCs w:val="18"/>
        </w:rPr>
      </w:pPr>
      <w:r w:rsidRPr="00A855C9">
        <w:rPr>
          <w:rStyle w:val="FootnoteReference"/>
          <w:sz w:val="18"/>
          <w:szCs w:val="18"/>
        </w:rPr>
        <w:footnoteRef/>
      </w:r>
      <w:r w:rsidRPr="00A855C9">
        <w:rPr>
          <w:sz w:val="18"/>
          <w:szCs w:val="18"/>
        </w:rPr>
        <w:t xml:space="preserve"> </w:t>
      </w:r>
      <w:r w:rsidR="00A855C9" w:rsidRPr="00A855C9">
        <w:rPr>
          <w:rStyle w:val="normaltextrun"/>
          <w:rFonts w:cstheme="minorHAnsi"/>
          <w:sz w:val="18"/>
          <w:szCs w:val="18"/>
        </w:rPr>
        <w:t>Data should be interpreted with the disclaimer that countries started reporting waste receipts electronically gradually in 2022 and 2023, and are still not doing it for the totality of the waste disposal operations: 12 countries started in in 2022 and by 31 December 2023 a total of 20 countries were reporting. With time, all countries should issue electronic waste receipts and for all waste disposals at ports, in order to have more reliable information and better quality of data.</w:t>
      </w:r>
      <w:r w:rsidR="00A855C9" w:rsidRPr="00A855C9">
        <w:rPr>
          <w:rFonts w:eastAsiaTheme="minorEastAsia" w:cstheme="minorBidi"/>
          <w:sz w:val="18"/>
          <w:szCs w:val="18"/>
        </w:rPr>
        <w:t xml:space="preserve"> </w:t>
      </w:r>
    </w:p>
  </w:footnote>
  <w:footnote w:id="23">
    <w:p w14:paraId="25943A8A" w14:textId="1E2B1719" w:rsidR="00D864BA" w:rsidRPr="00642FDA" w:rsidRDefault="00D864BA">
      <w:pPr>
        <w:pStyle w:val="FootnoteText"/>
        <w:rPr>
          <w:b/>
          <w:sz w:val="18"/>
          <w:szCs w:val="18"/>
        </w:rPr>
      </w:pPr>
      <w:r w:rsidRPr="00642FDA">
        <w:rPr>
          <w:rStyle w:val="FootnoteReference"/>
          <w:sz w:val="18"/>
          <w:szCs w:val="18"/>
        </w:rPr>
        <w:footnoteRef/>
      </w:r>
      <w:r w:rsidRPr="00642FDA">
        <w:rPr>
          <w:sz w:val="18"/>
          <w:szCs w:val="18"/>
        </w:rPr>
        <w:t xml:space="preserve"> </w:t>
      </w:r>
      <w:r w:rsidR="00642FDA" w:rsidRPr="00642FDA">
        <w:rPr>
          <w:bCs/>
          <w:sz w:val="18"/>
          <w:szCs w:val="18"/>
        </w:rPr>
        <w:t>Disclaimer: not all countries reported waste receipts in 2022 and 2023 electronically and those that reported did it only for part of the disposal operations.</w:t>
      </w:r>
    </w:p>
  </w:footnote>
  <w:footnote w:id="24">
    <w:p w14:paraId="48E67D92" w14:textId="5B6BC410" w:rsidR="007A48FF" w:rsidRPr="00955B52" w:rsidRDefault="007A48FF" w:rsidP="003F40C6">
      <w:pPr>
        <w:pStyle w:val="NormalWeb"/>
        <w:shd w:val="clear" w:color="auto" w:fill="FFFFFF" w:themeFill="background1"/>
        <w:spacing w:before="0" w:beforeAutospacing="0" w:after="0" w:afterAutospacing="0" w:line="259" w:lineRule="auto"/>
        <w:contextualSpacing/>
        <w:rPr>
          <w:rFonts w:asciiTheme="minorHAnsi" w:hAnsiTheme="minorHAnsi" w:cstheme="minorHAnsi"/>
          <w:sz w:val="18"/>
          <w:szCs w:val="18"/>
        </w:rPr>
      </w:pPr>
      <w:r w:rsidRPr="00955B52">
        <w:rPr>
          <w:rStyle w:val="FootnoteReference"/>
          <w:rFonts w:asciiTheme="minorHAnsi" w:hAnsiTheme="minorHAnsi" w:cstheme="minorHAnsi"/>
          <w:sz w:val="18"/>
          <w:szCs w:val="18"/>
        </w:rPr>
        <w:footnoteRef/>
      </w:r>
      <w:r w:rsidRPr="00955B52">
        <w:rPr>
          <w:rFonts w:asciiTheme="minorHAnsi" w:hAnsiTheme="minorHAnsi" w:cstheme="minorHAnsi"/>
          <w:sz w:val="18"/>
          <w:szCs w:val="18"/>
        </w:rPr>
        <w:t xml:space="preserve"> No date provided for the certification</w:t>
      </w:r>
      <w:r w:rsidR="003F40C6" w:rsidRPr="00955B52">
        <w:rPr>
          <w:rFonts w:asciiTheme="minorHAnsi" w:hAnsiTheme="minorHAnsi" w:cstheme="minorHAnsi"/>
          <w:sz w:val="18"/>
          <w:szCs w:val="18"/>
        </w:rPr>
        <w:t>.</w:t>
      </w:r>
    </w:p>
  </w:footnote>
  <w:footnote w:id="25">
    <w:p w14:paraId="2BEFBB7B" w14:textId="6632A904" w:rsidR="003F40C6" w:rsidRPr="00955B52" w:rsidRDefault="003F40C6" w:rsidP="009C2FC7">
      <w:pPr>
        <w:pStyle w:val="NormalWeb"/>
        <w:shd w:val="clear" w:color="auto" w:fill="FFFFFF" w:themeFill="background1"/>
        <w:spacing w:before="0" w:beforeAutospacing="0" w:after="0" w:afterAutospacing="0" w:line="259" w:lineRule="auto"/>
        <w:contextualSpacing/>
        <w:rPr>
          <w:rFonts w:asciiTheme="minorHAnsi" w:hAnsiTheme="minorHAnsi" w:cstheme="minorHAnsi"/>
          <w:sz w:val="18"/>
          <w:szCs w:val="18"/>
        </w:rPr>
      </w:pPr>
      <w:r w:rsidRPr="00955B52">
        <w:rPr>
          <w:rStyle w:val="FootnoteReference"/>
          <w:rFonts w:asciiTheme="minorHAnsi" w:hAnsiTheme="minorHAnsi" w:cstheme="minorHAnsi"/>
          <w:sz w:val="18"/>
          <w:szCs w:val="18"/>
        </w:rPr>
        <w:footnoteRef/>
      </w:r>
      <w:r w:rsidRPr="00955B52">
        <w:rPr>
          <w:rFonts w:asciiTheme="minorHAnsi" w:hAnsiTheme="minorHAnsi" w:cstheme="minorHAnsi"/>
          <w:sz w:val="18"/>
          <w:szCs w:val="18"/>
        </w:rPr>
        <w:t xml:space="preserve"> </w:t>
      </w:r>
      <w:r w:rsidR="009C2FC7" w:rsidRPr="00955B52">
        <w:rPr>
          <w:rFonts w:asciiTheme="minorHAnsi" w:hAnsiTheme="minorHAnsi" w:cstheme="minorHAnsi"/>
          <w:sz w:val="18"/>
          <w:szCs w:val="18"/>
        </w:rPr>
        <w:t xml:space="preserve">Not including </w:t>
      </w:r>
      <w:proofErr w:type="spellStart"/>
      <w:r w:rsidR="009C2FC7" w:rsidRPr="00955B52">
        <w:rPr>
          <w:rFonts w:asciiTheme="minorHAnsi" w:hAnsiTheme="minorHAnsi" w:cstheme="minorHAnsi"/>
          <w:sz w:val="18"/>
          <w:szCs w:val="18"/>
        </w:rPr>
        <w:t>Jumeira</w:t>
      </w:r>
      <w:proofErr w:type="spellEnd"/>
      <w:r w:rsidR="009C2FC7" w:rsidRPr="00955B52">
        <w:rPr>
          <w:rFonts w:asciiTheme="minorHAnsi" w:hAnsiTheme="minorHAnsi" w:cstheme="minorHAnsi"/>
          <w:sz w:val="18"/>
          <w:szCs w:val="18"/>
        </w:rPr>
        <w:t>, which was the centre of an infringement case.</w:t>
      </w:r>
    </w:p>
  </w:footnote>
  <w:footnote w:id="26">
    <w:p w14:paraId="4772FC57" w14:textId="62686CB1" w:rsidR="007A48FF" w:rsidRDefault="007A48FF">
      <w:pPr>
        <w:pStyle w:val="FootnoteText"/>
      </w:pPr>
      <w:r w:rsidRPr="00955B52">
        <w:rPr>
          <w:rStyle w:val="FootnoteReference"/>
          <w:rFonts w:cstheme="minorHAnsi"/>
          <w:sz w:val="18"/>
          <w:szCs w:val="18"/>
        </w:rPr>
        <w:footnoteRef/>
      </w:r>
      <w:r w:rsidRPr="00955B52">
        <w:rPr>
          <w:rFonts w:cstheme="minorHAnsi"/>
          <w:sz w:val="18"/>
          <w:szCs w:val="18"/>
        </w:rPr>
        <w:t xml:space="preserve"> </w:t>
      </w:r>
      <w:r w:rsidR="003F40C6" w:rsidRPr="00955B52">
        <w:rPr>
          <w:rFonts w:cstheme="minorHAnsi"/>
          <w:sz w:val="18"/>
          <w:szCs w:val="18"/>
        </w:rPr>
        <w:t>No dates provided for the Ready for Recycling Certificate and no information provided for the Statement of Completion.</w:t>
      </w:r>
    </w:p>
  </w:footnote>
  <w:footnote w:id="27">
    <w:p w14:paraId="6AA03CE7" w14:textId="1DF3EFDE" w:rsidR="00E32811" w:rsidRPr="00E32811" w:rsidRDefault="00E32811" w:rsidP="00D572D1">
      <w:pPr>
        <w:pStyle w:val="FootnoteText"/>
      </w:pPr>
      <w:r w:rsidRPr="00F029EB">
        <w:rPr>
          <w:rStyle w:val="FootnoteReference"/>
        </w:rPr>
        <w:footnoteRef/>
      </w:r>
      <w:r w:rsidRPr="00E354C1">
        <w:rPr>
          <w:sz w:val="18"/>
          <w:szCs w:val="18"/>
        </w:rPr>
        <w:t xml:space="preserve"> The index is designed as a spatial overlay of the animal species probability of occurrence and vessel density. In</w:t>
      </w:r>
      <w:r w:rsidR="00E609A8">
        <w:rPr>
          <w:sz w:val="18"/>
          <w:szCs w:val="18"/>
        </w:rPr>
        <w:t xml:space="preserve"> </w:t>
      </w:r>
      <w:r w:rsidRPr="00E354C1">
        <w:rPr>
          <w:sz w:val="18"/>
          <w:szCs w:val="18"/>
        </w:rPr>
        <w:t>areas where marine species are present and the density of marine traffic is high, the collision risk index is also high. 26 red-list species of marine animals were included in the calculation of the index: 3 species of turtles and 23 species of cetaceans. Each species was assigned a strike frequency factor, which indicates the level of susceptibility of the species to collisions with vessels. Weighted species occurrence probability layers were summed for the two species groups and multiplied by the vessel density layer for the years 2017-2022.</w:t>
      </w:r>
    </w:p>
  </w:footnote>
  <w:footnote w:id="28">
    <w:p w14:paraId="5A695EEC" w14:textId="30A17ED7" w:rsidR="00931DA1" w:rsidRPr="00DB487D" w:rsidRDefault="00931DA1">
      <w:pPr>
        <w:pStyle w:val="FootnoteText"/>
        <w:rPr>
          <w:sz w:val="18"/>
          <w:szCs w:val="18"/>
        </w:rPr>
      </w:pPr>
      <w:r w:rsidRPr="00F029EB">
        <w:rPr>
          <w:rStyle w:val="FootnoteReference"/>
        </w:rPr>
        <w:footnoteRef/>
      </w:r>
      <w:r w:rsidRPr="0076201F">
        <w:rPr>
          <w:sz w:val="18"/>
          <w:szCs w:val="18"/>
        </w:rPr>
        <w:t xml:space="preserve"> Natura 2000 areas is calculated first as mean value for each Natura 2000 site and then averaged per marine subregion, whereas mean values for entire marine subregions are calculated as mean values for entire areas.</w:t>
      </w:r>
    </w:p>
  </w:footnote>
  <w:footnote w:id="29">
    <w:p w14:paraId="728229D5" w14:textId="01A931EE" w:rsidR="000E1A1E" w:rsidRDefault="000E1A1E">
      <w:pPr>
        <w:pStyle w:val="FootnoteText"/>
      </w:pPr>
      <w:r w:rsidRPr="00F029EB">
        <w:rPr>
          <w:rStyle w:val="FootnoteReference"/>
        </w:rPr>
        <w:footnoteRef/>
      </w:r>
      <w:r w:rsidRPr="00DB487D">
        <w:rPr>
          <w:sz w:val="18"/>
          <w:szCs w:val="18"/>
        </w:rPr>
        <w:t xml:space="preserve"> Cetacean species include Killer whales (Orcinus orca), White-beaked dolphins (</w:t>
      </w:r>
      <w:proofErr w:type="spellStart"/>
      <w:r w:rsidRPr="00DB487D">
        <w:rPr>
          <w:sz w:val="18"/>
          <w:szCs w:val="18"/>
        </w:rPr>
        <w:t>Lagenorhynchus</w:t>
      </w:r>
      <w:proofErr w:type="spellEnd"/>
      <w:r w:rsidRPr="00DB487D">
        <w:rPr>
          <w:sz w:val="18"/>
          <w:szCs w:val="18"/>
        </w:rPr>
        <w:t xml:space="preserve"> </w:t>
      </w:r>
      <w:proofErr w:type="spellStart"/>
      <w:r w:rsidRPr="00DB487D">
        <w:rPr>
          <w:sz w:val="18"/>
          <w:szCs w:val="18"/>
        </w:rPr>
        <w:t>albirostris</w:t>
      </w:r>
      <w:proofErr w:type="spellEnd"/>
      <w:r w:rsidRPr="00DB487D">
        <w:rPr>
          <w:sz w:val="18"/>
          <w:szCs w:val="18"/>
        </w:rPr>
        <w:t xml:space="preserve">), Humpback whales (Megaptera novaeangliae), Minke whales (Balaenoptera </w:t>
      </w:r>
      <w:proofErr w:type="spellStart"/>
      <w:r w:rsidRPr="00DB487D">
        <w:rPr>
          <w:sz w:val="18"/>
          <w:szCs w:val="18"/>
        </w:rPr>
        <w:t>acutorostrata</w:t>
      </w:r>
      <w:proofErr w:type="spellEnd"/>
      <w:r w:rsidRPr="00DB487D">
        <w:rPr>
          <w:sz w:val="18"/>
          <w:szCs w:val="18"/>
        </w:rPr>
        <w:t xml:space="preserve">), Common bottlenose dolphins (Tursiops </w:t>
      </w:r>
      <w:proofErr w:type="spellStart"/>
      <w:r w:rsidRPr="00DB487D">
        <w:rPr>
          <w:sz w:val="18"/>
          <w:szCs w:val="18"/>
        </w:rPr>
        <w:t>truncatus</w:t>
      </w:r>
      <w:proofErr w:type="spellEnd"/>
      <w:r w:rsidRPr="00DB487D">
        <w:rPr>
          <w:sz w:val="18"/>
          <w:szCs w:val="18"/>
        </w:rPr>
        <w:t xml:space="preserve">), </w:t>
      </w:r>
      <w:proofErr w:type="spellStart"/>
      <w:r w:rsidRPr="00DB487D">
        <w:rPr>
          <w:sz w:val="18"/>
          <w:szCs w:val="18"/>
        </w:rPr>
        <w:t>Harbor</w:t>
      </w:r>
      <w:proofErr w:type="spellEnd"/>
      <w:r w:rsidRPr="00DB487D">
        <w:rPr>
          <w:sz w:val="18"/>
          <w:szCs w:val="18"/>
        </w:rPr>
        <w:t xml:space="preserve"> porpoises (</w:t>
      </w:r>
      <w:proofErr w:type="spellStart"/>
      <w:r w:rsidRPr="00DB487D">
        <w:rPr>
          <w:sz w:val="18"/>
          <w:szCs w:val="18"/>
        </w:rPr>
        <w:t>Phocoena</w:t>
      </w:r>
      <w:proofErr w:type="spellEnd"/>
      <w:r w:rsidRPr="00DB487D">
        <w:rPr>
          <w:sz w:val="18"/>
          <w:szCs w:val="18"/>
        </w:rPr>
        <w:t xml:space="preserve"> </w:t>
      </w:r>
      <w:proofErr w:type="spellStart"/>
      <w:r w:rsidRPr="00DB487D">
        <w:rPr>
          <w:sz w:val="18"/>
          <w:szCs w:val="18"/>
        </w:rPr>
        <w:t>phocoena</w:t>
      </w:r>
      <w:proofErr w:type="spellEnd"/>
      <w:r w:rsidRPr="00DB487D">
        <w:rPr>
          <w:sz w:val="18"/>
          <w:szCs w:val="18"/>
        </w:rPr>
        <w:t>), Long-finned pilot whales (Globicephala melas), Striped dolphins (</w:t>
      </w:r>
      <w:proofErr w:type="spellStart"/>
      <w:r w:rsidRPr="00DB487D">
        <w:rPr>
          <w:sz w:val="18"/>
          <w:szCs w:val="18"/>
        </w:rPr>
        <w:t>Stenella</w:t>
      </w:r>
      <w:proofErr w:type="spellEnd"/>
      <w:r w:rsidRPr="00DB487D">
        <w:rPr>
          <w:sz w:val="18"/>
          <w:szCs w:val="18"/>
        </w:rPr>
        <w:t xml:space="preserve"> </w:t>
      </w:r>
      <w:proofErr w:type="spellStart"/>
      <w:r w:rsidRPr="00DB487D">
        <w:rPr>
          <w:sz w:val="18"/>
          <w:szCs w:val="18"/>
        </w:rPr>
        <w:t>coeruleoalba</w:t>
      </w:r>
      <w:proofErr w:type="spellEnd"/>
      <w:r w:rsidRPr="00DB487D">
        <w:rPr>
          <w:sz w:val="18"/>
          <w:szCs w:val="18"/>
        </w:rPr>
        <w:t xml:space="preserve">), Sperm whales (Physeter catodon), and Short-beaked common dolphins (Delphinus </w:t>
      </w:r>
      <w:proofErr w:type="spellStart"/>
      <w:r w:rsidRPr="00DB487D">
        <w:rPr>
          <w:sz w:val="18"/>
          <w:szCs w:val="18"/>
        </w:rPr>
        <w:t>delphis</w:t>
      </w:r>
      <w:proofErr w:type="spellEnd"/>
      <w:r w:rsidRPr="00DB487D">
        <w:rPr>
          <w:sz w:val="18"/>
          <w:szCs w:val="18"/>
        </w:rPr>
        <w:t>). Sea turtle species include Loggerhead sea turtles (Caretta caretta), Green sea turtles (Chelonia mydas), and Leatherback sea turtles (Dermochelys coriacea). These are the species recognised in Natura 2000 sites most affected by collision risk.</w:t>
      </w:r>
    </w:p>
  </w:footnote>
  <w:footnote w:id="30">
    <w:p w14:paraId="1A010B42" w14:textId="10391136" w:rsidR="009F305E" w:rsidRPr="008C4DDC" w:rsidRDefault="009F305E">
      <w:pPr>
        <w:pStyle w:val="FootnoteText"/>
        <w:rPr>
          <w:b/>
          <w:bCs/>
          <w:sz w:val="18"/>
          <w:szCs w:val="18"/>
        </w:rPr>
      </w:pPr>
      <w:r w:rsidRPr="00F029EB">
        <w:rPr>
          <w:rStyle w:val="FootnoteReference"/>
        </w:rPr>
        <w:footnoteRef/>
      </w:r>
      <w:r w:rsidR="00D56174">
        <w:rPr>
          <w:sz w:val="18"/>
          <w:szCs w:val="18"/>
        </w:rPr>
        <w:t xml:space="preserve"> </w:t>
      </w:r>
      <w:r w:rsidRPr="008C4DDC">
        <w:rPr>
          <w:sz w:val="18"/>
          <w:szCs w:val="18"/>
        </w:rPr>
        <w:t>Pressure intensity layers produced under sections expansion of ports, dredging, turbidity and anchor damage have been reclassified to unified intensity scale 0.1 – Vey low to 1 – Very high. In the second step the corresponding layers were combined into composite physical disturbance of seabed grid pressure layer where final intensity value of each grid cell equals the maximum intensity value of all assessed layers in the corresponding cell.</w:t>
      </w:r>
    </w:p>
  </w:footnote>
  <w:footnote w:id="31">
    <w:p w14:paraId="144A25EF" w14:textId="1B430909" w:rsidR="008E1E22" w:rsidRPr="009F305E" w:rsidRDefault="009F305E">
      <w:pPr>
        <w:pStyle w:val="FootnoteText"/>
      </w:pPr>
      <w:r w:rsidRPr="00F029EB">
        <w:rPr>
          <w:rStyle w:val="FootnoteReference"/>
        </w:rPr>
        <w:footnoteRef/>
      </w:r>
      <w:r w:rsidRPr="008C4DDC">
        <w:rPr>
          <w:sz w:val="18"/>
          <w:szCs w:val="18"/>
        </w:rPr>
        <w:t xml:space="preserve"> Pressure intensity layers produced un</w:t>
      </w:r>
      <w:r w:rsidRPr="00B1697F">
        <w:rPr>
          <w:color w:val="000000" w:themeColor="text1"/>
          <w:sz w:val="18"/>
          <w:szCs w:val="18"/>
        </w:rPr>
        <w:t xml:space="preserve">der sections expansion of ports, dredging, turbidity and anchor damage have been reclassified to unified intensity scale 0.1 – Vey low </w:t>
      </w:r>
      <w:r w:rsidR="005B6189" w:rsidRPr="00B1697F">
        <w:rPr>
          <w:color w:val="000000" w:themeColor="text1"/>
          <w:sz w:val="18"/>
          <w:szCs w:val="18"/>
        </w:rPr>
        <w:t>(</w:t>
      </w:r>
      <w:r w:rsidR="009F2C01" w:rsidRPr="00B1697F">
        <w:rPr>
          <w:color w:val="000000" w:themeColor="text1"/>
          <w:sz w:val="18"/>
          <w:szCs w:val="18"/>
        </w:rPr>
        <w:t>manageable pressure disturbance)</w:t>
      </w:r>
      <w:r w:rsidRPr="00B1697F">
        <w:rPr>
          <w:color w:val="000000" w:themeColor="text1"/>
          <w:sz w:val="18"/>
          <w:szCs w:val="18"/>
        </w:rPr>
        <w:t xml:space="preserve"> to 1 – Very high</w:t>
      </w:r>
      <w:r w:rsidR="00BD499C" w:rsidRPr="00B1697F">
        <w:rPr>
          <w:color w:val="000000" w:themeColor="text1"/>
          <w:sz w:val="18"/>
          <w:szCs w:val="18"/>
        </w:rPr>
        <w:t xml:space="preserve"> (permanent habitat loss)</w:t>
      </w:r>
      <w:r w:rsidRPr="00B1697F">
        <w:rPr>
          <w:color w:val="000000" w:themeColor="text1"/>
          <w:sz w:val="18"/>
          <w:szCs w:val="18"/>
        </w:rPr>
        <w:t>. In the second step the corresponding layers were combined into composite physical disturbance of seabed grid pressure layer where final intensity value of each grid cell equals the maximum intensity value of all assessed layers in the corresponding cell.</w:t>
      </w:r>
      <w:r w:rsidR="00021BF2" w:rsidRPr="00B1697F">
        <w:rPr>
          <w:color w:val="000000" w:themeColor="text1"/>
          <w:sz w:val="18"/>
          <w:szCs w:val="18"/>
        </w:rPr>
        <w:t xml:space="preserve"> Yellow colour shows low impact to physical disturbance of seabed, mainly caused by turbidity of vessels. High impact (red colour) mostly occurs at ports and their vicinity, where seafloor was deepened to maintain navigable waterways. Such marine habitats are considered as highly physically disturbed or even completely degraded</w:t>
      </w:r>
      <w:r w:rsidR="00B1697F" w:rsidRPr="00B1697F">
        <w:rPr>
          <w:color w:val="000000" w:themeColor="text1"/>
          <w:sz w:val="18"/>
          <w:szCs w:val="18"/>
        </w:rPr>
        <w:t>.</w:t>
      </w:r>
    </w:p>
  </w:footnote>
  <w:footnote w:id="32">
    <w:p w14:paraId="2AB1F803" w14:textId="4256925C" w:rsidR="00750C99" w:rsidRPr="00B64E86" w:rsidRDefault="00750C99">
      <w:pPr>
        <w:pStyle w:val="FootnoteText"/>
        <w:rPr>
          <w:sz w:val="18"/>
          <w:szCs w:val="18"/>
        </w:rPr>
      </w:pPr>
      <w:r w:rsidRPr="00B73ADC">
        <w:rPr>
          <w:rStyle w:val="FootnoteReference"/>
        </w:rPr>
        <w:footnoteRef/>
      </w:r>
      <w:r w:rsidRPr="00B64E86">
        <w:rPr>
          <w:sz w:val="18"/>
          <w:szCs w:val="18"/>
        </w:rPr>
        <w:t xml:space="preserve"> </w:t>
      </w:r>
      <w:r w:rsidR="00B64E86" w:rsidRPr="00B64E86">
        <w:rPr>
          <w:color w:val="000000" w:themeColor="text1"/>
          <w:sz w:val="18"/>
          <w:szCs w:val="18"/>
        </w:rPr>
        <w:t>The acronym NM refers to nautical miles. Near shore = 0–1 NM zone, coastal waters = 1–12 NM zone (for Greece, 1–6 NM), offshore = 12 NM – END, where END = equidistance to neighbouring state or 200 NM. The analysis covers only marine waters of EU member states.</w:t>
      </w:r>
    </w:p>
  </w:footnote>
  <w:footnote w:id="33">
    <w:p w14:paraId="76C239FE" w14:textId="0237DFB4" w:rsidR="009F305E" w:rsidRPr="006809B7" w:rsidRDefault="009F305E">
      <w:pPr>
        <w:pStyle w:val="FootnoteText"/>
        <w:rPr>
          <w:sz w:val="18"/>
          <w:szCs w:val="18"/>
        </w:rPr>
      </w:pPr>
      <w:r w:rsidRPr="00F029EB">
        <w:rPr>
          <w:rStyle w:val="FootnoteReference"/>
        </w:rPr>
        <w:footnoteRef/>
      </w:r>
      <w:r w:rsidRPr="008C4DDC">
        <w:rPr>
          <w:sz w:val="18"/>
          <w:szCs w:val="18"/>
        </w:rPr>
        <w:t xml:space="preserve"> Analysis as visualised on the left figure has been</w:t>
      </w:r>
      <w:r w:rsidRPr="008C4DDC">
        <w:rPr>
          <w:b/>
          <w:bCs/>
          <w:sz w:val="18"/>
          <w:szCs w:val="18"/>
        </w:rPr>
        <w:t xml:space="preserve"> </w:t>
      </w:r>
      <w:r w:rsidRPr="008C4DDC">
        <w:rPr>
          <w:sz w:val="18"/>
          <w:szCs w:val="18"/>
        </w:rPr>
        <w:t xml:space="preserve">on the areal information on ports as provided in Copernicus </w:t>
      </w:r>
      <w:r w:rsidR="00746D7A" w:rsidRPr="00746D7A">
        <w:rPr>
          <w:sz w:val="18"/>
          <w:szCs w:val="18"/>
        </w:rPr>
        <w:t xml:space="preserve">Corine Land Cover spatial datasets. The information </w:t>
      </w:r>
      <w:r w:rsidR="00746D7A">
        <w:rPr>
          <w:sz w:val="18"/>
          <w:szCs w:val="18"/>
        </w:rPr>
        <w:t>on</w:t>
      </w:r>
      <w:r w:rsidR="00746D7A" w:rsidRPr="00746D7A">
        <w:rPr>
          <w:sz w:val="18"/>
          <w:szCs w:val="18"/>
        </w:rPr>
        <w:t xml:space="preserve"> the port area for the reference year 2018 has been estimated using the CORINE Land Cover 2018 dataset. Conversely, the areas for previous years (2012, 2006 and 2000) have been estimated using CORINE Land Cover Change layers which provide land cover change information between the analysed periods.</w:t>
      </w:r>
      <w:r w:rsidR="00746D7A">
        <w:rPr>
          <w:sz w:val="18"/>
          <w:szCs w:val="18"/>
        </w:rPr>
        <w:t xml:space="preserve"> </w:t>
      </w:r>
      <w:r w:rsidRPr="008C4DDC">
        <w:rPr>
          <w:sz w:val="18"/>
          <w:szCs w:val="18"/>
        </w:rPr>
        <w:t xml:space="preserve">As Copernicus data does not distinguish between coastal and riverine ports, only those ports were analysed which are situated up to 10 km from the coastline as defined in regional seas around Europe dataset. The dataset for the Black Sea includes only port areas located in Bulgaria, Romania and </w:t>
      </w:r>
      <w:r w:rsidR="00081D44">
        <w:rPr>
          <w:sz w:val="18"/>
          <w:szCs w:val="18"/>
        </w:rPr>
        <w:t>Türkiye</w:t>
      </w:r>
      <w:r w:rsidRPr="008C4DDC">
        <w:rPr>
          <w:sz w:val="18"/>
          <w:szCs w:val="18"/>
        </w:rPr>
        <w:t xml:space="preserve"> as these are only three countries along the Black Sea coast that are covered in the Copernicus CLC datasets.</w:t>
      </w:r>
      <w:r w:rsidR="00FE238E" w:rsidRPr="00FE238E">
        <w:rPr>
          <w:rFonts w:eastAsiaTheme="minorHAnsi" w:cstheme="minorBidi"/>
          <w:iCs w:val="0"/>
          <w:szCs w:val="22"/>
        </w:rPr>
        <w:t xml:space="preserve"> </w:t>
      </w:r>
      <w:r w:rsidR="00FE238E" w:rsidRPr="00FE238E">
        <w:rPr>
          <w:sz w:val="18"/>
          <w:szCs w:val="18"/>
        </w:rPr>
        <w:t>Non-EEA countries situated along the Mediterranean Sea (e.g. Tunis, Egypt, Israel) are not included in this assessment as they are not part of Copernicus CLC datasets.</w:t>
      </w:r>
      <w:r w:rsidR="00711934">
        <w:rPr>
          <w:sz w:val="18"/>
          <w:szCs w:val="18"/>
        </w:rPr>
        <w:t xml:space="preserve"> </w:t>
      </w:r>
      <w:r w:rsidRPr="008C4DDC">
        <w:rPr>
          <w:sz w:val="18"/>
          <w:szCs w:val="18"/>
        </w:rPr>
        <w:t xml:space="preserve">To calculate the expansion of ports per marine region (right figure), the coastal ports have been overlayed with regional seas around Europe layer. Percentage of expansion has been calculated in accordance with the first year with data (2000). The dataset for the Black Sea includes only port areas located in Bulgaria, Romania and </w:t>
      </w:r>
      <w:r w:rsidR="00081D44">
        <w:rPr>
          <w:sz w:val="18"/>
          <w:szCs w:val="18"/>
        </w:rPr>
        <w:t>Türkiye</w:t>
      </w:r>
      <w:r w:rsidRPr="008C4DDC">
        <w:rPr>
          <w:sz w:val="18"/>
          <w:szCs w:val="18"/>
        </w:rPr>
        <w:t xml:space="preserve"> as these are only three countries along the Black Sea coast that are covered in the Copernicus CLC datasets.</w:t>
      </w:r>
      <w:r w:rsidR="00100183" w:rsidRPr="00100183">
        <w:rPr>
          <w:rFonts w:eastAsiaTheme="minorHAnsi" w:cstheme="minorBidi"/>
          <w:iCs w:val="0"/>
          <w:szCs w:val="22"/>
        </w:rPr>
        <w:t xml:space="preserve"> </w:t>
      </w:r>
      <w:r w:rsidR="00100183" w:rsidRPr="00100183">
        <w:rPr>
          <w:sz w:val="18"/>
          <w:szCs w:val="18"/>
        </w:rPr>
        <w:t xml:space="preserve">Non-EEA countries situated along the Mediterranean Sea (e.g. Tunis, </w:t>
      </w:r>
      <w:r w:rsidR="009119C9" w:rsidRPr="00100183">
        <w:rPr>
          <w:sz w:val="18"/>
          <w:szCs w:val="18"/>
        </w:rPr>
        <w:t>Egypt</w:t>
      </w:r>
      <w:r w:rsidR="00100183" w:rsidRPr="00100183">
        <w:rPr>
          <w:sz w:val="18"/>
          <w:szCs w:val="18"/>
        </w:rPr>
        <w:t>, Israel) are not included in this assessment as they are not part of Copernicus CLC datasets.</w:t>
      </w:r>
    </w:p>
  </w:footnote>
  <w:footnote w:id="34">
    <w:p w14:paraId="3AE53B5A" w14:textId="77777777" w:rsidR="00736310" w:rsidRPr="00485796" w:rsidRDefault="00736310" w:rsidP="00736310">
      <w:pPr>
        <w:pStyle w:val="FootnoteText"/>
        <w:rPr>
          <w:sz w:val="20"/>
        </w:rPr>
      </w:pPr>
      <w:r w:rsidRPr="00F029EB">
        <w:rPr>
          <w:rStyle w:val="FootnoteReference"/>
        </w:rPr>
        <w:footnoteRef/>
      </w:r>
      <w:r w:rsidRPr="008C4DDC">
        <w:rPr>
          <w:sz w:val="18"/>
          <w:szCs w:val="18"/>
        </w:rPr>
        <w:t xml:space="preserve"> Only ports in EU part (Bulgaria and Romania) are considered in these analyses.</w:t>
      </w:r>
    </w:p>
  </w:footnote>
  <w:footnote w:id="35">
    <w:p w14:paraId="35FA9B58" w14:textId="7F2B4E89" w:rsidR="00871852" w:rsidRPr="008C4DDC" w:rsidRDefault="00871852" w:rsidP="00871852">
      <w:pPr>
        <w:pStyle w:val="FootnoteText"/>
        <w:rPr>
          <w:sz w:val="18"/>
          <w:szCs w:val="18"/>
        </w:rPr>
      </w:pPr>
      <w:r w:rsidRPr="00F029EB">
        <w:rPr>
          <w:rStyle w:val="FootnoteReference"/>
        </w:rPr>
        <w:footnoteRef/>
      </w:r>
      <w:r w:rsidRPr="008C4DDC">
        <w:rPr>
          <w:sz w:val="18"/>
          <w:szCs w:val="18"/>
        </w:rPr>
        <w:t xml:space="preserve"> Sum of tonnage (left figure) graph has been calculated by summing the inward and outward weight of transferred goods in 2021 per port. As the EMODNET port layer includes also riverine ports, only those ports were selected which are lay less than 50 km from the 10 km from the coastline as defined in regional seas around Europe. To aggregate the port information to marine regions the derived dataset has been overlayed with regional seas around Europe layer.</w:t>
      </w:r>
      <w:r w:rsidR="00144B64">
        <w:rPr>
          <w:sz w:val="18"/>
          <w:szCs w:val="18"/>
        </w:rPr>
        <w:t xml:space="preserve"> </w:t>
      </w:r>
      <w:r w:rsidRPr="008C4DDC">
        <w:rPr>
          <w:sz w:val="18"/>
          <w:szCs w:val="18"/>
        </w:rPr>
        <w:t>The percentage of near-shore marine area affected by ports (right figure) has been calculated by first applying 1 Nautical mile buffer belts to CLC ports. To calculate the estimation of coastline affected by ports per marine region, the marine area affected by ports layer has been overlayed with 1 NM marine buffer belt as provided in EEA marine assessment area dataset. The result of this intersection presents a proxy of percentage of coastline affected by ports. The dataset includes only port areas located in EU Member States because the 1 NM buffer belt layer includes only marine buffer belt areas calculated from the EU coastline.</w:t>
      </w:r>
    </w:p>
    <w:p w14:paraId="6A26556F" w14:textId="77777777" w:rsidR="00871852" w:rsidRPr="00612E68" w:rsidRDefault="00871852" w:rsidP="00871852">
      <w:pPr>
        <w:pStyle w:val="FootnoteText"/>
        <w:rPr>
          <w:sz w:val="20"/>
          <w:lang w:val="en-US"/>
        </w:rPr>
      </w:pPr>
    </w:p>
  </w:footnote>
  <w:footnote w:id="36">
    <w:p w14:paraId="6AFDF58E" w14:textId="4DD9C56A" w:rsidR="00454C37" w:rsidRPr="008C4DDC" w:rsidRDefault="00454C37" w:rsidP="00454C37">
      <w:pPr>
        <w:pStyle w:val="FootnoteText"/>
        <w:rPr>
          <w:sz w:val="18"/>
          <w:szCs w:val="18"/>
        </w:rPr>
      </w:pPr>
      <w:r w:rsidRPr="00F029EB">
        <w:rPr>
          <w:rStyle w:val="FootnoteReference"/>
        </w:rPr>
        <w:footnoteRef/>
      </w:r>
      <w:r w:rsidRPr="008C4DDC">
        <w:rPr>
          <w:sz w:val="18"/>
          <w:szCs w:val="18"/>
        </w:rPr>
        <w:t xml:space="preserve"> The percentage of biological zones affected by port facilities (depicted in the left figure) was determined through an analysis of the distribution of benthic broad habitats within a 1 NM buffer zone surrounding the ports.</w:t>
      </w:r>
    </w:p>
    <w:p w14:paraId="2990D0C5" w14:textId="381032B7" w:rsidR="00454C37" w:rsidRPr="008C4DDC" w:rsidRDefault="00454C37">
      <w:pPr>
        <w:pStyle w:val="FootnoteText"/>
        <w:rPr>
          <w:sz w:val="18"/>
          <w:szCs w:val="18"/>
        </w:rPr>
      </w:pPr>
      <w:r w:rsidRPr="008C4DDC">
        <w:rPr>
          <w:sz w:val="18"/>
          <w:szCs w:val="18"/>
        </w:rPr>
        <w:t>In the right figure, the pressure intensity was computed, considering that the intensity of pressure exerted by ports diminishes with increasing distance from the port itself. The pressure intensity is notably high in close proximity to the port facility and gradually decreases with distance, categorized as follows: 0-0.25 NM (Very high), 0.25-0.5 NM (High), 0.5-0.75 NM (Medium), and 0.75-1 NM (Low).</w:t>
      </w:r>
    </w:p>
  </w:footnote>
  <w:footnote w:id="37">
    <w:p w14:paraId="4C49B6F4" w14:textId="3E3A60EB" w:rsidR="00454C37" w:rsidRPr="000F1F6D" w:rsidRDefault="00454C37">
      <w:pPr>
        <w:pStyle w:val="FootnoteText"/>
      </w:pPr>
      <w:r w:rsidRPr="00F029EB">
        <w:rPr>
          <w:rStyle w:val="FootnoteReference"/>
        </w:rPr>
        <w:footnoteRef/>
      </w:r>
      <w:r w:rsidRPr="00DA0A74">
        <w:rPr>
          <w:b/>
          <w:bCs/>
          <w:sz w:val="18"/>
          <w:szCs w:val="18"/>
        </w:rPr>
        <w:t xml:space="preserve"> </w:t>
      </w:r>
      <w:r w:rsidRPr="00DA0A74">
        <w:rPr>
          <w:sz w:val="18"/>
          <w:szCs w:val="18"/>
        </w:rPr>
        <w:t>The percentage of substrate type affected by port facilities (depicted in the left figure) was determined through an analysis of the distribution of benthic broad habitats within a 1 NM buffer zone surrounding the ports. In the right figure, the pressure intensity was computed, considering that the intensity of pressure exerted by ports diminishes with increasing distance from the port itself. The pressure intensity is notably high in close proximity to the port facility and gradually decreases with distance, categorized as follows: 0-0.25 NM (Very high), 0.25-0.5 NM (High), 0.5-0.75 NM (Medium), and 0.75-1 NM (Low).</w:t>
      </w:r>
    </w:p>
  </w:footnote>
  <w:footnote w:id="38">
    <w:p w14:paraId="660F8EFA" w14:textId="77777777" w:rsidR="00C04ECD" w:rsidRDefault="00C04ECD" w:rsidP="00C04ECD">
      <w:pPr>
        <w:pStyle w:val="FootnoteText"/>
      </w:pPr>
      <w:r>
        <w:rPr>
          <w:rStyle w:val="FootnoteReference"/>
        </w:rPr>
        <w:footnoteRef/>
      </w:r>
      <w:r>
        <w:t xml:space="preserve"> </w:t>
      </w:r>
      <w:r w:rsidRPr="003C0B1D">
        <w:rPr>
          <w:rFonts w:eastAsiaTheme="minorEastAsia"/>
        </w:rPr>
        <w:t>However, in case a net zero carbon fuel is used as a pilot fuel,</w:t>
      </w:r>
      <w:r w:rsidRPr="003C0B1D" w:rsidDel="00E70212">
        <w:rPr>
          <w:rFonts w:eastAsiaTheme="minorEastAsia"/>
        </w:rPr>
        <w:t xml:space="preserve"> </w:t>
      </w:r>
      <w:r w:rsidRPr="003C0B1D">
        <w:rPr>
          <w:rFonts w:eastAsiaTheme="minorEastAsia"/>
        </w:rPr>
        <w:t>GHG emissions can be eliminated on well to wake basis.</w:t>
      </w:r>
    </w:p>
  </w:footnote>
  <w:footnote w:id="39">
    <w:p w14:paraId="0E56AD47" w14:textId="3B601B74" w:rsidR="00D0431E" w:rsidRPr="000A73A8" w:rsidRDefault="00D0431E">
      <w:pPr>
        <w:pStyle w:val="FootnoteText"/>
        <w:rPr>
          <w:sz w:val="18"/>
          <w:szCs w:val="18"/>
        </w:rPr>
      </w:pPr>
      <w:r w:rsidRPr="000A73A8">
        <w:rPr>
          <w:rStyle w:val="FootnoteReference"/>
          <w:sz w:val="18"/>
          <w:szCs w:val="18"/>
        </w:rPr>
        <w:footnoteRef/>
      </w:r>
      <w:r w:rsidRPr="000A73A8">
        <w:rPr>
          <w:sz w:val="18"/>
          <w:szCs w:val="18"/>
        </w:rPr>
        <w:t xml:space="preserve"> </w:t>
      </w:r>
      <w:r w:rsidR="000A73A8" w:rsidRPr="000A73A8">
        <w:rPr>
          <w:sz w:val="18"/>
          <w:szCs w:val="18"/>
        </w:rPr>
        <w:t>https://www.copernicus.eu/en</w:t>
      </w:r>
    </w:p>
  </w:footnote>
  <w:footnote w:id="40">
    <w:p w14:paraId="19EC04A7" w14:textId="72DE07C4" w:rsidR="00891400" w:rsidRPr="00891400" w:rsidRDefault="00891400">
      <w:pPr>
        <w:pStyle w:val="FootnoteText"/>
        <w:rPr>
          <w:sz w:val="18"/>
          <w:szCs w:val="18"/>
        </w:rPr>
      </w:pPr>
      <w:r w:rsidRPr="00891400">
        <w:rPr>
          <w:rStyle w:val="FootnoteReference"/>
          <w:sz w:val="18"/>
          <w:szCs w:val="18"/>
        </w:rPr>
        <w:footnoteRef/>
      </w:r>
      <w:r w:rsidRPr="00891400">
        <w:rPr>
          <w:sz w:val="18"/>
          <w:szCs w:val="18"/>
        </w:rPr>
        <w:t xml:space="preserve"> https://digital-strategy.ec.europa.eu/en/policies/destination-earth</w:t>
      </w:r>
    </w:p>
  </w:footnote>
  <w:footnote w:id="41">
    <w:p w14:paraId="70D9CEF0" w14:textId="7802CC37" w:rsidR="005A6DE7" w:rsidRPr="005A6DE7" w:rsidRDefault="005A6DE7">
      <w:pPr>
        <w:pStyle w:val="FootnoteText"/>
        <w:rPr>
          <w:sz w:val="18"/>
          <w:szCs w:val="18"/>
        </w:rPr>
      </w:pPr>
      <w:r w:rsidRPr="005A6DE7">
        <w:rPr>
          <w:rStyle w:val="FootnoteReference"/>
          <w:sz w:val="18"/>
          <w:szCs w:val="18"/>
        </w:rPr>
        <w:footnoteRef/>
      </w:r>
      <w:r w:rsidR="007C20DB">
        <w:rPr>
          <w:sz w:val="18"/>
          <w:szCs w:val="18"/>
        </w:rPr>
        <w:t xml:space="preserve"> </w:t>
      </w:r>
      <w:r w:rsidRPr="005A6DE7">
        <w:rPr>
          <w:sz w:val="18"/>
          <w:szCs w:val="18"/>
        </w:rPr>
        <w:t>https://research-and-innovation.ec.europa.eu/funding/funding-opportunities/funding-programmes-and-open-calls/horizon-europe/eu-missions-horizon-europe/restore-our-ocean-and-waters/european-digital-twin-ocean-european-dto_en</w:t>
      </w:r>
    </w:p>
  </w:footnote>
  <w:footnote w:id="42">
    <w:p w14:paraId="4A05A3B5" w14:textId="4D242C89" w:rsidR="007E130B" w:rsidRPr="00DE6314" w:rsidRDefault="007E130B">
      <w:pPr>
        <w:pStyle w:val="FootnoteText"/>
        <w:rPr>
          <w:sz w:val="18"/>
          <w:szCs w:val="18"/>
        </w:rPr>
      </w:pPr>
      <w:r w:rsidRPr="00DE6314">
        <w:rPr>
          <w:rStyle w:val="FootnoteReference"/>
          <w:sz w:val="18"/>
          <w:szCs w:val="18"/>
        </w:rPr>
        <w:footnoteRef/>
      </w:r>
      <w:r w:rsidRPr="00DE6314">
        <w:rPr>
          <w:sz w:val="18"/>
          <w:szCs w:val="18"/>
        </w:rPr>
        <w:t xml:space="preserve"> </w:t>
      </w:r>
      <w:r w:rsidR="00DE6314" w:rsidRPr="00DE6314">
        <w:rPr>
          <w:sz w:val="18"/>
          <w:szCs w:val="18"/>
        </w:rPr>
        <w:t>https://www.mercator-ocean.eu/en/digital-twin-ocean/</w:t>
      </w:r>
    </w:p>
  </w:footnote>
  <w:footnote w:id="43">
    <w:p w14:paraId="6F726439" w14:textId="77777777" w:rsidR="0066097B" w:rsidRPr="002E6F3D" w:rsidRDefault="0066097B" w:rsidP="0066097B">
      <w:pPr>
        <w:pStyle w:val="FootnoteText"/>
        <w:rPr>
          <w:sz w:val="18"/>
          <w:szCs w:val="18"/>
        </w:rPr>
      </w:pPr>
      <w:r w:rsidRPr="00F7158D">
        <w:rPr>
          <w:rStyle w:val="FootnoteReference"/>
        </w:rPr>
        <w:footnoteRef/>
      </w:r>
      <w:r w:rsidRPr="002E6F3D">
        <w:rPr>
          <w:sz w:val="18"/>
          <w:szCs w:val="18"/>
        </w:rPr>
        <w:t xml:space="preserve"> Such as warships, naval auxiliaries, fish-catching or fish-processing ships, ships not propelled by mechanical means, and government ships used for non-commercial purposes.</w:t>
      </w:r>
    </w:p>
  </w:footnote>
  <w:footnote w:id="44">
    <w:p w14:paraId="7B875432" w14:textId="77777777" w:rsidR="0066097B" w:rsidRPr="00DB487D" w:rsidRDefault="0066097B" w:rsidP="0066097B">
      <w:pPr>
        <w:pStyle w:val="FootnoteText"/>
        <w:rPr>
          <w:sz w:val="18"/>
          <w:szCs w:val="18"/>
        </w:rPr>
      </w:pPr>
      <w:r w:rsidRPr="00F029EB">
        <w:rPr>
          <w:rStyle w:val="FootnoteReference"/>
        </w:rPr>
        <w:footnoteRef/>
      </w:r>
      <w:r w:rsidRPr="00DB487D">
        <w:rPr>
          <w:sz w:val="18"/>
          <w:szCs w:val="18"/>
        </w:rPr>
        <w:t xml:space="preserve"> In addition, if available, the NEC Directive requires </w:t>
      </w:r>
      <w:r>
        <w:rPr>
          <w:sz w:val="18"/>
          <w:szCs w:val="18"/>
        </w:rPr>
        <w:t>member states</w:t>
      </w:r>
      <w:r w:rsidRPr="00DB487D">
        <w:rPr>
          <w:sz w:val="18"/>
          <w:szCs w:val="18"/>
        </w:rPr>
        <w:t xml:space="preserve"> to report also on PM</w:t>
      </w:r>
      <w:r w:rsidRPr="00B32732">
        <w:rPr>
          <w:sz w:val="18"/>
          <w:szCs w:val="18"/>
          <w:vertAlign w:val="subscript"/>
        </w:rPr>
        <w:t>10</w:t>
      </w:r>
      <w:r w:rsidRPr="00DB487D">
        <w:rPr>
          <w:sz w:val="18"/>
          <w:szCs w:val="18"/>
        </w:rPr>
        <w:t>, B</w:t>
      </w:r>
      <w:r>
        <w:rPr>
          <w:sz w:val="18"/>
          <w:szCs w:val="18"/>
        </w:rPr>
        <w:t xml:space="preserve">lack </w:t>
      </w:r>
      <w:r w:rsidRPr="00DB487D">
        <w:rPr>
          <w:sz w:val="18"/>
          <w:szCs w:val="18"/>
        </w:rPr>
        <w:t>C</w:t>
      </w:r>
      <w:r>
        <w:rPr>
          <w:sz w:val="18"/>
          <w:szCs w:val="18"/>
        </w:rPr>
        <w:t>arbon</w:t>
      </w:r>
      <w:r w:rsidRPr="00DB487D">
        <w:rPr>
          <w:sz w:val="18"/>
          <w:szCs w:val="18"/>
        </w:rPr>
        <w:t xml:space="preserve"> and Thermoplastic starch (TPS), metals such as cadmium, lead and mercury and POPs, Polycyclic aromatic hydrocarbon (PAH), dioxins, furans, Polychlorinated biphenyls (PCBs) and hexachlorobenzene (HCBs), as agreed under the Gothenburg Protocol.</w:t>
      </w:r>
    </w:p>
  </w:footnote>
  <w:footnote w:id="45">
    <w:p w14:paraId="11B5E9B8" w14:textId="77777777" w:rsidR="0066097B" w:rsidRPr="001E35A7" w:rsidRDefault="0066097B" w:rsidP="0066097B">
      <w:pPr>
        <w:pStyle w:val="FootnoteText"/>
        <w:rPr>
          <w:sz w:val="18"/>
          <w:szCs w:val="18"/>
        </w:rPr>
      </w:pPr>
      <w:r w:rsidRPr="00F7158D">
        <w:rPr>
          <w:rStyle w:val="FootnoteReference"/>
        </w:rPr>
        <w:footnoteRef/>
      </w:r>
      <w:r w:rsidRPr="001E35A7">
        <w:rPr>
          <w:sz w:val="18"/>
          <w:szCs w:val="18"/>
        </w:rPr>
        <w:t xml:space="preserve"> Political agreement has been reached on a revised Regulation.</w:t>
      </w:r>
    </w:p>
  </w:footnote>
  <w:footnote w:id="46">
    <w:p w14:paraId="0AD3EC86" w14:textId="77777777" w:rsidR="0066097B" w:rsidRPr="00AA2635" w:rsidRDefault="0066097B" w:rsidP="0066097B">
      <w:pPr>
        <w:pStyle w:val="FootnoteText"/>
        <w:ind w:left="284" w:hanging="284"/>
        <w:rPr>
          <w:sz w:val="18"/>
          <w:szCs w:val="18"/>
        </w:rPr>
      </w:pPr>
      <w:r w:rsidRPr="00F7158D">
        <w:rPr>
          <w:rStyle w:val="FootnoteReference"/>
        </w:rPr>
        <w:footnoteRef/>
      </w:r>
      <w:r w:rsidRPr="00AA2635">
        <w:rPr>
          <w:sz w:val="18"/>
          <w:szCs w:val="18"/>
        </w:rPr>
        <w:t xml:space="preserve"> Compilation of data for period 2012-2021</w:t>
      </w:r>
      <w:r>
        <w:rPr>
          <w:sz w:val="18"/>
          <w:szCs w:val="18"/>
        </w:rPr>
        <w:t>.</w:t>
      </w:r>
    </w:p>
  </w:footnote>
  <w:footnote w:id="47">
    <w:p w14:paraId="7F257863" w14:textId="77777777" w:rsidR="0066097B" w:rsidRPr="00AA2635" w:rsidRDefault="0066097B" w:rsidP="0066097B">
      <w:pPr>
        <w:pStyle w:val="FootnoteText"/>
        <w:rPr>
          <w:sz w:val="18"/>
          <w:szCs w:val="18"/>
          <w:lang w:val="en-IE"/>
        </w:rPr>
      </w:pPr>
      <w:r w:rsidRPr="00F7158D">
        <w:rPr>
          <w:rStyle w:val="FootnoteReference"/>
        </w:rPr>
        <w:footnoteRef/>
      </w:r>
      <w:r w:rsidRPr="00AA2635">
        <w:rPr>
          <w:sz w:val="18"/>
          <w:szCs w:val="18"/>
        </w:rPr>
        <w:t xml:space="preserve"> Compilation of data for period 2012-2020</w:t>
      </w:r>
      <w:r>
        <w:rPr>
          <w:sz w:val="18"/>
          <w:szCs w:val="18"/>
        </w:rPr>
        <w:t>.</w:t>
      </w:r>
    </w:p>
  </w:footnote>
  <w:footnote w:id="48">
    <w:p w14:paraId="5B887882" w14:textId="77777777" w:rsidR="0066097B" w:rsidRPr="00AA2635" w:rsidRDefault="0066097B" w:rsidP="0066097B">
      <w:pPr>
        <w:pStyle w:val="FootnoteText"/>
        <w:rPr>
          <w:sz w:val="18"/>
          <w:szCs w:val="18"/>
        </w:rPr>
      </w:pPr>
      <w:r w:rsidRPr="00F7158D">
        <w:rPr>
          <w:rStyle w:val="FootnoteReference"/>
        </w:rPr>
        <w:footnoteRef/>
      </w:r>
      <w:r w:rsidRPr="00AA2635">
        <w:rPr>
          <w:sz w:val="18"/>
          <w:szCs w:val="18"/>
        </w:rPr>
        <w:t xml:space="preserve"> HELCOM is an intergovernmental organisation for the environment of the Baltic Sea. HELCOM consists of ten members – the nine Baltic Sea countries Denmark, Estonia, Finland, Germany, Latvia, Lithuania, Poland, Russia and Sweden, plus the European Union.</w:t>
      </w:r>
    </w:p>
  </w:footnote>
  <w:footnote w:id="49">
    <w:p w14:paraId="1D83E786" w14:textId="77777777" w:rsidR="0066097B" w:rsidRPr="00AA2635" w:rsidRDefault="0066097B" w:rsidP="0066097B">
      <w:pPr>
        <w:pStyle w:val="FootnoteText"/>
        <w:rPr>
          <w:sz w:val="18"/>
          <w:szCs w:val="18"/>
        </w:rPr>
      </w:pPr>
      <w:r w:rsidRPr="00F7158D">
        <w:rPr>
          <w:rStyle w:val="FootnoteReference"/>
        </w:rPr>
        <w:footnoteRef/>
      </w:r>
      <w:r w:rsidRPr="00AA2635">
        <w:rPr>
          <w:sz w:val="18"/>
          <w:szCs w:val="18"/>
        </w:rPr>
        <w:t xml:space="preserve"> Bonn Agreement is an intergovernmental environmental agreement for the North Sea. Members of the Bonn Agreement are Belgium, Denmark, the European Community, France, Germany, Ireland, the Netherlands, Norway, Sweden, United Kingdom and Spain.</w:t>
      </w:r>
    </w:p>
  </w:footnote>
  <w:footnote w:id="50">
    <w:p w14:paraId="6855C06A" w14:textId="77777777" w:rsidR="0066097B" w:rsidRPr="00AA2635" w:rsidRDefault="0066097B" w:rsidP="0066097B">
      <w:pPr>
        <w:pStyle w:val="FootnoteText"/>
        <w:ind w:left="284" w:hanging="284"/>
        <w:rPr>
          <w:sz w:val="18"/>
          <w:szCs w:val="18"/>
          <w:lang w:val="fr-BE"/>
        </w:rPr>
      </w:pPr>
      <w:r w:rsidRPr="00F7158D">
        <w:rPr>
          <w:rStyle w:val="FootnoteReference"/>
        </w:rPr>
        <w:footnoteRef/>
      </w:r>
      <w:r w:rsidRPr="00AA2635">
        <w:rPr>
          <w:sz w:val="18"/>
          <w:szCs w:val="18"/>
          <w:lang w:val="fr-BE"/>
        </w:rPr>
        <w:t xml:space="preserve"> International Maritime Organisation</w:t>
      </w:r>
      <w:r>
        <w:rPr>
          <w:sz w:val="18"/>
          <w:szCs w:val="18"/>
          <w:lang w:val="fr-BE"/>
        </w:rPr>
        <w:t xml:space="preserve"> GISIS </w:t>
      </w:r>
      <w:proofErr w:type="spellStart"/>
      <w:r w:rsidRPr="000B52E0">
        <w:rPr>
          <w:sz w:val="18"/>
          <w:szCs w:val="18"/>
          <w:lang w:val="fr-FR"/>
        </w:rPr>
        <w:t>database</w:t>
      </w:r>
      <w:proofErr w:type="spellEnd"/>
      <w:r>
        <w:rPr>
          <w:sz w:val="18"/>
          <w:szCs w:val="18"/>
          <w:lang w:val="fr-BE"/>
        </w:rPr>
        <w:t>:</w:t>
      </w:r>
      <w:r w:rsidRPr="00AA2635">
        <w:rPr>
          <w:sz w:val="18"/>
          <w:szCs w:val="18"/>
          <w:lang w:val="fr-BE"/>
        </w:rPr>
        <w:t xml:space="preserve"> </w:t>
      </w:r>
      <w:hyperlink r:id="rId4" w:history="1">
        <w:r w:rsidRPr="00AA2635">
          <w:rPr>
            <w:rStyle w:val="Hyperlink"/>
            <w:sz w:val="18"/>
            <w:szCs w:val="18"/>
            <w:lang w:val="fr-BE"/>
          </w:rPr>
          <w:t>https://gisis.imo.org/Public/Default.aspx</w:t>
        </w:r>
      </w:hyperlink>
      <w:r w:rsidRPr="00AA2635">
        <w:rPr>
          <w:sz w:val="18"/>
          <w:szCs w:val="18"/>
          <w:lang w:val="fr-BE"/>
        </w:rPr>
        <w:t xml:space="preserve"> </w:t>
      </w:r>
    </w:p>
  </w:footnote>
  <w:footnote w:id="51">
    <w:p w14:paraId="3CC3A050" w14:textId="77777777" w:rsidR="0066097B" w:rsidRPr="00B12818" w:rsidRDefault="0066097B" w:rsidP="0066097B">
      <w:pPr>
        <w:pStyle w:val="FootnoteText"/>
        <w:rPr>
          <w:sz w:val="18"/>
          <w:szCs w:val="18"/>
        </w:rPr>
      </w:pPr>
      <w:r w:rsidRPr="00F7158D">
        <w:rPr>
          <w:rStyle w:val="FootnoteReference"/>
        </w:rPr>
        <w:footnoteRef/>
      </w:r>
      <w:r w:rsidRPr="00B12818">
        <w:rPr>
          <w:sz w:val="18"/>
          <w:szCs w:val="18"/>
        </w:rPr>
        <w:t xml:space="preserve"> See IMO Workshop on the Relationship between Energy Efficiency and Underwater Radiated Noise from Ships, 18-19 September 2023: </w:t>
      </w:r>
      <w:hyperlink r:id="rId5" w:history="1">
        <w:r w:rsidRPr="00B12818">
          <w:rPr>
            <w:rStyle w:val="Hyperlink"/>
            <w:sz w:val="18"/>
            <w:szCs w:val="18"/>
          </w:rPr>
          <w:t>https://www.imo.org/en/About/Events/Pages/URN-Workshop-2023.aspx</w:t>
        </w:r>
      </w:hyperlink>
      <w:r w:rsidRPr="00B12818">
        <w:rPr>
          <w:sz w:val="18"/>
          <w:szCs w:val="18"/>
        </w:rPr>
        <w:t xml:space="preserve"> </w:t>
      </w:r>
    </w:p>
  </w:footnote>
  <w:footnote w:id="52">
    <w:p w14:paraId="37E9F5EE" w14:textId="77777777" w:rsidR="0066097B" w:rsidRDefault="0066097B" w:rsidP="0066097B">
      <w:pPr>
        <w:pStyle w:val="FootnoteText"/>
      </w:pPr>
      <w:r w:rsidRPr="00F7158D">
        <w:rPr>
          <w:rStyle w:val="FootnoteReference"/>
        </w:rPr>
        <w:footnoteRef/>
      </w:r>
      <w:r w:rsidRPr="00BD04A1">
        <w:rPr>
          <w:sz w:val="18"/>
          <w:szCs w:val="18"/>
        </w:rPr>
        <w:t xml:space="preserve"> The </w:t>
      </w:r>
      <w:r>
        <w:rPr>
          <w:sz w:val="18"/>
          <w:szCs w:val="18"/>
        </w:rPr>
        <w:t>SRR</w:t>
      </w:r>
      <w:r w:rsidRPr="00BD04A1">
        <w:rPr>
          <w:sz w:val="18"/>
          <w:szCs w:val="18"/>
        </w:rPr>
        <w:t xml:space="preserve"> does not apply to:</w:t>
      </w:r>
      <w:r>
        <w:rPr>
          <w:sz w:val="18"/>
          <w:szCs w:val="18"/>
        </w:rPr>
        <w:t xml:space="preserve"> </w:t>
      </w:r>
      <w:r w:rsidRPr="00BD04A1">
        <w:rPr>
          <w:sz w:val="18"/>
          <w:szCs w:val="18"/>
        </w:rPr>
        <w:t>warships, naval auxiliaries or other ships owned or operated by a State and used for the time being only for non-commercial governmental services; ships of less than 500 gross tonnage (GT)</w:t>
      </w:r>
      <w:r>
        <w:rPr>
          <w:sz w:val="18"/>
          <w:szCs w:val="18"/>
        </w:rPr>
        <w:t>,</w:t>
      </w:r>
      <w:r w:rsidRPr="00BD04A1">
        <w:rPr>
          <w:sz w:val="18"/>
          <w:szCs w:val="18"/>
        </w:rPr>
        <w:t xml:space="preserve"> and</w:t>
      </w:r>
      <w:r>
        <w:rPr>
          <w:sz w:val="18"/>
          <w:szCs w:val="18"/>
        </w:rPr>
        <w:t xml:space="preserve">; </w:t>
      </w:r>
      <w:r w:rsidRPr="00BD04A1">
        <w:rPr>
          <w:sz w:val="18"/>
          <w:szCs w:val="18"/>
        </w:rPr>
        <w:t>ships which throughout their life cycle are operated only in waters under the sovereignty or jurisdiction of the Member State whose flag they fly.</w:t>
      </w:r>
    </w:p>
  </w:footnote>
  <w:footnote w:id="53">
    <w:p w14:paraId="258C6F46" w14:textId="77777777" w:rsidR="0066097B" w:rsidRPr="0063595B" w:rsidRDefault="0066097B" w:rsidP="0066097B">
      <w:pPr>
        <w:pStyle w:val="FootnoteText"/>
        <w:rPr>
          <w:sz w:val="18"/>
          <w:szCs w:val="18"/>
        </w:rPr>
      </w:pPr>
      <w:r w:rsidRPr="00F7158D">
        <w:rPr>
          <w:rStyle w:val="FootnoteReference"/>
        </w:rPr>
        <w:footnoteRef/>
      </w:r>
      <w:r w:rsidRPr="0063595B">
        <w:rPr>
          <w:sz w:val="18"/>
          <w:szCs w:val="18"/>
        </w:rPr>
        <w:t xml:space="preserve"> </w:t>
      </w:r>
      <w:r w:rsidRPr="0063595B">
        <w:rPr>
          <w:rFonts w:eastAsia="Times New Roman" w:cstheme="minorBidi"/>
          <w:color w:val="141624"/>
          <w:sz w:val="18"/>
          <w:szCs w:val="18"/>
          <w:lang w:eastAsia="en-IE"/>
        </w:rPr>
        <w:t xml:space="preserve">As of January 2024 there are 45 </w:t>
      </w:r>
      <w:r>
        <w:rPr>
          <w:rFonts w:eastAsia="Times New Roman" w:cstheme="minorBidi"/>
          <w:color w:val="141624"/>
          <w:sz w:val="18"/>
          <w:szCs w:val="18"/>
          <w:lang w:eastAsia="en-IE"/>
        </w:rPr>
        <w:t xml:space="preserve">approved facilities </w:t>
      </w:r>
      <w:r w:rsidRPr="0063595B">
        <w:rPr>
          <w:rFonts w:eastAsia="Times New Roman" w:cstheme="minorBidi"/>
          <w:color w:val="141624"/>
          <w:sz w:val="18"/>
          <w:szCs w:val="18"/>
          <w:lang w:eastAsia="en-IE"/>
        </w:rPr>
        <w:t>– 35 in Europe and the UK, 9 in Turkey and 1 in the USA.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722EA" w14:textId="6DE11485" w:rsidR="002A074E" w:rsidRDefault="00D77731">
    <w:pPr>
      <w:pStyle w:val="Header"/>
    </w:pPr>
    <w:r>
      <w:rPr>
        <w:noProof/>
      </w:rPr>
      <w:pict w14:anchorId="6D6C09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9862922" o:spid="_x0000_s1033" type="#_x0000_t136" style="position:absolute;left:0;text-align:left;margin-left:0;margin-top:0;width:386.25pt;height:176.25pt;rotation:315;z-index:-251658228;mso-position-horizontal:center;mso-position-horizontal-relative:margin;mso-position-vertical:center;mso-position-vertical-relative:margin" o:allowincell="f" fillcolor="silver" stroked="f">
          <v:fill opacity=".5"/>
          <v:textpath style="font-family:&quot;Calibri&quot;;font-size:2in"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0FB42" w14:textId="442A4420" w:rsidR="001D0F05" w:rsidRDefault="00D77731" w:rsidP="00442DE0">
    <w:r>
      <w:rPr>
        <w:noProof/>
      </w:rPr>
      <w:pict w14:anchorId="1ED246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9862923" o:spid="_x0000_s1034" type="#_x0000_t136" style="position:absolute;left:0;text-align:left;margin-left:0;margin-top:0;width:386.25pt;height:176.25pt;rotation:315;z-index:-251658227;mso-position-horizontal:center;mso-position-horizontal-relative:margin;mso-position-vertical:center;mso-position-vertical-relative:margin" o:allowincell="f" fillcolor="silver" stroked="f">
          <v:fill opacity=".5"/>
          <v:textpath style="font-family:&quot;Calibri&quot;;font-size:2in" string="DRAFT"/>
          <w10:wrap anchorx="margin" anchory="margin"/>
        </v:shape>
      </w:pict>
    </w:r>
    <w:r w:rsidR="00877F8B" w:rsidRPr="00215D84">
      <w:rPr>
        <w:noProof/>
      </w:rPr>
      <w:drawing>
        <wp:inline distT="0" distB="0" distL="0" distR="0" wp14:anchorId="1182D431" wp14:editId="63130D1A">
          <wp:extent cx="1836000" cy="584922"/>
          <wp:effectExtent l="0" t="0" r="0" b="5715"/>
          <wp:docPr id="49" name="Picture 49" descr="Home - EMSA - European Maritime Safety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EMSA - European Maritime Safety Agenc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000" cy="584922"/>
                  </a:xfrm>
                  <a:prstGeom prst="rect">
                    <a:avLst/>
                  </a:prstGeom>
                  <a:noFill/>
                  <a:ln>
                    <a:noFill/>
                  </a:ln>
                </pic:spPr>
              </pic:pic>
            </a:graphicData>
          </a:graphic>
        </wp:inline>
      </w:drawing>
    </w:r>
    <w:r w:rsidR="00867841">
      <w:rPr>
        <w:noProof/>
        <w:lang w:eastAsia="en-GB"/>
      </w:rPr>
      <w:drawing>
        <wp:anchor distT="0" distB="0" distL="114300" distR="114300" simplePos="0" relativeHeight="251660288" behindDoc="1" locked="0" layoutInCell="1" allowOverlap="1" wp14:anchorId="74D47A38" wp14:editId="1AF2F68C">
          <wp:simplePos x="0" y="0"/>
          <wp:positionH relativeFrom="page">
            <wp:posOffset>3829050</wp:posOffset>
          </wp:positionH>
          <wp:positionV relativeFrom="topMargin">
            <wp:align>bottom</wp:align>
          </wp:positionV>
          <wp:extent cx="2882265" cy="734060"/>
          <wp:effectExtent l="0" t="0" r="0" b="0"/>
          <wp:wrapNone/>
          <wp:docPr id="136005649" name="Picture 136005649"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r w:rsidR="00845CEC">
      <w:rPr>
        <w:noProof/>
        <w:lang w:val="de-DE" w:eastAsia="de-DE"/>
      </w:rPr>
      <w:drawing>
        <wp:anchor distT="0" distB="0" distL="114300" distR="114300" simplePos="0" relativeHeight="251656192" behindDoc="1" locked="0" layoutInCell="1" allowOverlap="1" wp14:anchorId="1E24FE71" wp14:editId="1AF2F68C">
          <wp:simplePos x="0" y="0"/>
          <wp:positionH relativeFrom="page">
            <wp:posOffset>3829050</wp:posOffset>
          </wp:positionH>
          <wp:positionV relativeFrom="topMargin">
            <wp:align>bottom</wp:align>
          </wp:positionV>
          <wp:extent cx="2882265" cy="734060"/>
          <wp:effectExtent l="0" t="0" r="0" b="0"/>
          <wp:wrapNone/>
          <wp:docPr id="32" name="Picture 32"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r w:rsidR="001D0F05">
      <w:rPr>
        <w:noProof/>
        <w:lang w:eastAsia="en-GB"/>
      </w:rPr>
      <w:drawing>
        <wp:anchor distT="0" distB="0" distL="114300" distR="114300" simplePos="0" relativeHeight="251652096" behindDoc="1" locked="0" layoutInCell="1" allowOverlap="1" wp14:anchorId="1828A8B3" wp14:editId="1AF2F68C">
          <wp:simplePos x="0" y="0"/>
          <wp:positionH relativeFrom="page">
            <wp:posOffset>3829050</wp:posOffset>
          </wp:positionH>
          <wp:positionV relativeFrom="topMargin">
            <wp:align>bottom</wp:align>
          </wp:positionV>
          <wp:extent cx="2882265" cy="734060"/>
          <wp:effectExtent l="0" t="0" r="0" b="0"/>
          <wp:wrapNone/>
          <wp:docPr id="39" name="Picture 39"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C05E3" w14:textId="3C733B7A" w:rsidR="001D0F05" w:rsidRDefault="00D77731" w:rsidP="00442DE0">
    <w:r>
      <w:rPr>
        <w:noProof/>
      </w:rPr>
      <w:pict w14:anchorId="039ADA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9862921" o:spid="_x0000_s1035" type="#_x0000_t136" style="position:absolute;left:0;text-align:left;margin-left:0;margin-top:0;width:386.25pt;height:176.25pt;rotation:315;z-index:-251658229;mso-position-horizontal:center;mso-position-horizontal-relative:margin;mso-position-vertical:center;mso-position-vertical-relative:margin" o:allowincell="f" fillcolor="silver" stroked="f">
          <v:fill opacity=".5"/>
          <v:textpath style="font-family:&quot;Calibri&quot;;font-size:2in" string="DRAFT"/>
          <w10:wrap anchorx="margin" anchory="margin"/>
        </v:shape>
      </w:pict>
    </w:r>
    <w:r w:rsidR="00877F8B" w:rsidRPr="00215D84">
      <w:rPr>
        <w:noProof/>
      </w:rPr>
      <w:drawing>
        <wp:inline distT="0" distB="0" distL="0" distR="0" wp14:anchorId="0A2B502E" wp14:editId="3AAFAD35">
          <wp:extent cx="1836000" cy="584922"/>
          <wp:effectExtent l="0" t="0" r="0" b="5715"/>
          <wp:docPr id="40" name="Picture 40" descr="Home - EMSA - European Maritime Safety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EMSA - European Maritime Safety Agenc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000" cy="584922"/>
                  </a:xfrm>
                  <a:prstGeom prst="rect">
                    <a:avLst/>
                  </a:prstGeom>
                  <a:noFill/>
                  <a:ln>
                    <a:noFill/>
                  </a:ln>
                </pic:spPr>
              </pic:pic>
            </a:graphicData>
          </a:graphic>
        </wp:inline>
      </w:drawing>
    </w:r>
    <w:r w:rsidR="00867841">
      <w:rPr>
        <w:noProof/>
        <w:lang w:eastAsia="en-GB"/>
      </w:rPr>
      <w:drawing>
        <wp:anchor distT="0" distB="0" distL="114300" distR="114300" simplePos="0" relativeHeight="251662336" behindDoc="1" locked="0" layoutInCell="1" allowOverlap="1" wp14:anchorId="130F79A7" wp14:editId="099F0481">
          <wp:simplePos x="0" y="0"/>
          <wp:positionH relativeFrom="page">
            <wp:posOffset>3947160</wp:posOffset>
          </wp:positionH>
          <wp:positionV relativeFrom="topMargin">
            <wp:align>bottom</wp:align>
          </wp:positionV>
          <wp:extent cx="2882265" cy="734060"/>
          <wp:effectExtent l="0" t="0" r="0" b="0"/>
          <wp:wrapNone/>
          <wp:docPr id="42" name="Picture 42"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r w:rsidR="00845CEC">
      <w:rPr>
        <w:noProof/>
        <w:lang w:val="de-DE" w:eastAsia="de-DE"/>
      </w:rPr>
      <w:drawing>
        <wp:anchor distT="0" distB="0" distL="114300" distR="114300" simplePos="0" relativeHeight="251658240" behindDoc="1" locked="0" layoutInCell="1" allowOverlap="1" wp14:anchorId="15852A89" wp14:editId="099F0481">
          <wp:simplePos x="0" y="0"/>
          <wp:positionH relativeFrom="page">
            <wp:posOffset>3947160</wp:posOffset>
          </wp:positionH>
          <wp:positionV relativeFrom="topMargin">
            <wp:align>bottom</wp:align>
          </wp:positionV>
          <wp:extent cx="2882265" cy="734060"/>
          <wp:effectExtent l="0" t="0" r="0" b="0"/>
          <wp:wrapNone/>
          <wp:docPr id="46" name="Picture 46"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r w:rsidR="001D0F05">
      <w:rPr>
        <w:noProof/>
        <w:lang w:eastAsia="en-GB"/>
      </w:rPr>
      <w:drawing>
        <wp:anchor distT="0" distB="0" distL="114300" distR="114300" simplePos="0" relativeHeight="251654144" behindDoc="1" locked="0" layoutInCell="1" allowOverlap="1" wp14:anchorId="58F45EE9" wp14:editId="099F0481">
          <wp:simplePos x="0" y="0"/>
          <wp:positionH relativeFrom="page">
            <wp:posOffset>3947160</wp:posOffset>
          </wp:positionH>
          <wp:positionV relativeFrom="topMargin">
            <wp:align>bottom</wp:align>
          </wp:positionV>
          <wp:extent cx="2882265" cy="734060"/>
          <wp:effectExtent l="0" t="0" r="0" b="0"/>
          <wp:wrapNone/>
          <wp:docPr id="48" name="Picture 48"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C9DD" w14:textId="75D6062C" w:rsidR="00F90BC0" w:rsidRDefault="00D77731">
    <w:pPr>
      <w:pStyle w:val="Header"/>
    </w:pPr>
    <w:r>
      <w:rPr>
        <w:noProof/>
      </w:rPr>
      <w:pict w14:anchorId="320E9E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9862925" o:spid="_x0000_s1036" type="#_x0000_t136" style="position:absolute;left:0;text-align:left;margin-left:0;margin-top:0;width:386.25pt;height:176.25pt;rotation:315;z-index:-251658225;mso-position-horizontal:center;mso-position-horizontal-relative:margin;mso-position-vertical:center;mso-position-vertical-relative:margin" o:allowincell="f" fillcolor="silver" stroked="f">
          <v:fill opacity=".5"/>
          <v:textpath style="font-family:&quot;Calibri&quot;;font-size:2in"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85297" w14:textId="44347A5C" w:rsidR="00576E4F" w:rsidRDefault="00D77731" w:rsidP="00442DE0">
    <w:r>
      <w:rPr>
        <w:noProof/>
      </w:rPr>
      <w:pict w14:anchorId="2055FF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9862926" o:spid="_x0000_s1037" type="#_x0000_t136" style="position:absolute;left:0;text-align:left;margin-left:0;margin-top:0;width:386.25pt;height:176.25pt;rotation:315;z-index:-251658224;mso-position-horizontal:center;mso-position-horizontal-relative:margin;mso-position-vertical:center;mso-position-vertical-relative:margin" o:allowincell="f" fillcolor="silver" stroked="f">
          <v:fill opacity=".5"/>
          <v:textpath style="font-family:&quot;Calibri&quot;;font-size:2in" string="DRAFT"/>
          <w10:wrap anchorx="margin" anchory="margin"/>
        </v:shape>
      </w:pict>
    </w:r>
    <w:r w:rsidR="00576E4F" w:rsidRPr="001D7AC9">
      <w:rPr>
        <w:noProof/>
      </w:rPr>
      <w:drawing>
        <wp:inline distT="0" distB="0" distL="0" distR="0" wp14:anchorId="5CFC4512" wp14:editId="54F29AC1">
          <wp:extent cx="1836000" cy="584922"/>
          <wp:effectExtent l="0" t="0" r="0" b="5715"/>
          <wp:docPr id="1164877131" name="Picture 1164877131" descr="Home - EMSA - European Maritime Safety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EMSA - European Maritime Safety Agenc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000" cy="584922"/>
                  </a:xfrm>
                  <a:prstGeom prst="rect">
                    <a:avLst/>
                  </a:prstGeom>
                  <a:noFill/>
                  <a:ln>
                    <a:noFill/>
                  </a:ln>
                </pic:spPr>
              </pic:pic>
            </a:graphicData>
          </a:graphic>
        </wp:inline>
      </w:drawing>
    </w:r>
    <w:r w:rsidR="00576E4F">
      <w:rPr>
        <w:noProof/>
        <w:lang w:eastAsia="en-GB"/>
      </w:rPr>
      <w:drawing>
        <wp:anchor distT="0" distB="0" distL="114300" distR="114300" simplePos="0" relativeHeight="251658249" behindDoc="1" locked="0" layoutInCell="1" allowOverlap="1" wp14:anchorId="78F778B5" wp14:editId="634140DC">
          <wp:simplePos x="0" y="0"/>
          <wp:positionH relativeFrom="page">
            <wp:posOffset>3829050</wp:posOffset>
          </wp:positionH>
          <wp:positionV relativeFrom="topMargin">
            <wp:align>bottom</wp:align>
          </wp:positionV>
          <wp:extent cx="2882265" cy="734060"/>
          <wp:effectExtent l="0" t="0" r="0" b="0"/>
          <wp:wrapNone/>
          <wp:docPr id="1164877168" name="Picture 1164877168"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r w:rsidR="00576E4F" w:rsidRPr="001D7AC9">
      <w:rPr>
        <w:noProof/>
      </w:rPr>
      <w:drawing>
        <wp:anchor distT="0" distB="0" distL="114300" distR="114300" simplePos="0" relativeHeight="251658242" behindDoc="1" locked="0" layoutInCell="1" allowOverlap="1" wp14:anchorId="6A40BC18" wp14:editId="634140DC">
          <wp:simplePos x="0" y="0"/>
          <wp:positionH relativeFrom="page">
            <wp:posOffset>3829050</wp:posOffset>
          </wp:positionH>
          <wp:positionV relativeFrom="topMargin">
            <wp:align>bottom</wp:align>
          </wp:positionV>
          <wp:extent cx="2882265" cy="734060"/>
          <wp:effectExtent l="0" t="0" r="0" b="0"/>
          <wp:wrapNone/>
          <wp:docPr id="1164877132" name="Picture 1164877132"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1C078" w14:textId="197DE6E3" w:rsidR="00576E4F" w:rsidRDefault="00D77731" w:rsidP="00442DE0">
    <w:r>
      <w:rPr>
        <w:noProof/>
      </w:rPr>
      <w:pict w14:anchorId="1F781A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9862924" o:spid="_x0000_s1038" type="#_x0000_t136" style="position:absolute;left:0;text-align:left;margin-left:0;margin-top:0;width:386.25pt;height:176.25pt;rotation:315;z-index:-251658226;mso-position-horizontal:center;mso-position-horizontal-relative:margin;mso-position-vertical:center;mso-position-vertical-relative:margin" o:allowincell="f" fillcolor="silver" stroked="f">
          <v:fill opacity=".5"/>
          <v:textpath style="font-family:&quot;Calibri&quot;;font-size:2in" string="DRAFT"/>
          <w10:wrap anchorx="margin" anchory="margin"/>
        </v:shape>
      </w:pict>
    </w:r>
    <w:r w:rsidR="00576E4F" w:rsidRPr="00215D84">
      <w:rPr>
        <w:noProof/>
      </w:rPr>
      <w:drawing>
        <wp:inline distT="0" distB="0" distL="0" distR="0" wp14:anchorId="59621F8C" wp14:editId="24611FB8">
          <wp:extent cx="1836000" cy="584922"/>
          <wp:effectExtent l="0" t="0" r="0" b="5715"/>
          <wp:docPr id="1164877129" name="Picture 1164877129" descr="Home - EMSA - European Maritime Safety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EMSA - European Maritime Safety Agenc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000" cy="584922"/>
                  </a:xfrm>
                  <a:prstGeom prst="rect">
                    <a:avLst/>
                  </a:prstGeom>
                  <a:noFill/>
                  <a:ln>
                    <a:noFill/>
                  </a:ln>
                </pic:spPr>
              </pic:pic>
            </a:graphicData>
          </a:graphic>
        </wp:inline>
      </w:drawing>
    </w:r>
    <w:r w:rsidR="00576E4F">
      <w:rPr>
        <w:noProof/>
        <w:lang w:eastAsia="en-GB"/>
      </w:rPr>
      <w:drawing>
        <wp:anchor distT="0" distB="0" distL="114300" distR="114300" simplePos="0" relativeHeight="251658250" behindDoc="1" locked="0" layoutInCell="1" allowOverlap="1" wp14:anchorId="42BACB95" wp14:editId="598A91B7">
          <wp:simplePos x="0" y="0"/>
          <wp:positionH relativeFrom="page">
            <wp:posOffset>3947160</wp:posOffset>
          </wp:positionH>
          <wp:positionV relativeFrom="topMargin">
            <wp:align>bottom</wp:align>
          </wp:positionV>
          <wp:extent cx="2882265" cy="734060"/>
          <wp:effectExtent l="0" t="0" r="0" b="0"/>
          <wp:wrapNone/>
          <wp:docPr id="1164877170" name="Picture 1164877170"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r w:rsidR="00576E4F" w:rsidRPr="00EC708B">
      <w:rPr>
        <w:noProof/>
      </w:rPr>
      <w:drawing>
        <wp:anchor distT="0" distB="0" distL="114300" distR="114300" simplePos="0" relativeHeight="251658243" behindDoc="1" locked="0" layoutInCell="1" allowOverlap="1" wp14:anchorId="3AC91161" wp14:editId="598A91B7">
          <wp:simplePos x="0" y="0"/>
          <wp:positionH relativeFrom="page">
            <wp:posOffset>3947160</wp:posOffset>
          </wp:positionH>
          <wp:positionV relativeFrom="topMargin">
            <wp:align>bottom</wp:align>
          </wp:positionV>
          <wp:extent cx="2882265" cy="734060"/>
          <wp:effectExtent l="0" t="0" r="0" b="0"/>
          <wp:wrapNone/>
          <wp:docPr id="1164877130" name="Picture 1164877130" descr="EE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2265" cy="734060"/>
                  </a:xfrm>
                  <a:prstGeom prst="rect">
                    <a:avLst/>
                  </a:prstGeom>
                  <a:noFill/>
                  <a:ln>
                    <a:noFill/>
                  </a:ln>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textHash int2:hashCode="tQ4dieTnYU8ywC" int2:id="S4JCB5T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BE3"/>
    <w:multiLevelType w:val="hybridMultilevel"/>
    <w:tmpl w:val="DB4208AC"/>
    <w:lvl w:ilvl="0" w:tplc="06F07CC4">
      <w:start w:val="1"/>
      <w:numFmt w:val="bullet"/>
      <w:lvlText w:val=""/>
      <w:lvlJc w:val="left"/>
      <w:pPr>
        <w:ind w:left="2160" w:hanging="360"/>
      </w:pPr>
      <w:rPr>
        <w:rFonts w:ascii="Symbol" w:hAnsi="Symbol"/>
      </w:rPr>
    </w:lvl>
    <w:lvl w:ilvl="1" w:tplc="D3CE18E8">
      <w:start w:val="1"/>
      <w:numFmt w:val="bullet"/>
      <w:lvlText w:val=""/>
      <w:lvlJc w:val="left"/>
      <w:pPr>
        <w:ind w:left="2160" w:hanging="360"/>
      </w:pPr>
      <w:rPr>
        <w:rFonts w:ascii="Symbol" w:hAnsi="Symbol"/>
      </w:rPr>
    </w:lvl>
    <w:lvl w:ilvl="2" w:tplc="D3F6FE9A">
      <w:start w:val="1"/>
      <w:numFmt w:val="bullet"/>
      <w:lvlText w:val=""/>
      <w:lvlJc w:val="left"/>
      <w:pPr>
        <w:ind w:left="2160" w:hanging="360"/>
      </w:pPr>
      <w:rPr>
        <w:rFonts w:ascii="Symbol" w:hAnsi="Symbol"/>
      </w:rPr>
    </w:lvl>
    <w:lvl w:ilvl="3" w:tplc="F01CF228">
      <w:start w:val="1"/>
      <w:numFmt w:val="bullet"/>
      <w:lvlText w:val=""/>
      <w:lvlJc w:val="left"/>
      <w:pPr>
        <w:ind w:left="2160" w:hanging="360"/>
      </w:pPr>
      <w:rPr>
        <w:rFonts w:ascii="Symbol" w:hAnsi="Symbol"/>
      </w:rPr>
    </w:lvl>
    <w:lvl w:ilvl="4" w:tplc="6B8EADBE">
      <w:start w:val="1"/>
      <w:numFmt w:val="bullet"/>
      <w:lvlText w:val=""/>
      <w:lvlJc w:val="left"/>
      <w:pPr>
        <w:ind w:left="2160" w:hanging="360"/>
      </w:pPr>
      <w:rPr>
        <w:rFonts w:ascii="Symbol" w:hAnsi="Symbol"/>
      </w:rPr>
    </w:lvl>
    <w:lvl w:ilvl="5" w:tplc="CC627E6E">
      <w:start w:val="1"/>
      <w:numFmt w:val="bullet"/>
      <w:lvlText w:val=""/>
      <w:lvlJc w:val="left"/>
      <w:pPr>
        <w:ind w:left="2160" w:hanging="360"/>
      </w:pPr>
      <w:rPr>
        <w:rFonts w:ascii="Symbol" w:hAnsi="Symbol"/>
      </w:rPr>
    </w:lvl>
    <w:lvl w:ilvl="6" w:tplc="D11E1C4E">
      <w:start w:val="1"/>
      <w:numFmt w:val="bullet"/>
      <w:lvlText w:val=""/>
      <w:lvlJc w:val="left"/>
      <w:pPr>
        <w:ind w:left="2160" w:hanging="360"/>
      </w:pPr>
      <w:rPr>
        <w:rFonts w:ascii="Symbol" w:hAnsi="Symbol"/>
      </w:rPr>
    </w:lvl>
    <w:lvl w:ilvl="7" w:tplc="2E82A2C2">
      <w:start w:val="1"/>
      <w:numFmt w:val="bullet"/>
      <w:lvlText w:val=""/>
      <w:lvlJc w:val="left"/>
      <w:pPr>
        <w:ind w:left="2160" w:hanging="360"/>
      </w:pPr>
      <w:rPr>
        <w:rFonts w:ascii="Symbol" w:hAnsi="Symbol"/>
      </w:rPr>
    </w:lvl>
    <w:lvl w:ilvl="8" w:tplc="546C2A2C">
      <w:start w:val="1"/>
      <w:numFmt w:val="bullet"/>
      <w:lvlText w:val=""/>
      <w:lvlJc w:val="left"/>
      <w:pPr>
        <w:ind w:left="2160" w:hanging="360"/>
      </w:pPr>
      <w:rPr>
        <w:rFonts w:ascii="Symbol" w:hAnsi="Symbol"/>
      </w:rPr>
    </w:lvl>
  </w:abstractNum>
  <w:abstractNum w:abstractNumId="1" w15:restartNumberingAfterBreak="0">
    <w:nsid w:val="07FA2F26"/>
    <w:multiLevelType w:val="hybridMultilevel"/>
    <w:tmpl w:val="F14CA860"/>
    <w:lvl w:ilvl="0" w:tplc="DF4043A2">
      <w:start w:val="1"/>
      <w:numFmt w:val="decimal"/>
      <w:pStyle w:val="Heading7"/>
      <w:lvlText w:val="A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7021D5"/>
    <w:multiLevelType w:val="hybridMultilevel"/>
    <w:tmpl w:val="5322A22C"/>
    <w:lvl w:ilvl="0" w:tplc="84588C50">
      <w:start w:val="3"/>
      <w:numFmt w:val="bullet"/>
      <w:lvlText w:val="-"/>
      <w:lvlJc w:val="left"/>
      <w:pPr>
        <w:ind w:left="720" w:hanging="360"/>
      </w:pPr>
      <w:rPr>
        <w:rFonts w:ascii="Calibri" w:eastAsia="ヒラギノ角ゴ Pro W3"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A0D2695"/>
    <w:multiLevelType w:val="multilevel"/>
    <w:tmpl w:val="C29428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B25851"/>
    <w:multiLevelType w:val="hybridMultilevel"/>
    <w:tmpl w:val="E0001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7F3832"/>
    <w:multiLevelType w:val="hybridMultilevel"/>
    <w:tmpl w:val="09A437A0"/>
    <w:lvl w:ilvl="0" w:tplc="18090001">
      <w:start w:val="1"/>
      <w:numFmt w:val="bullet"/>
      <w:lvlText w:val=""/>
      <w:lvlJc w:val="left"/>
      <w:pPr>
        <w:ind w:left="765" w:hanging="360"/>
      </w:pPr>
      <w:rPr>
        <w:rFonts w:ascii="Symbol" w:hAnsi="Symbol" w:hint="default"/>
      </w:rPr>
    </w:lvl>
    <w:lvl w:ilvl="1" w:tplc="18090003">
      <w:start w:val="1"/>
      <w:numFmt w:val="bullet"/>
      <w:lvlText w:val="o"/>
      <w:lvlJc w:val="left"/>
      <w:pPr>
        <w:ind w:left="1485" w:hanging="360"/>
      </w:pPr>
      <w:rPr>
        <w:rFonts w:ascii="Courier New" w:hAnsi="Courier New" w:cs="Courier New" w:hint="default"/>
      </w:rPr>
    </w:lvl>
    <w:lvl w:ilvl="2" w:tplc="18090005">
      <w:start w:val="1"/>
      <w:numFmt w:val="bullet"/>
      <w:lvlText w:val=""/>
      <w:lvlJc w:val="left"/>
      <w:pPr>
        <w:ind w:left="2205" w:hanging="360"/>
      </w:pPr>
      <w:rPr>
        <w:rFonts w:ascii="Wingdings" w:hAnsi="Wingdings" w:hint="default"/>
      </w:rPr>
    </w:lvl>
    <w:lvl w:ilvl="3" w:tplc="18090001">
      <w:start w:val="1"/>
      <w:numFmt w:val="bullet"/>
      <w:lvlText w:val=""/>
      <w:lvlJc w:val="left"/>
      <w:pPr>
        <w:ind w:left="2925" w:hanging="360"/>
      </w:pPr>
      <w:rPr>
        <w:rFonts w:ascii="Symbol" w:hAnsi="Symbol" w:hint="default"/>
      </w:rPr>
    </w:lvl>
    <w:lvl w:ilvl="4" w:tplc="18090003">
      <w:start w:val="1"/>
      <w:numFmt w:val="bullet"/>
      <w:lvlText w:val="o"/>
      <w:lvlJc w:val="left"/>
      <w:pPr>
        <w:ind w:left="3645" w:hanging="360"/>
      </w:pPr>
      <w:rPr>
        <w:rFonts w:ascii="Courier New" w:hAnsi="Courier New" w:cs="Courier New" w:hint="default"/>
      </w:rPr>
    </w:lvl>
    <w:lvl w:ilvl="5" w:tplc="18090005">
      <w:start w:val="1"/>
      <w:numFmt w:val="bullet"/>
      <w:lvlText w:val=""/>
      <w:lvlJc w:val="left"/>
      <w:pPr>
        <w:ind w:left="4365" w:hanging="360"/>
      </w:pPr>
      <w:rPr>
        <w:rFonts w:ascii="Wingdings" w:hAnsi="Wingdings" w:hint="default"/>
      </w:rPr>
    </w:lvl>
    <w:lvl w:ilvl="6" w:tplc="18090001">
      <w:start w:val="1"/>
      <w:numFmt w:val="bullet"/>
      <w:lvlText w:val=""/>
      <w:lvlJc w:val="left"/>
      <w:pPr>
        <w:ind w:left="5085" w:hanging="360"/>
      </w:pPr>
      <w:rPr>
        <w:rFonts w:ascii="Symbol" w:hAnsi="Symbol" w:hint="default"/>
      </w:rPr>
    </w:lvl>
    <w:lvl w:ilvl="7" w:tplc="18090003">
      <w:start w:val="1"/>
      <w:numFmt w:val="bullet"/>
      <w:lvlText w:val="o"/>
      <w:lvlJc w:val="left"/>
      <w:pPr>
        <w:ind w:left="5805" w:hanging="360"/>
      </w:pPr>
      <w:rPr>
        <w:rFonts w:ascii="Courier New" w:hAnsi="Courier New" w:cs="Courier New" w:hint="default"/>
      </w:rPr>
    </w:lvl>
    <w:lvl w:ilvl="8" w:tplc="18090005">
      <w:start w:val="1"/>
      <w:numFmt w:val="bullet"/>
      <w:lvlText w:val=""/>
      <w:lvlJc w:val="left"/>
      <w:pPr>
        <w:ind w:left="6525" w:hanging="360"/>
      </w:pPr>
      <w:rPr>
        <w:rFonts w:ascii="Wingdings" w:hAnsi="Wingdings" w:hint="default"/>
      </w:rPr>
    </w:lvl>
  </w:abstractNum>
  <w:abstractNum w:abstractNumId="6" w15:restartNumberingAfterBreak="0">
    <w:nsid w:val="2D666903"/>
    <w:multiLevelType w:val="hybridMultilevel"/>
    <w:tmpl w:val="BD3E87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E6F18CA"/>
    <w:multiLevelType w:val="multilevel"/>
    <w:tmpl w:val="0FDAA540"/>
    <w:lvl w:ilvl="0">
      <w:start w:val="1"/>
      <w:numFmt w:val="decimal"/>
      <w:pStyle w:val="Heading1"/>
      <w:lvlText w:val="%1"/>
      <w:lvlJc w:val="left"/>
      <w:pPr>
        <w:ind w:left="574" w:hanging="432"/>
      </w:pPr>
    </w:lvl>
    <w:lvl w:ilvl="1">
      <w:start w:val="1"/>
      <w:numFmt w:val="decimal"/>
      <w:pStyle w:val="Heading2"/>
      <w:lvlText w:val="%1.%2"/>
      <w:lvlJc w:val="left"/>
      <w:pPr>
        <w:ind w:left="576" w:hanging="576"/>
      </w:pPr>
    </w:lvl>
    <w:lvl w:ilvl="2">
      <w:start w:val="1"/>
      <w:numFmt w:val="decimal"/>
      <w:pStyle w:val="Heading3"/>
      <w:lvlText w:val="%1.%2.%3"/>
      <w:lvlJc w:val="left"/>
      <w:pPr>
        <w:ind w:left="862" w:hanging="720"/>
      </w:pPr>
      <w:rPr>
        <w:b/>
        <w:bCs/>
        <w:sz w:val="24"/>
        <w:szCs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27F0067"/>
    <w:multiLevelType w:val="hybridMultilevel"/>
    <w:tmpl w:val="9C1A20A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9" w15:restartNumberingAfterBreak="0">
    <w:nsid w:val="32EF2713"/>
    <w:multiLevelType w:val="hybridMultilevel"/>
    <w:tmpl w:val="746E326C"/>
    <w:lvl w:ilvl="0" w:tplc="A768E864">
      <w:start w:val="1"/>
      <w:numFmt w:val="bullet"/>
      <w:lvlText w:val=""/>
      <w:lvlJc w:val="left"/>
      <w:pPr>
        <w:ind w:left="720" w:hanging="360"/>
      </w:pPr>
      <w:rPr>
        <w:rFonts w:ascii="Symbol" w:hAnsi="Symbol"/>
      </w:rPr>
    </w:lvl>
    <w:lvl w:ilvl="1" w:tplc="EEDC3474">
      <w:start w:val="1"/>
      <w:numFmt w:val="bullet"/>
      <w:lvlText w:val=""/>
      <w:lvlJc w:val="left"/>
      <w:pPr>
        <w:ind w:left="720" w:hanging="360"/>
      </w:pPr>
      <w:rPr>
        <w:rFonts w:ascii="Symbol" w:hAnsi="Symbol"/>
      </w:rPr>
    </w:lvl>
    <w:lvl w:ilvl="2" w:tplc="BDE6AFB2">
      <w:start w:val="1"/>
      <w:numFmt w:val="bullet"/>
      <w:lvlText w:val=""/>
      <w:lvlJc w:val="left"/>
      <w:pPr>
        <w:ind w:left="720" w:hanging="360"/>
      </w:pPr>
      <w:rPr>
        <w:rFonts w:ascii="Symbol" w:hAnsi="Symbol"/>
      </w:rPr>
    </w:lvl>
    <w:lvl w:ilvl="3" w:tplc="DCF438D6">
      <w:start w:val="1"/>
      <w:numFmt w:val="bullet"/>
      <w:lvlText w:val=""/>
      <w:lvlJc w:val="left"/>
      <w:pPr>
        <w:ind w:left="720" w:hanging="360"/>
      </w:pPr>
      <w:rPr>
        <w:rFonts w:ascii="Symbol" w:hAnsi="Symbol"/>
      </w:rPr>
    </w:lvl>
    <w:lvl w:ilvl="4" w:tplc="BE8A4F04">
      <w:start w:val="1"/>
      <w:numFmt w:val="bullet"/>
      <w:lvlText w:val=""/>
      <w:lvlJc w:val="left"/>
      <w:pPr>
        <w:ind w:left="720" w:hanging="360"/>
      </w:pPr>
      <w:rPr>
        <w:rFonts w:ascii="Symbol" w:hAnsi="Symbol"/>
      </w:rPr>
    </w:lvl>
    <w:lvl w:ilvl="5" w:tplc="A204DE86">
      <w:start w:val="1"/>
      <w:numFmt w:val="bullet"/>
      <w:lvlText w:val=""/>
      <w:lvlJc w:val="left"/>
      <w:pPr>
        <w:ind w:left="720" w:hanging="360"/>
      </w:pPr>
      <w:rPr>
        <w:rFonts w:ascii="Symbol" w:hAnsi="Symbol"/>
      </w:rPr>
    </w:lvl>
    <w:lvl w:ilvl="6" w:tplc="4442E9D2">
      <w:start w:val="1"/>
      <w:numFmt w:val="bullet"/>
      <w:lvlText w:val=""/>
      <w:lvlJc w:val="left"/>
      <w:pPr>
        <w:ind w:left="720" w:hanging="360"/>
      </w:pPr>
      <w:rPr>
        <w:rFonts w:ascii="Symbol" w:hAnsi="Symbol"/>
      </w:rPr>
    </w:lvl>
    <w:lvl w:ilvl="7" w:tplc="D80836E6">
      <w:start w:val="1"/>
      <w:numFmt w:val="bullet"/>
      <w:lvlText w:val=""/>
      <w:lvlJc w:val="left"/>
      <w:pPr>
        <w:ind w:left="720" w:hanging="360"/>
      </w:pPr>
      <w:rPr>
        <w:rFonts w:ascii="Symbol" w:hAnsi="Symbol"/>
      </w:rPr>
    </w:lvl>
    <w:lvl w:ilvl="8" w:tplc="8D74476A">
      <w:start w:val="1"/>
      <w:numFmt w:val="bullet"/>
      <w:lvlText w:val=""/>
      <w:lvlJc w:val="left"/>
      <w:pPr>
        <w:ind w:left="720" w:hanging="360"/>
      </w:pPr>
      <w:rPr>
        <w:rFonts w:ascii="Symbol" w:hAnsi="Symbol"/>
      </w:rPr>
    </w:lvl>
  </w:abstractNum>
  <w:abstractNum w:abstractNumId="10" w15:restartNumberingAfterBreak="0">
    <w:nsid w:val="3AF2192A"/>
    <w:multiLevelType w:val="multilevel"/>
    <w:tmpl w:val="4F2E0D4E"/>
    <w:styleLink w:val="Style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E336422"/>
    <w:multiLevelType w:val="hybridMultilevel"/>
    <w:tmpl w:val="4F0AC3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F1C5C05"/>
    <w:multiLevelType w:val="hybridMultilevel"/>
    <w:tmpl w:val="CDC453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3F97F24B"/>
    <w:multiLevelType w:val="hybridMultilevel"/>
    <w:tmpl w:val="FFFFFFFF"/>
    <w:lvl w:ilvl="0" w:tplc="C5D650F4">
      <w:start w:val="1"/>
      <w:numFmt w:val="bullet"/>
      <w:lvlText w:val=""/>
      <w:lvlJc w:val="left"/>
      <w:pPr>
        <w:ind w:left="720" w:hanging="360"/>
      </w:pPr>
      <w:rPr>
        <w:rFonts w:ascii="Symbol" w:hAnsi="Symbol" w:hint="default"/>
      </w:rPr>
    </w:lvl>
    <w:lvl w:ilvl="1" w:tplc="31E0DB50">
      <w:start w:val="1"/>
      <w:numFmt w:val="bullet"/>
      <w:lvlText w:val="o"/>
      <w:lvlJc w:val="left"/>
      <w:pPr>
        <w:ind w:left="1440" w:hanging="360"/>
      </w:pPr>
      <w:rPr>
        <w:rFonts w:ascii="Courier New" w:hAnsi="Courier New" w:hint="default"/>
      </w:rPr>
    </w:lvl>
    <w:lvl w:ilvl="2" w:tplc="07E64796">
      <w:start w:val="1"/>
      <w:numFmt w:val="bullet"/>
      <w:lvlText w:val=""/>
      <w:lvlJc w:val="left"/>
      <w:pPr>
        <w:ind w:left="2160" w:hanging="360"/>
      </w:pPr>
      <w:rPr>
        <w:rFonts w:ascii="Wingdings" w:hAnsi="Wingdings" w:hint="default"/>
      </w:rPr>
    </w:lvl>
    <w:lvl w:ilvl="3" w:tplc="9BA46688">
      <w:start w:val="1"/>
      <w:numFmt w:val="bullet"/>
      <w:lvlText w:val=""/>
      <w:lvlJc w:val="left"/>
      <w:pPr>
        <w:ind w:left="2880" w:hanging="360"/>
      </w:pPr>
      <w:rPr>
        <w:rFonts w:ascii="Symbol" w:hAnsi="Symbol" w:hint="default"/>
      </w:rPr>
    </w:lvl>
    <w:lvl w:ilvl="4" w:tplc="EEAAA642">
      <w:start w:val="1"/>
      <w:numFmt w:val="bullet"/>
      <w:lvlText w:val="o"/>
      <w:lvlJc w:val="left"/>
      <w:pPr>
        <w:ind w:left="3600" w:hanging="360"/>
      </w:pPr>
      <w:rPr>
        <w:rFonts w:ascii="Courier New" w:hAnsi="Courier New" w:hint="default"/>
      </w:rPr>
    </w:lvl>
    <w:lvl w:ilvl="5" w:tplc="D1E27444">
      <w:start w:val="1"/>
      <w:numFmt w:val="bullet"/>
      <w:lvlText w:val=""/>
      <w:lvlJc w:val="left"/>
      <w:pPr>
        <w:ind w:left="4320" w:hanging="360"/>
      </w:pPr>
      <w:rPr>
        <w:rFonts w:ascii="Wingdings" w:hAnsi="Wingdings" w:hint="default"/>
      </w:rPr>
    </w:lvl>
    <w:lvl w:ilvl="6" w:tplc="F3E2EE1A">
      <w:start w:val="1"/>
      <w:numFmt w:val="bullet"/>
      <w:lvlText w:val=""/>
      <w:lvlJc w:val="left"/>
      <w:pPr>
        <w:ind w:left="5040" w:hanging="360"/>
      </w:pPr>
      <w:rPr>
        <w:rFonts w:ascii="Symbol" w:hAnsi="Symbol" w:hint="default"/>
      </w:rPr>
    </w:lvl>
    <w:lvl w:ilvl="7" w:tplc="24F056F2">
      <w:start w:val="1"/>
      <w:numFmt w:val="bullet"/>
      <w:lvlText w:val="o"/>
      <w:lvlJc w:val="left"/>
      <w:pPr>
        <w:ind w:left="5760" w:hanging="360"/>
      </w:pPr>
      <w:rPr>
        <w:rFonts w:ascii="Courier New" w:hAnsi="Courier New" w:hint="default"/>
      </w:rPr>
    </w:lvl>
    <w:lvl w:ilvl="8" w:tplc="DE3C6386">
      <w:start w:val="1"/>
      <w:numFmt w:val="bullet"/>
      <w:lvlText w:val=""/>
      <w:lvlJc w:val="left"/>
      <w:pPr>
        <w:ind w:left="6480" w:hanging="360"/>
      </w:pPr>
      <w:rPr>
        <w:rFonts w:ascii="Wingdings" w:hAnsi="Wingdings" w:hint="default"/>
      </w:rPr>
    </w:lvl>
  </w:abstractNum>
  <w:abstractNum w:abstractNumId="14" w15:restartNumberingAfterBreak="0">
    <w:nsid w:val="40680D31"/>
    <w:multiLevelType w:val="hybridMultilevel"/>
    <w:tmpl w:val="08A8832A"/>
    <w:lvl w:ilvl="0" w:tplc="AE5A5B0A">
      <w:start w:val="1"/>
      <w:numFmt w:val="lowerRoman"/>
      <w:lvlText w:val="%1)"/>
      <w:lvlJc w:val="left"/>
      <w:pPr>
        <w:ind w:left="720" w:hanging="72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5" w15:restartNumberingAfterBreak="0">
    <w:nsid w:val="45C66E00"/>
    <w:multiLevelType w:val="hybridMultilevel"/>
    <w:tmpl w:val="78F842D8"/>
    <w:lvl w:ilvl="0" w:tplc="1809001B">
      <w:start w:val="1"/>
      <w:numFmt w:val="lowerRoman"/>
      <w:lvlText w:val="%1."/>
      <w:lvlJc w:val="righ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48B4553A"/>
    <w:multiLevelType w:val="multilevel"/>
    <w:tmpl w:val="0FDAA540"/>
    <w:styleLink w:val="Style2"/>
    <w:lvl w:ilvl="0">
      <w:start w:val="1"/>
      <w:numFmt w:val="decimal"/>
      <w:lvlText w:val="%1"/>
      <w:lvlJc w:val="left"/>
      <w:pPr>
        <w:ind w:left="574" w:hanging="432"/>
      </w:pPr>
    </w:lvl>
    <w:lvl w:ilvl="1">
      <w:start w:val="1"/>
      <w:numFmt w:val="decimal"/>
      <w:lvlText w:val="%1.%2"/>
      <w:lvlJc w:val="left"/>
      <w:pPr>
        <w:ind w:left="576" w:hanging="576"/>
      </w:pPr>
    </w:lvl>
    <w:lvl w:ilvl="2">
      <w:start w:val="1"/>
      <w:numFmt w:val="decimal"/>
      <w:lvlText w:val="%1.%2.%3"/>
      <w:lvlJc w:val="left"/>
      <w:pPr>
        <w:ind w:left="862" w:hanging="720"/>
      </w:pPr>
      <w:rPr>
        <w:b/>
        <w:bCs/>
        <w:sz w:val="24"/>
        <w:szCs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E0D760C"/>
    <w:multiLevelType w:val="hybridMultilevel"/>
    <w:tmpl w:val="F9806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5F4D31"/>
    <w:multiLevelType w:val="hybridMultilevel"/>
    <w:tmpl w:val="6BA4E438"/>
    <w:lvl w:ilvl="0" w:tplc="97F4DC8C">
      <w:start w:val="1"/>
      <w:numFmt w:val="decimal"/>
      <w:pStyle w:val="Heading5"/>
      <w:lvlText w:val="Annex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0A130D4"/>
    <w:multiLevelType w:val="hybridMultilevel"/>
    <w:tmpl w:val="D248D2D0"/>
    <w:lvl w:ilvl="0" w:tplc="EEF01A60">
      <w:start w:val="1"/>
      <w:numFmt w:val="bullet"/>
      <w:lvlText w:val=""/>
      <w:lvlJc w:val="left"/>
      <w:pPr>
        <w:ind w:left="2160" w:hanging="360"/>
      </w:pPr>
      <w:rPr>
        <w:rFonts w:ascii="Symbol" w:hAnsi="Symbol"/>
      </w:rPr>
    </w:lvl>
    <w:lvl w:ilvl="1" w:tplc="3BF0EC0E">
      <w:start w:val="1"/>
      <w:numFmt w:val="bullet"/>
      <w:lvlText w:val=""/>
      <w:lvlJc w:val="left"/>
      <w:pPr>
        <w:ind w:left="2160" w:hanging="360"/>
      </w:pPr>
      <w:rPr>
        <w:rFonts w:ascii="Symbol" w:hAnsi="Symbol"/>
      </w:rPr>
    </w:lvl>
    <w:lvl w:ilvl="2" w:tplc="5858B1AE">
      <w:start w:val="1"/>
      <w:numFmt w:val="bullet"/>
      <w:lvlText w:val=""/>
      <w:lvlJc w:val="left"/>
      <w:pPr>
        <w:ind w:left="2160" w:hanging="360"/>
      </w:pPr>
      <w:rPr>
        <w:rFonts w:ascii="Symbol" w:hAnsi="Symbol"/>
      </w:rPr>
    </w:lvl>
    <w:lvl w:ilvl="3" w:tplc="0D6AFE3A">
      <w:start w:val="1"/>
      <w:numFmt w:val="bullet"/>
      <w:lvlText w:val=""/>
      <w:lvlJc w:val="left"/>
      <w:pPr>
        <w:ind w:left="2160" w:hanging="360"/>
      </w:pPr>
      <w:rPr>
        <w:rFonts w:ascii="Symbol" w:hAnsi="Symbol"/>
      </w:rPr>
    </w:lvl>
    <w:lvl w:ilvl="4" w:tplc="AE78DE36">
      <w:start w:val="1"/>
      <w:numFmt w:val="bullet"/>
      <w:lvlText w:val=""/>
      <w:lvlJc w:val="left"/>
      <w:pPr>
        <w:ind w:left="2160" w:hanging="360"/>
      </w:pPr>
      <w:rPr>
        <w:rFonts w:ascii="Symbol" w:hAnsi="Symbol"/>
      </w:rPr>
    </w:lvl>
    <w:lvl w:ilvl="5" w:tplc="5B46E3DA">
      <w:start w:val="1"/>
      <w:numFmt w:val="bullet"/>
      <w:lvlText w:val=""/>
      <w:lvlJc w:val="left"/>
      <w:pPr>
        <w:ind w:left="2160" w:hanging="360"/>
      </w:pPr>
      <w:rPr>
        <w:rFonts w:ascii="Symbol" w:hAnsi="Symbol"/>
      </w:rPr>
    </w:lvl>
    <w:lvl w:ilvl="6" w:tplc="9EF21226">
      <w:start w:val="1"/>
      <w:numFmt w:val="bullet"/>
      <w:lvlText w:val=""/>
      <w:lvlJc w:val="left"/>
      <w:pPr>
        <w:ind w:left="2160" w:hanging="360"/>
      </w:pPr>
      <w:rPr>
        <w:rFonts w:ascii="Symbol" w:hAnsi="Symbol"/>
      </w:rPr>
    </w:lvl>
    <w:lvl w:ilvl="7" w:tplc="B9A2EE5A">
      <w:start w:val="1"/>
      <w:numFmt w:val="bullet"/>
      <w:lvlText w:val=""/>
      <w:lvlJc w:val="left"/>
      <w:pPr>
        <w:ind w:left="2160" w:hanging="360"/>
      </w:pPr>
      <w:rPr>
        <w:rFonts w:ascii="Symbol" w:hAnsi="Symbol"/>
      </w:rPr>
    </w:lvl>
    <w:lvl w:ilvl="8" w:tplc="76BEFB8E">
      <w:start w:val="1"/>
      <w:numFmt w:val="bullet"/>
      <w:lvlText w:val=""/>
      <w:lvlJc w:val="left"/>
      <w:pPr>
        <w:ind w:left="2160" w:hanging="360"/>
      </w:pPr>
      <w:rPr>
        <w:rFonts w:ascii="Symbol" w:hAnsi="Symbol"/>
      </w:rPr>
    </w:lvl>
  </w:abstractNum>
  <w:abstractNum w:abstractNumId="20" w15:restartNumberingAfterBreak="0">
    <w:nsid w:val="739D2FB7"/>
    <w:multiLevelType w:val="hybridMultilevel"/>
    <w:tmpl w:val="6FB01E9C"/>
    <w:lvl w:ilvl="0" w:tplc="F45E7C9C">
      <w:start w:val="1"/>
      <w:numFmt w:val="decimal"/>
      <w:pStyle w:val="Heading6"/>
      <w:lvlText w:val="A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6051F8"/>
    <w:multiLevelType w:val="hybridMultilevel"/>
    <w:tmpl w:val="1C6A7F04"/>
    <w:lvl w:ilvl="0" w:tplc="0C0A0001">
      <w:numFmt w:val="bullet"/>
      <w:pStyle w:val="ListParagraph"/>
      <w:lvlText w:val="•"/>
      <w:lvlJc w:val="left"/>
      <w:pPr>
        <w:ind w:left="1065" w:hanging="705"/>
      </w:pPr>
      <w:rPr>
        <w:rFonts w:ascii="Open Sans" w:eastAsia="ヒラギノ角ゴ Pro W3" w:hAnsi="Open Sans" w:cs="Open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82833435">
    <w:abstractNumId w:val="13"/>
  </w:num>
  <w:num w:numId="2" w16cid:durableId="1271545101">
    <w:abstractNumId w:val="21"/>
  </w:num>
  <w:num w:numId="3" w16cid:durableId="865867843">
    <w:abstractNumId w:val="10"/>
  </w:num>
  <w:num w:numId="4" w16cid:durableId="183128561">
    <w:abstractNumId w:val="16"/>
  </w:num>
  <w:num w:numId="5" w16cid:durableId="1729111129">
    <w:abstractNumId w:val="7"/>
  </w:num>
  <w:num w:numId="6" w16cid:durableId="300883918">
    <w:abstractNumId w:val="18"/>
  </w:num>
  <w:num w:numId="7" w16cid:durableId="1528375613">
    <w:abstractNumId w:val="20"/>
  </w:num>
  <w:num w:numId="8" w16cid:durableId="1105275137">
    <w:abstractNumId w:val="1"/>
  </w:num>
  <w:num w:numId="9" w16cid:durableId="1431009248">
    <w:abstractNumId w:val="6"/>
  </w:num>
  <w:num w:numId="10" w16cid:durableId="1707683289">
    <w:abstractNumId w:val="5"/>
  </w:num>
  <w:num w:numId="11" w16cid:durableId="1695426813">
    <w:abstractNumId w:val="8"/>
  </w:num>
  <w:num w:numId="12" w16cid:durableId="1483889675">
    <w:abstractNumId w:val="3"/>
  </w:num>
  <w:num w:numId="13" w16cid:durableId="728383263">
    <w:abstractNumId w:val="11"/>
  </w:num>
  <w:num w:numId="14" w16cid:durableId="22370862">
    <w:abstractNumId w:val="0"/>
  </w:num>
  <w:num w:numId="15" w16cid:durableId="1606572503">
    <w:abstractNumId w:val="19"/>
  </w:num>
  <w:num w:numId="16" w16cid:durableId="1824619898">
    <w:abstractNumId w:val="9"/>
  </w:num>
  <w:num w:numId="17" w16cid:durableId="254828855">
    <w:abstractNumId w:val="17"/>
  </w:num>
  <w:num w:numId="18" w16cid:durableId="971902426">
    <w:abstractNumId w:val="4"/>
  </w:num>
  <w:num w:numId="19" w16cid:durableId="215288939">
    <w:abstractNumId w:val="12"/>
  </w:num>
  <w:num w:numId="20" w16cid:durableId="1044598684">
    <w:abstractNumId w:val="14"/>
  </w:num>
  <w:num w:numId="21" w16cid:durableId="1764303872">
    <w:abstractNumId w:val="15"/>
  </w:num>
  <w:num w:numId="22" w16cid:durableId="417020069">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cumentProtection w:edit="comments" w:enforcement="1" w:cryptProviderType="rsaAES" w:cryptAlgorithmClass="hash" w:cryptAlgorithmType="typeAny" w:cryptAlgorithmSid="14" w:cryptSpinCount="100000" w:hash="r9URRwzN+706EBgy8cLMFNHv1geEeXOYIVAZdcxFhZvsy42nbhtiJvPLF6pGVA/clKjn5XJEpLz9PC50zVXd1Q==" w:salt="EEVZ6I+u8TWOtUvEVxMv9Q=="/>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0MTM0tTQ3NDM2MzRT0lEKTi0uzszPAykwMqkFACSzs/QtAAAA"/>
  </w:docVars>
  <w:rsids>
    <w:rsidRoot w:val="007225D8"/>
    <w:rsid w:val="000000F4"/>
    <w:rsid w:val="00000173"/>
    <w:rsid w:val="0000018C"/>
    <w:rsid w:val="0000045C"/>
    <w:rsid w:val="00000488"/>
    <w:rsid w:val="000004A3"/>
    <w:rsid w:val="00000893"/>
    <w:rsid w:val="00000979"/>
    <w:rsid w:val="000009BB"/>
    <w:rsid w:val="00000A26"/>
    <w:rsid w:val="00000B8F"/>
    <w:rsid w:val="00000BCC"/>
    <w:rsid w:val="00000CD2"/>
    <w:rsid w:val="00000E45"/>
    <w:rsid w:val="00000E5B"/>
    <w:rsid w:val="00001112"/>
    <w:rsid w:val="0000137B"/>
    <w:rsid w:val="00001465"/>
    <w:rsid w:val="000015D5"/>
    <w:rsid w:val="00001835"/>
    <w:rsid w:val="000019EF"/>
    <w:rsid w:val="00001B2D"/>
    <w:rsid w:val="00001E9A"/>
    <w:rsid w:val="00001FEF"/>
    <w:rsid w:val="0000200B"/>
    <w:rsid w:val="00002033"/>
    <w:rsid w:val="000020EC"/>
    <w:rsid w:val="00002390"/>
    <w:rsid w:val="000025B0"/>
    <w:rsid w:val="000026A3"/>
    <w:rsid w:val="0000274B"/>
    <w:rsid w:val="0000293A"/>
    <w:rsid w:val="00002E15"/>
    <w:rsid w:val="00002EDD"/>
    <w:rsid w:val="00003062"/>
    <w:rsid w:val="000030F3"/>
    <w:rsid w:val="00003381"/>
    <w:rsid w:val="000034AF"/>
    <w:rsid w:val="000036A4"/>
    <w:rsid w:val="00003993"/>
    <w:rsid w:val="00003A08"/>
    <w:rsid w:val="00003A69"/>
    <w:rsid w:val="00003B10"/>
    <w:rsid w:val="00003B67"/>
    <w:rsid w:val="00003D6C"/>
    <w:rsid w:val="00003F46"/>
    <w:rsid w:val="000040A3"/>
    <w:rsid w:val="000040C2"/>
    <w:rsid w:val="0000421A"/>
    <w:rsid w:val="00004331"/>
    <w:rsid w:val="00004422"/>
    <w:rsid w:val="00004494"/>
    <w:rsid w:val="000044DD"/>
    <w:rsid w:val="000044F6"/>
    <w:rsid w:val="00004751"/>
    <w:rsid w:val="00004792"/>
    <w:rsid w:val="00004933"/>
    <w:rsid w:val="000049D0"/>
    <w:rsid w:val="000049DC"/>
    <w:rsid w:val="00004BF2"/>
    <w:rsid w:val="00004D0F"/>
    <w:rsid w:val="00004D6E"/>
    <w:rsid w:val="00005224"/>
    <w:rsid w:val="0000527F"/>
    <w:rsid w:val="0000535A"/>
    <w:rsid w:val="00005362"/>
    <w:rsid w:val="0000552A"/>
    <w:rsid w:val="00005549"/>
    <w:rsid w:val="00005558"/>
    <w:rsid w:val="000055E9"/>
    <w:rsid w:val="00005764"/>
    <w:rsid w:val="00005922"/>
    <w:rsid w:val="000059B8"/>
    <w:rsid w:val="000059BE"/>
    <w:rsid w:val="00005A89"/>
    <w:rsid w:val="00005AF6"/>
    <w:rsid w:val="00005E28"/>
    <w:rsid w:val="00005FFB"/>
    <w:rsid w:val="00006190"/>
    <w:rsid w:val="00006228"/>
    <w:rsid w:val="00006451"/>
    <w:rsid w:val="000067C2"/>
    <w:rsid w:val="00006843"/>
    <w:rsid w:val="000068C9"/>
    <w:rsid w:val="000068EB"/>
    <w:rsid w:val="00006985"/>
    <w:rsid w:val="00006A29"/>
    <w:rsid w:val="00006A46"/>
    <w:rsid w:val="00006BA9"/>
    <w:rsid w:val="00006BD9"/>
    <w:rsid w:val="00006C70"/>
    <w:rsid w:val="00006C71"/>
    <w:rsid w:val="00006C82"/>
    <w:rsid w:val="00006E51"/>
    <w:rsid w:val="00006E5B"/>
    <w:rsid w:val="00006F54"/>
    <w:rsid w:val="00006F78"/>
    <w:rsid w:val="000070A8"/>
    <w:rsid w:val="00007360"/>
    <w:rsid w:val="0000795A"/>
    <w:rsid w:val="00007AA5"/>
    <w:rsid w:val="00007B0F"/>
    <w:rsid w:val="00007B4E"/>
    <w:rsid w:val="00007C7B"/>
    <w:rsid w:val="00007EBB"/>
    <w:rsid w:val="00010179"/>
    <w:rsid w:val="000102E6"/>
    <w:rsid w:val="00010419"/>
    <w:rsid w:val="00010485"/>
    <w:rsid w:val="0001055E"/>
    <w:rsid w:val="000105AC"/>
    <w:rsid w:val="000106BB"/>
    <w:rsid w:val="00010748"/>
    <w:rsid w:val="0001080F"/>
    <w:rsid w:val="00010B0A"/>
    <w:rsid w:val="00010B2D"/>
    <w:rsid w:val="00010CA3"/>
    <w:rsid w:val="00010CE2"/>
    <w:rsid w:val="00010CE5"/>
    <w:rsid w:val="00010E18"/>
    <w:rsid w:val="00010F6B"/>
    <w:rsid w:val="0001100D"/>
    <w:rsid w:val="0001104B"/>
    <w:rsid w:val="0001106A"/>
    <w:rsid w:val="00011212"/>
    <w:rsid w:val="0001122F"/>
    <w:rsid w:val="000112FD"/>
    <w:rsid w:val="00011304"/>
    <w:rsid w:val="00011588"/>
    <w:rsid w:val="0001166C"/>
    <w:rsid w:val="00011681"/>
    <w:rsid w:val="00011957"/>
    <w:rsid w:val="00011A21"/>
    <w:rsid w:val="00011A82"/>
    <w:rsid w:val="00011BE8"/>
    <w:rsid w:val="00011D25"/>
    <w:rsid w:val="00011DE9"/>
    <w:rsid w:val="00011F41"/>
    <w:rsid w:val="00012102"/>
    <w:rsid w:val="00012159"/>
    <w:rsid w:val="0001220B"/>
    <w:rsid w:val="00012279"/>
    <w:rsid w:val="0001231C"/>
    <w:rsid w:val="00012378"/>
    <w:rsid w:val="00012490"/>
    <w:rsid w:val="000124AA"/>
    <w:rsid w:val="0001262D"/>
    <w:rsid w:val="0001266C"/>
    <w:rsid w:val="00012A38"/>
    <w:rsid w:val="00012EB5"/>
    <w:rsid w:val="000131A2"/>
    <w:rsid w:val="000135C6"/>
    <w:rsid w:val="0001365F"/>
    <w:rsid w:val="00013746"/>
    <w:rsid w:val="0001382B"/>
    <w:rsid w:val="0001390E"/>
    <w:rsid w:val="00013949"/>
    <w:rsid w:val="000139B5"/>
    <w:rsid w:val="00013A8A"/>
    <w:rsid w:val="00013AB4"/>
    <w:rsid w:val="00013B80"/>
    <w:rsid w:val="00013B86"/>
    <w:rsid w:val="00013E1A"/>
    <w:rsid w:val="00013F6E"/>
    <w:rsid w:val="00014236"/>
    <w:rsid w:val="0001434F"/>
    <w:rsid w:val="0001446C"/>
    <w:rsid w:val="0001468C"/>
    <w:rsid w:val="00014804"/>
    <w:rsid w:val="00014872"/>
    <w:rsid w:val="000148C9"/>
    <w:rsid w:val="0001499A"/>
    <w:rsid w:val="00014B5C"/>
    <w:rsid w:val="00014C84"/>
    <w:rsid w:val="00014DE8"/>
    <w:rsid w:val="00014E72"/>
    <w:rsid w:val="00014ECA"/>
    <w:rsid w:val="00014F74"/>
    <w:rsid w:val="00014FDE"/>
    <w:rsid w:val="000150E2"/>
    <w:rsid w:val="00015117"/>
    <w:rsid w:val="000152BB"/>
    <w:rsid w:val="00015376"/>
    <w:rsid w:val="00015514"/>
    <w:rsid w:val="0001567F"/>
    <w:rsid w:val="000157B0"/>
    <w:rsid w:val="000159D7"/>
    <w:rsid w:val="00015E84"/>
    <w:rsid w:val="00015EEF"/>
    <w:rsid w:val="00015F22"/>
    <w:rsid w:val="00015F57"/>
    <w:rsid w:val="00016084"/>
    <w:rsid w:val="0001609C"/>
    <w:rsid w:val="00016374"/>
    <w:rsid w:val="000165B3"/>
    <w:rsid w:val="000165DE"/>
    <w:rsid w:val="00016639"/>
    <w:rsid w:val="00016C83"/>
    <w:rsid w:val="00016C97"/>
    <w:rsid w:val="00016D0C"/>
    <w:rsid w:val="00016D59"/>
    <w:rsid w:val="000172D9"/>
    <w:rsid w:val="000175B3"/>
    <w:rsid w:val="00017838"/>
    <w:rsid w:val="00017D8E"/>
    <w:rsid w:val="00017DAB"/>
    <w:rsid w:val="00017E9A"/>
    <w:rsid w:val="00017ED2"/>
    <w:rsid w:val="00017F2A"/>
    <w:rsid w:val="000200AF"/>
    <w:rsid w:val="00020141"/>
    <w:rsid w:val="0002017B"/>
    <w:rsid w:val="00020204"/>
    <w:rsid w:val="0002046E"/>
    <w:rsid w:val="000204AD"/>
    <w:rsid w:val="0002055E"/>
    <w:rsid w:val="0002070F"/>
    <w:rsid w:val="0002074A"/>
    <w:rsid w:val="00020763"/>
    <w:rsid w:val="00020781"/>
    <w:rsid w:val="0002096A"/>
    <w:rsid w:val="00020EC8"/>
    <w:rsid w:val="00020F48"/>
    <w:rsid w:val="00020F71"/>
    <w:rsid w:val="00021034"/>
    <w:rsid w:val="0002109C"/>
    <w:rsid w:val="00021296"/>
    <w:rsid w:val="000212A1"/>
    <w:rsid w:val="000212F2"/>
    <w:rsid w:val="000213BC"/>
    <w:rsid w:val="000213F9"/>
    <w:rsid w:val="00021410"/>
    <w:rsid w:val="00021455"/>
    <w:rsid w:val="000214FC"/>
    <w:rsid w:val="000215AF"/>
    <w:rsid w:val="000218A9"/>
    <w:rsid w:val="000218B6"/>
    <w:rsid w:val="000219FF"/>
    <w:rsid w:val="00021BF2"/>
    <w:rsid w:val="00021CFD"/>
    <w:rsid w:val="00021D15"/>
    <w:rsid w:val="00021D58"/>
    <w:rsid w:val="00021DF4"/>
    <w:rsid w:val="00021EBC"/>
    <w:rsid w:val="00021EE4"/>
    <w:rsid w:val="000220EB"/>
    <w:rsid w:val="00022111"/>
    <w:rsid w:val="0002226D"/>
    <w:rsid w:val="000222E3"/>
    <w:rsid w:val="00022434"/>
    <w:rsid w:val="0002257D"/>
    <w:rsid w:val="000226E9"/>
    <w:rsid w:val="00022727"/>
    <w:rsid w:val="00022832"/>
    <w:rsid w:val="00022A88"/>
    <w:rsid w:val="00022ADF"/>
    <w:rsid w:val="00022CF5"/>
    <w:rsid w:val="00022E73"/>
    <w:rsid w:val="00022F13"/>
    <w:rsid w:val="00022FAD"/>
    <w:rsid w:val="00022FCC"/>
    <w:rsid w:val="000230BB"/>
    <w:rsid w:val="00023206"/>
    <w:rsid w:val="000233C8"/>
    <w:rsid w:val="000233E2"/>
    <w:rsid w:val="0002354F"/>
    <w:rsid w:val="000235DB"/>
    <w:rsid w:val="000235E1"/>
    <w:rsid w:val="00023761"/>
    <w:rsid w:val="000237C2"/>
    <w:rsid w:val="0002391D"/>
    <w:rsid w:val="00023942"/>
    <w:rsid w:val="00023BE8"/>
    <w:rsid w:val="00023CA1"/>
    <w:rsid w:val="00023D03"/>
    <w:rsid w:val="00023D9D"/>
    <w:rsid w:val="00023E2D"/>
    <w:rsid w:val="00023E7D"/>
    <w:rsid w:val="00023F9D"/>
    <w:rsid w:val="00024245"/>
    <w:rsid w:val="00024547"/>
    <w:rsid w:val="0002465E"/>
    <w:rsid w:val="000246D0"/>
    <w:rsid w:val="0002471B"/>
    <w:rsid w:val="00024898"/>
    <w:rsid w:val="000248F9"/>
    <w:rsid w:val="00024C5C"/>
    <w:rsid w:val="00025611"/>
    <w:rsid w:val="00025684"/>
    <w:rsid w:val="00025739"/>
    <w:rsid w:val="00025C5F"/>
    <w:rsid w:val="00025DB6"/>
    <w:rsid w:val="00025E6A"/>
    <w:rsid w:val="00026107"/>
    <w:rsid w:val="00026148"/>
    <w:rsid w:val="000261E9"/>
    <w:rsid w:val="000262F4"/>
    <w:rsid w:val="000263EC"/>
    <w:rsid w:val="00026992"/>
    <w:rsid w:val="00026C39"/>
    <w:rsid w:val="00026D9D"/>
    <w:rsid w:val="00026E7B"/>
    <w:rsid w:val="000273A6"/>
    <w:rsid w:val="00027405"/>
    <w:rsid w:val="00027685"/>
    <w:rsid w:val="00027699"/>
    <w:rsid w:val="0002790C"/>
    <w:rsid w:val="00027A5F"/>
    <w:rsid w:val="00027C0C"/>
    <w:rsid w:val="00027CD0"/>
    <w:rsid w:val="00027D69"/>
    <w:rsid w:val="00027D94"/>
    <w:rsid w:val="00027E41"/>
    <w:rsid w:val="00027E4B"/>
    <w:rsid w:val="00027F76"/>
    <w:rsid w:val="00030098"/>
    <w:rsid w:val="00030108"/>
    <w:rsid w:val="000301AA"/>
    <w:rsid w:val="00030200"/>
    <w:rsid w:val="00030577"/>
    <w:rsid w:val="0003057E"/>
    <w:rsid w:val="0003058D"/>
    <w:rsid w:val="000307F4"/>
    <w:rsid w:val="00030814"/>
    <w:rsid w:val="000308E7"/>
    <w:rsid w:val="00030A9B"/>
    <w:rsid w:val="00030AE7"/>
    <w:rsid w:val="00030E0E"/>
    <w:rsid w:val="00030E23"/>
    <w:rsid w:val="00030F4A"/>
    <w:rsid w:val="00030F7D"/>
    <w:rsid w:val="00031019"/>
    <w:rsid w:val="00031197"/>
    <w:rsid w:val="000311CC"/>
    <w:rsid w:val="000313F5"/>
    <w:rsid w:val="0003161D"/>
    <w:rsid w:val="00031910"/>
    <w:rsid w:val="0003191C"/>
    <w:rsid w:val="000319A6"/>
    <w:rsid w:val="00031AF6"/>
    <w:rsid w:val="00031CA3"/>
    <w:rsid w:val="00031F7F"/>
    <w:rsid w:val="0003205B"/>
    <w:rsid w:val="00032116"/>
    <w:rsid w:val="0003211A"/>
    <w:rsid w:val="0003211F"/>
    <w:rsid w:val="0003219C"/>
    <w:rsid w:val="0003223A"/>
    <w:rsid w:val="000322E2"/>
    <w:rsid w:val="0003248B"/>
    <w:rsid w:val="00032880"/>
    <w:rsid w:val="00032CE2"/>
    <w:rsid w:val="00032D16"/>
    <w:rsid w:val="00032D73"/>
    <w:rsid w:val="00032DFC"/>
    <w:rsid w:val="00032EA9"/>
    <w:rsid w:val="00032EAB"/>
    <w:rsid w:val="00032EF7"/>
    <w:rsid w:val="0003300D"/>
    <w:rsid w:val="000332FC"/>
    <w:rsid w:val="00033312"/>
    <w:rsid w:val="0003331F"/>
    <w:rsid w:val="000335F2"/>
    <w:rsid w:val="0003363A"/>
    <w:rsid w:val="00033800"/>
    <w:rsid w:val="00033815"/>
    <w:rsid w:val="00033B60"/>
    <w:rsid w:val="00033CDD"/>
    <w:rsid w:val="00033CE3"/>
    <w:rsid w:val="00033DD1"/>
    <w:rsid w:val="00033F3F"/>
    <w:rsid w:val="0003401F"/>
    <w:rsid w:val="00034022"/>
    <w:rsid w:val="000340B4"/>
    <w:rsid w:val="000340F2"/>
    <w:rsid w:val="000344B0"/>
    <w:rsid w:val="00034711"/>
    <w:rsid w:val="000348B0"/>
    <w:rsid w:val="00034BBA"/>
    <w:rsid w:val="00034C76"/>
    <w:rsid w:val="00034E16"/>
    <w:rsid w:val="00034E3E"/>
    <w:rsid w:val="00034EC8"/>
    <w:rsid w:val="000353F5"/>
    <w:rsid w:val="00035468"/>
    <w:rsid w:val="000354B9"/>
    <w:rsid w:val="0003579E"/>
    <w:rsid w:val="00035879"/>
    <w:rsid w:val="00035881"/>
    <w:rsid w:val="00035B83"/>
    <w:rsid w:val="00035C4E"/>
    <w:rsid w:val="00036128"/>
    <w:rsid w:val="00036139"/>
    <w:rsid w:val="0003618E"/>
    <w:rsid w:val="000362A8"/>
    <w:rsid w:val="000362B6"/>
    <w:rsid w:val="000363C3"/>
    <w:rsid w:val="0003659B"/>
    <w:rsid w:val="0003666B"/>
    <w:rsid w:val="000366F6"/>
    <w:rsid w:val="00036973"/>
    <w:rsid w:val="00036C60"/>
    <w:rsid w:val="00036DB5"/>
    <w:rsid w:val="00036E60"/>
    <w:rsid w:val="00036E62"/>
    <w:rsid w:val="00036F5C"/>
    <w:rsid w:val="00037092"/>
    <w:rsid w:val="00037100"/>
    <w:rsid w:val="00037282"/>
    <w:rsid w:val="000373DE"/>
    <w:rsid w:val="000379B8"/>
    <w:rsid w:val="000379E0"/>
    <w:rsid w:val="00037A24"/>
    <w:rsid w:val="00037B93"/>
    <w:rsid w:val="00037BA2"/>
    <w:rsid w:val="00037BDD"/>
    <w:rsid w:val="00037CE0"/>
    <w:rsid w:val="00037D4A"/>
    <w:rsid w:val="00037D6A"/>
    <w:rsid w:val="00037D9F"/>
    <w:rsid w:val="00037E36"/>
    <w:rsid w:val="00037EA4"/>
    <w:rsid w:val="00040335"/>
    <w:rsid w:val="000403DF"/>
    <w:rsid w:val="00040829"/>
    <w:rsid w:val="00040A80"/>
    <w:rsid w:val="00040D05"/>
    <w:rsid w:val="00040D40"/>
    <w:rsid w:val="00040D9B"/>
    <w:rsid w:val="00040F28"/>
    <w:rsid w:val="00040F34"/>
    <w:rsid w:val="00040F4F"/>
    <w:rsid w:val="00040FC1"/>
    <w:rsid w:val="00041179"/>
    <w:rsid w:val="000411DD"/>
    <w:rsid w:val="0004131E"/>
    <w:rsid w:val="00041355"/>
    <w:rsid w:val="0004136F"/>
    <w:rsid w:val="0004168C"/>
    <w:rsid w:val="000418A5"/>
    <w:rsid w:val="00041A4E"/>
    <w:rsid w:val="00041A7E"/>
    <w:rsid w:val="00041B3A"/>
    <w:rsid w:val="00041B98"/>
    <w:rsid w:val="00041F1D"/>
    <w:rsid w:val="00041F87"/>
    <w:rsid w:val="00041F8A"/>
    <w:rsid w:val="00041FAC"/>
    <w:rsid w:val="00042044"/>
    <w:rsid w:val="00042060"/>
    <w:rsid w:val="00042219"/>
    <w:rsid w:val="000425AA"/>
    <w:rsid w:val="000426EF"/>
    <w:rsid w:val="0004287B"/>
    <w:rsid w:val="000428AB"/>
    <w:rsid w:val="000429E8"/>
    <w:rsid w:val="00042A1C"/>
    <w:rsid w:val="00042B12"/>
    <w:rsid w:val="00042BA2"/>
    <w:rsid w:val="00042C8A"/>
    <w:rsid w:val="00042CB1"/>
    <w:rsid w:val="00042D63"/>
    <w:rsid w:val="00042E7F"/>
    <w:rsid w:val="00042ED1"/>
    <w:rsid w:val="00042FEA"/>
    <w:rsid w:val="00042FF3"/>
    <w:rsid w:val="0004314D"/>
    <w:rsid w:val="00043247"/>
    <w:rsid w:val="000435D0"/>
    <w:rsid w:val="000435F3"/>
    <w:rsid w:val="0004376E"/>
    <w:rsid w:val="0004380A"/>
    <w:rsid w:val="00043E40"/>
    <w:rsid w:val="00043FBD"/>
    <w:rsid w:val="0004450C"/>
    <w:rsid w:val="00044570"/>
    <w:rsid w:val="0004464E"/>
    <w:rsid w:val="00044C97"/>
    <w:rsid w:val="00044CCB"/>
    <w:rsid w:val="00044DAF"/>
    <w:rsid w:val="00044ECF"/>
    <w:rsid w:val="00044FF6"/>
    <w:rsid w:val="000451F6"/>
    <w:rsid w:val="00045203"/>
    <w:rsid w:val="000454DF"/>
    <w:rsid w:val="00045507"/>
    <w:rsid w:val="00045510"/>
    <w:rsid w:val="00045522"/>
    <w:rsid w:val="000457AD"/>
    <w:rsid w:val="00045A42"/>
    <w:rsid w:val="00045AAA"/>
    <w:rsid w:val="00045B7A"/>
    <w:rsid w:val="0004603B"/>
    <w:rsid w:val="00046312"/>
    <w:rsid w:val="0004642A"/>
    <w:rsid w:val="00046466"/>
    <w:rsid w:val="00046547"/>
    <w:rsid w:val="0004659E"/>
    <w:rsid w:val="0004687A"/>
    <w:rsid w:val="000468A8"/>
    <w:rsid w:val="00046A4D"/>
    <w:rsid w:val="00046A71"/>
    <w:rsid w:val="00046B2A"/>
    <w:rsid w:val="00046C6D"/>
    <w:rsid w:val="00046EFD"/>
    <w:rsid w:val="00047106"/>
    <w:rsid w:val="0004714E"/>
    <w:rsid w:val="000473B5"/>
    <w:rsid w:val="0004754E"/>
    <w:rsid w:val="000476E4"/>
    <w:rsid w:val="00047709"/>
    <w:rsid w:val="0004793A"/>
    <w:rsid w:val="00047A95"/>
    <w:rsid w:val="00047A9C"/>
    <w:rsid w:val="00047B13"/>
    <w:rsid w:val="00047BBD"/>
    <w:rsid w:val="00047C66"/>
    <w:rsid w:val="00047CF3"/>
    <w:rsid w:val="00047D27"/>
    <w:rsid w:val="00047E70"/>
    <w:rsid w:val="00047F5A"/>
    <w:rsid w:val="00047FF7"/>
    <w:rsid w:val="0004D19C"/>
    <w:rsid w:val="00050146"/>
    <w:rsid w:val="000501B1"/>
    <w:rsid w:val="00050229"/>
    <w:rsid w:val="00050339"/>
    <w:rsid w:val="00050493"/>
    <w:rsid w:val="0005088C"/>
    <w:rsid w:val="000509B5"/>
    <w:rsid w:val="00050A19"/>
    <w:rsid w:val="00050AC1"/>
    <w:rsid w:val="00050BA8"/>
    <w:rsid w:val="00050CF9"/>
    <w:rsid w:val="00050D44"/>
    <w:rsid w:val="00050DA3"/>
    <w:rsid w:val="00050DFB"/>
    <w:rsid w:val="00050E94"/>
    <w:rsid w:val="000511A0"/>
    <w:rsid w:val="000511C0"/>
    <w:rsid w:val="000512C0"/>
    <w:rsid w:val="0005130C"/>
    <w:rsid w:val="00051348"/>
    <w:rsid w:val="00051450"/>
    <w:rsid w:val="000514B7"/>
    <w:rsid w:val="000516A3"/>
    <w:rsid w:val="000519E3"/>
    <w:rsid w:val="00051AFC"/>
    <w:rsid w:val="00051CD3"/>
    <w:rsid w:val="00051CDB"/>
    <w:rsid w:val="00051CEA"/>
    <w:rsid w:val="00051DE9"/>
    <w:rsid w:val="00052128"/>
    <w:rsid w:val="00052153"/>
    <w:rsid w:val="0005224B"/>
    <w:rsid w:val="0005231A"/>
    <w:rsid w:val="0005256E"/>
    <w:rsid w:val="000525D4"/>
    <w:rsid w:val="000526C4"/>
    <w:rsid w:val="000526E2"/>
    <w:rsid w:val="0005287D"/>
    <w:rsid w:val="000529A8"/>
    <w:rsid w:val="00052B16"/>
    <w:rsid w:val="00052BC1"/>
    <w:rsid w:val="00052CC6"/>
    <w:rsid w:val="00052D51"/>
    <w:rsid w:val="0005305A"/>
    <w:rsid w:val="000530A3"/>
    <w:rsid w:val="000530CB"/>
    <w:rsid w:val="0005322D"/>
    <w:rsid w:val="000533B2"/>
    <w:rsid w:val="000533FB"/>
    <w:rsid w:val="00053456"/>
    <w:rsid w:val="00053489"/>
    <w:rsid w:val="00053697"/>
    <w:rsid w:val="000536FE"/>
    <w:rsid w:val="00053959"/>
    <w:rsid w:val="00053D80"/>
    <w:rsid w:val="00053E66"/>
    <w:rsid w:val="000540BA"/>
    <w:rsid w:val="000540EB"/>
    <w:rsid w:val="0005416A"/>
    <w:rsid w:val="00054180"/>
    <w:rsid w:val="00054560"/>
    <w:rsid w:val="00054574"/>
    <w:rsid w:val="000545DA"/>
    <w:rsid w:val="000546BC"/>
    <w:rsid w:val="00054845"/>
    <w:rsid w:val="0005491B"/>
    <w:rsid w:val="00054A27"/>
    <w:rsid w:val="00054CA9"/>
    <w:rsid w:val="00054D38"/>
    <w:rsid w:val="00054F24"/>
    <w:rsid w:val="00055001"/>
    <w:rsid w:val="000552AC"/>
    <w:rsid w:val="000552D2"/>
    <w:rsid w:val="000553C2"/>
    <w:rsid w:val="000553F8"/>
    <w:rsid w:val="00055428"/>
    <w:rsid w:val="000555E9"/>
    <w:rsid w:val="000556A1"/>
    <w:rsid w:val="000556E5"/>
    <w:rsid w:val="0005588A"/>
    <w:rsid w:val="00055C65"/>
    <w:rsid w:val="00055C67"/>
    <w:rsid w:val="00055C80"/>
    <w:rsid w:val="00055CCB"/>
    <w:rsid w:val="00055CFD"/>
    <w:rsid w:val="00055E1D"/>
    <w:rsid w:val="00055EEB"/>
    <w:rsid w:val="00055F91"/>
    <w:rsid w:val="000560E9"/>
    <w:rsid w:val="00056252"/>
    <w:rsid w:val="00056379"/>
    <w:rsid w:val="0005646A"/>
    <w:rsid w:val="000564CA"/>
    <w:rsid w:val="0005673C"/>
    <w:rsid w:val="00056961"/>
    <w:rsid w:val="00056B08"/>
    <w:rsid w:val="00056B29"/>
    <w:rsid w:val="00056F04"/>
    <w:rsid w:val="0005705B"/>
    <w:rsid w:val="00057117"/>
    <w:rsid w:val="00057148"/>
    <w:rsid w:val="000571B2"/>
    <w:rsid w:val="0005729F"/>
    <w:rsid w:val="000572A9"/>
    <w:rsid w:val="00057330"/>
    <w:rsid w:val="000574FD"/>
    <w:rsid w:val="000575CB"/>
    <w:rsid w:val="000576F0"/>
    <w:rsid w:val="00057971"/>
    <w:rsid w:val="00057D36"/>
    <w:rsid w:val="00057D67"/>
    <w:rsid w:val="00057E41"/>
    <w:rsid w:val="00057E49"/>
    <w:rsid w:val="00057E67"/>
    <w:rsid w:val="00060009"/>
    <w:rsid w:val="00060165"/>
    <w:rsid w:val="0006036E"/>
    <w:rsid w:val="0006052A"/>
    <w:rsid w:val="000607A2"/>
    <w:rsid w:val="00060882"/>
    <w:rsid w:val="0006088F"/>
    <w:rsid w:val="000608D6"/>
    <w:rsid w:val="0006093A"/>
    <w:rsid w:val="00060B7E"/>
    <w:rsid w:val="00060BB8"/>
    <w:rsid w:val="00061211"/>
    <w:rsid w:val="000614F4"/>
    <w:rsid w:val="0006179B"/>
    <w:rsid w:val="0006183A"/>
    <w:rsid w:val="000619E5"/>
    <w:rsid w:val="00061B2A"/>
    <w:rsid w:val="00061B4B"/>
    <w:rsid w:val="00061BCF"/>
    <w:rsid w:val="00061CBC"/>
    <w:rsid w:val="00061E05"/>
    <w:rsid w:val="00062137"/>
    <w:rsid w:val="0006213F"/>
    <w:rsid w:val="0006215B"/>
    <w:rsid w:val="00062299"/>
    <w:rsid w:val="00062363"/>
    <w:rsid w:val="000625ED"/>
    <w:rsid w:val="00062750"/>
    <w:rsid w:val="00062843"/>
    <w:rsid w:val="000629E1"/>
    <w:rsid w:val="00062A2E"/>
    <w:rsid w:val="00062C28"/>
    <w:rsid w:val="00062D01"/>
    <w:rsid w:val="00062D17"/>
    <w:rsid w:val="00062EBF"/>
    <w:rsid w:val="00062F17"/>
    <w:rsid w:val="0006317A"/>
    <w:rsid w:val="00063198"/>
    <w:rsid w:val="00063268"/>
    <w:rsid w:val="000632C7"/>
    <w:rsid w:val="000633D0"/>
    <w:rsid w:val="0006355F"/>
    <w:rsid w:val="00063580"/>
    <w:rsid w:val="0006364B"/>
    <w:rsid w:val="0006373A"/>
    <w:rsid w:val="00063A6E"/>
    <w:rsid w:val="00063B38"/>
    <w:rsid w:val="00063B51"/>
    <w:rsid w:val="00063CBC"/>
    <w:rsid w:val="00063D8C"/>
    <w:rsid w:val="00063DBE"/>
    <w:rsid w:val="00063E2E"/>
    <w:rsid w:val="00063FF4"/>
    <w:rsid w:val="0006412A"/>
    <w:rsid w:val="00064132"/>
    <w:rsid w:val="000641DA"/>
    <w:rsid w:val="000642EF"/>
    <w:rsid w:val="0006432C"/>
    <w:rsid w:val="000644ED"/>
    <w:rsid w:val="000645C8"/>
    <w:rsid w:val="00064612"/>
    <w:rsid w:val="0006478E"/>
    <w:rsid w:val="000647F7"/>
    <w:rsid w:val="00064A8F"/>
    <w:rsid w:val="00064B9B"/>
    <w:rsid w:val="00064D5D"/>
    <w:rsid w:val="00064ECC"/>
    <w:rsid w:val="00064F70"/>
    <w:rsid w:val="00064FA7"/>
    <w:rsid w:val="00064FCE"/>
    <w:rsid w:val="000650B9"/>
    <w:rsid w:val="0006545B"/>
    <w:rsid w:val="000655C1"/>
    <w:rsid w:val="000657A1"/>
    <w:rsid w:val="00065831"/>
    <w:rsid w:val="000659A8"/>
    <w:rsid w:val="00065A17"/>
    <w:rsid w:val="00065AA1"/>
    <w:rsid w:val="00065C47"/>
    <w:rsid w:val="0006609A"/>
    <w:rsid w:val="000660C9"/>
    <w:rsid w:val="00066133"/>
    <w:rsid w:val="00066252"/>
    <w:rsid w:val="00066389"/>
    <w:rsid w:val="000663E9"/>
    <w:rsid w:val="00066658"/>
    <w:rsid w:val="0006689D"/>
    <w:rsid w:val="00066A88"/>
    <w:rsid w:val="00066C77"/>
    <w:rsid w:val="00066C97"/>
    <w:rsid w:val="00066D1F"/>
    <w:rsid w:val="00066D48"/>
    <w:rsid w:val="00066E0D"/>
    <w:rsid w:val="00066E76"/>
    <w:rsid w:val="00066E7D"/>
    <w:rsid w:val="00066F32"/>
    <w:rsid w:val="00066F9A"/>
    <w:rsid w:val="000674F5"/>
    <w:rsid w:val="000675EA"/>
    <w:rsid w:val="00067676"/>
    <w:rsid w:val="0006798E"/>
    <w:rsid w:val="00067B91"/>
    <w:rsid w:val="00067DA6"/>
    <w:rsid w:val="00067F68"/>
    <w:rsid w:val="000700A7"/>
    <w:rsid w:val="00070451"/>
    <w:rsid w:val="00070456"/>
    <w:rsid w:val="000704FD"/>
    <w:rsid w:val="0007059B"/>
    <w:rsid w:val="00070615"/>
    <w:rsid w:val="0007061C"/>
    <w:rsid w:val="000707B3"/>
    <w:rsid w:val="00070A02"/>
    <w:rsid w:val="00070B06"/>
    <w:rsid w:val="00070CB8"/>
    <w:rsid w:val="00070D2B"/>
    <w:rsid w:val="00070DAB"/>
    <w:rsid w:val="0007148E"/>
    <w:rsid w:val="000717D0"/>
    <w:rsid w:val="000719CC"/>
    <w:rsid w:val="00071AF6"/>
    <w:rsid w:val="00071B58"/>
    <w:rsid w:val="00071B8B"/>
    <w:rsid w:val="00071C81"/>
    <w:rsid w:val="00071DA8"/>
    <w:rsid w:val="00071E75"/>
    <w:rsid w:val="00071F54"/>
    <w:rsid w:val="0007206B"/>
    <w:rsid w:val="00072193"/>
    <w:rsid w:val="00072323"/>
    <w:rsid w:val="0007234C"/>
    <w:rsid w:val="000724C9"/>
    <w:rsid w:val="00072907"/>
    <w:rsid w:val="0007290A"/>
    <w:rsid w:val="00072949"/>
    <w:rsid w:val="000729A3"/>
    <w:rsid w:val="000729AF"/>
    <w:rsid w:val="000729E0"/>
    <w:rsid w:val="00072A31"/>
    <w:rsid w:val="00072BBD"/>
    <w:rsid w:val="00072C55"/>
    <w:rsid w:val="00072EE0"/>
    <w:rsid w:val="00072F8A"/>
    <w:rsid w:val="00073084"/>
    <w:rsid w:val="00073364"/>
    <w:rsid w:val="000733BF"/>
    <w:rsid w:val="00073419"/>
    <w:rsid w:val="000734EC"/>
    <w:rsid w:val="00073504"/>
    <w:rsid w:val="00073526"/>
    <w:rsid w:val="0007356B"/>
    <w:rsid w:val="000735C5"/>
    <w:rsid w:val="00073701"/>
    <w:rsid w:val="00073769"/>
    <w:rsid w:val="0007382B"/>
    <w:rsid w:val="00073922"/>
    <w:rsid w:val="00073C06"/>
    <w:rsid w:val="00073C9D"/>
    <w:rsid w:val="00073D19"/>
    <w:rsid w:val="00073DA7"/>
    <w:rsid w:val="00073DE1"/>
    <w:rsid w:val="00073FF8"/>
    <w:rsid w:val="000741D7"/>
    <w:rsid w:val="000741E6"/>
    <w:rsid w:val="000741F5"/>
    <w:rsid w:val="00074235"/>
    <w:rsid w:val="00074479"/>
    <w:rsid w:val="00074523"/>
    <w:rsid w:val="0007463E"/>
    <w:rsid w:val="00074687"/>
    <w:rsid w:val="00074838"/>
    <w:rsid w:val="00074936"/>
    <w:rsid w:val="00074A51"/>
    <w:rsid w:val="00074A95"/>
    <w:rsid w:val="00074B41"/>
    <w:rsid w:val="00074C90"/>
    <w:rsid w:val="00074D51"/>
    <w:rsid w:val="00074D71"/>
    <w:rsid w:val="000751BB"/>
    <w:rsid w:val="000752E0"/>
    <w:rsid w:val="000754A4"/>
    <w:rsid w:val="000754FD"/>
    <w:rsid w:val="00075555"/>
    <w:rsid w:val="00075668"/>
    <w:rsid w:val="000758D0"/>
    <w:rsid w:val="000758E4"/>
    <w:rsid w:val="0007595D"/>
    <w:rsid w:val="00075983"/>
    <w:rsid w:val="00075ACA"/>
    <w:rsid w:val="00075ADC"/>
    <w:rsid w:val="00075AE5"/>
    <w:rsid w:val="00075BD0"/>
    <w:rsid w:val="00075CC2"/>
    <w:rsid w:val="00075CD5"/>
    <w:rsid w:val="00075DA9"/>
    <w:rsid w:val="00075DD8"/>
    <w:rsid w:val="00075E63"/>
    <w:rsid w:val="00075EDE"/>
    <w:rsid w:val="00075FC4"/>
    <w:rsid w:val="00076199"/>
    <w:rsid w:val="0007645B"/>
    <w:rsid w:val="000765D4"/>
    <w:rsid w:val="00076882"/>
    <w:rsid w:val="00076946"/>
    <w:rsid w:val="00076B1F"/>
    <w:rsid w:val="00076D60"/>
    <w:rsid w:val="00076E36"/>
    <w:rsid w:val="00077027"/>
    <w:rsid w:val="00077082"/>
    <w:rsid w:val="00077112"/>
    <w:rsid w:val="000771CA"/>
    <w:rsid w:val="0007738A"/>
    <w:rsid w:val="000773D1"/>
    <w:rsid w:val="000774D3"/>
    <w:rsid w:val="00077793"/>
    <w:rsid w:val="0007780D"/>
    <w:rsid w:val="000778C8"/>
    <w:rsid w:val="00077B92"/>
    <w:rsid w:val="00077BB3"/>
    <w:rsid w:val="00077DB7"/>
    <w:rsid w:val="00077DD8"/>
    <w:rsid w:val="00077FFA"/>
    <w:rsid w:val="0008009C"/>
    <w:rsid w:val="0008013A"/>
    <w:rsid w:val="00080292"/>
    <w:rsid w:val="00080320"/>
    <w:rsid w:val="000804B8"/>
    <w:rsid w:val="0008058B"/>
    <w:rsid w:val="00080599"/>
    <w:rsid w:val="00080756"/>
    <w:rsid w:val="00080BE4"/>
    <w:rsid w:val="00080C55"/>
    <w:rsid w:val="00080CFE"/>
    <w:rsid w:val="00080E8C"/>
    <w:rsid w:val="00080ED8"/>
    <w:rsid w:val="000810C1"/>
    <w:rsid w:val="00081314"/>
    <w:rsid w:val="00081334"/>
    <w:rsid w:val="000814CF"/>
    <w:rsid w:val="00081961"/>
    <w:rsid w:val="00081D44"/>
    <w:rsid w:val="00081DD6"/>
    <w:rsid w:val="00081E4E"/>
    <w:rsid w:val="00082036"/>
    <w:rsid w:val="00082082"/>
    <w:rsid w:val="000820DC"/>
    <w:rsid w:val="000822DA"/>
    <w:rsid w:val="000822EE"/>
    <w:rsid w:val="000824A7"/>
    <w:rsid w:val="00082517"/>
    <w:rsid w:val="00082663"/>
    <w:rsid w:val="000826CA"/>
    <w:rsid w:val="000827A5"/>
    <w:rsid w:val="00082804"/>
    <w:rsid w:val="00082932"/>
    <w:rsid w:val="00082961"/>
    <w:rsid w:val="00082BA6"/>
    <w:rsid w:val="00082CDA"/>
    <w:rsid w:val="00082CE5"/>
    <w:rsid w:val="00082D7F"/>
    <w:rsid w:val="00082DAC"/>
    <w:rsid w:val="00082EA1"/>
    <w:rsid w:val="00082F27"/>
    <w:rsid w:val="00083053"/>
    <w:rsid w:val="0008314D"/>
    <w:rsid w:val="000832D5"/>
    <w:rsid w:val="000832FC"/>
    <w:rsid w:val="00083626"/>
    <w:rsid w:val="00083650"/>
    <w:rsid w:val="00083791"/>
    <w:rsid w:val="000837E1"/>
    <w:rsid w:val="000839D4"/>
    <w:rsid w:val="000839F0"/>
    <w:rsid w:val="00083DC4"/>
    <w:rsid w:val="00083F2F"/>
    <w:rsid w:val="00084005"/>
    <w:rsid w:val="00084061"/>
    <w:rsid w:val="00084267"/>
    <w:rsid w:val="000843FE"/>
    <w:rsid w:val="00084431"/>
    <w:rsid w:val="0008453B"/>
    <w:rsid w:val="00084624"/>
    <w:rsid w:val="000846E4"/>
    <w:rsid w:val="000846ED"/>
    <w:rsid w:val="0008480E"/>
    <w:rsid w:val="0008489F"/>
    <w:rsid w:val="000849B1"/>
    <w:rsid w:val="000849CD"/>
    <w:rsid w:val="00084B55"/>
    <w:rsid w:val="00084D96"/>
    <w:rsid w:val="00084E35"/>
    <w:rsid w:val="00084EA8"/>
    <w:rsid w:val="00084EB8"/>
    <w:rsid w:val="00084F93"/>
    <w:rsid w:val="00084FAA"/>
    <w:rsid w:val="000850AF"/>
    <w:rsid w:val="0008511A"/>
    <w:rsid w:val="000852D2"/>
    <w:rsid w:val="000854D5"/>
    <w:rsid w:val="000855FF"/>
    <w:rsid w:val="00085656"/>
    <w:rsid w:val="000858A8"/>
    <w:rsid w:val="00085980"/>
    <w:rsid w:val="00085AB0"/>
    <w:rsid w:val="00085AF6"/>
    <w:rsid w:val="00085B63"/>
    <w:rsid w:val="00085C90"/>
    <w:rsid w:val="00085D00"/>
    <w:rsid w:val="00085D35"/>
    <w:rsid w:val="00085D7B"/>
    <w:rsid w:val="00085DC7"/>
    <w:rsid w:val="00085E0A"/>
    <w:rsid w:val="00085F2E"/>
    <w:rsid w:val="0008629A"/>
    <w:rsid w:val="000862B7"/>
    <w:rsid w:val="000862B8"/>
    <w:rsid w:val="000862ED"/>
    <w:rsid w:val="000863BC"/>
    <w:rsid w:val="000864AF"/>
    <w:rsid w:val="00086578"/>
    <w:rsid w:val="0008657E"/>
    <w:rsid w:val="000865AF"/>
    <w:rsid w:val="000867FC"/>
    <w:rsid w:val="000868C2"/>
    <w:rsid w:val="00086A60"/>
    <w:rsid w:val="00086B22"/>
    <w:rsid w:val="00086C54"/>
    <w:rsid w:val="00086D6D"/>
    <w:rsid w:val="00086DED"/>
    <w:rsid w:val="00086E7C"/>
    <w:rsid w:val="00086F8D"/>
    <w:rsid w:val="00086FF5"/>
    <w:rsid w:val="00087028"/>
    <w:rsid w:val="00087337"/>
    <w:rsid w:val="0008739D"/>
    <w:rsid w:val="00087575"/>
    <w:rsid w:val="000876AA"/>
    <w:rsid w:val="000876FF"/>
    <w:rsid w:val="00087717"/>
    <w:rsid w:val="00087904"/>
    <w:rsid w:val="00087D10"/>
    <w:rsid w:val="00087D24"/>
    <w:rsid w:val="00087E32"/>
    <w:rsid w:val="00087F69"/>
    <w:rsid w:val="00087FA0"/>
    <w:rsid w:val="00087FEB"/>
    <w:rsid w:val="00090381"/>
    <w:rsid w:val="00090488"/>
    <w:rsid w:val="000904EE"/>
    <w:rsid w:val="000905B8"/>
    <w:rsid w:val="000906BE"/>
    <w:rsid w:val="00090801"/>
    <w:rsid w:val="000908D8"/>
    <w:rsid w:val="000909F5"/>
    <w:rsid w:val="00090AF9"/>
    <w:rsid w:val="00090D1A"/>
    <w:rsid w:val="000910AB"/>
    <w:rsid w:val="000911B8"/>
    <w:rsid w:val="00091636"/>
    <w:rsid w:val="0009164A"/>
    <w:rsid w:val="000916DF"/>
    <w:rsid w:val="00091748"/>
    <w:rsid w:val="000917C7"/>
    <w:rsid w:val="000918A2"/>
    <w:rsid w:val="00091A53"/>
    <w:rsid w:val="00091A8B"/>
    <w:rsid w:val="00091AC8"/>
    <w:rsid w:val="00091D3C"/>
    <w:rsid w:val="00091E55"/>
    <w:rsid w:val="00091ED5"/>
    <w:rsid w:val="00092076"/>
    <w:rsid w:val="00092100"/>
    <w:rsid w:val="0009213C"/>
    <w:rsid w:val="00092328"/>
    <w:rsid w:val="00092491"/>
    <w:rsid w:val="000924DF"/>
    <w:rsid w:val="00092514"/>
    <w:rsid w:val="00092552"/>
    <w:rsid w:val="000925C4"/>
    <w:rsid w:val="00092680"/>
    <w:rsid w:val="000927D5"/>
    <w:rsid w:val="00092814"/>
    <w:rsid w:val="00092A4C"/>
    <w:rsid w:val="00092A88"/>
    <w:rsid w:val="00092BB1"/>
    <w:rsid w:val="00092BBA"/>
    <w:rsid w:val="00092C8C"/>
    <w:rsid w:val="00092DCA"/>
    <w:rsid w:val="00092EE8"/>
    <w:rsid w:val="00092FCA"/>
    <w:rsid w:val="00093082"/>
    <w:rsid w:val="00093391"/>
    <w:rsid w:val="000934B6"/>
    <w:rsid w:val="00093502"/>
    <w:rsid w:val="00093683"/>
    <w:rsid w:val="00093D7E"/>
    <w:rsid w:val="00093E60"/>
    <w:rsid w:val="00093F7B"/>
    <w:rsid w:val="00093FA1"/>
    <w:rsid w:val="00093FC7"/>
    <w:rsid w:val="00094288"/>
    <w:rsid w:val="000943E1"/>
    <w:rsid w:val="000946A6"/>
    <w:rsid w:val="00094714"/>
    <w:rsid w:val="000948ED"/>
    <w:rsid w:val="00094A49"/>
    <w:rsid w:val="00094A94"/>
    <w:rsid w:val="00094B46"/>
    <w:rsid w:val="00094CEA"/>
    <w:rsid w:val="00094E14"/>
    <w:rsid w:val="00094E4D"/>
    <w:rsid w:val="00094F73"/>
    <w:rsid w:val="00094FAC"/>
    <w:rsid w:val="00095019"/>
    <w:rsid w:val="0009502F"/>
    <w:rsid w:val="0009505F"/>
    <w:rsid w:val="00095064"/>
    <w:rsid w:val="0009507F"/>
    <w:rsid w:val="0009514A"/>
    <w:rsid w:val="00095175"/>
    <w:rsid w:val="00095221"/>
    <w:rsid w:val="0009544B"/>
    <w:rsid w:val="000954D3"/>
    <w:rsid w:val="00095562"/>
    <w:rsid w:val="00095602"/>
    <w:rsid w:val="0009567F"/>
    <w:rsid w:val="00095699"/>
    <w:rsid w:val="000958A9"/>
    <w:rsid w:val="00095F3C"/>
    <w:rsid w:val="00095FE9"/>
    <w:rsid w:val="000960A4"/>
    <w:rsid w:val="00096271"/>
    <w:rsid w:val="0009632C"/>
    <w:rsid w:val="00096354"/>
    <w:rsid w:val="000964F6"/>
    <w:rsid w:val="00096645"/>
    <w:rsid w:val="0009665A"/>
    <w:rsid w:val="00096711"/>
    <w:rsid w:val="00096A0D"/>
    <w:rsid w:val="00096A1E"/>
    <w:rsid w:val="00096BA4"/>
    <w:rsid w:val="00096C43"/>
    <w:rsid w:val="00096DFE"/>
    <w:rsid w:val="00097165"/>
    <w:rsid w:val="0009738D"/>
    <w:rsid w:val="00097445"/>
    <w:rsid w:val="000977E8"/>
    <w:rsid w:val="000978CA"/>
    <w:rsid w:val="00097C4B"/>
    <w:rsid w:val="00097D0B"/>
    <w:rsid w:val="00097E36"/>
    <w:rsid w:val="0009FDBD"/>
    <w:rsid w:val="000A0179"/>
    <w:rsid w:val="000A026C"/>
    <w:rsid w:val="000A030C"/>
    <w:rsid w:val="000A03C6"/>
    <w:rsid w:val="000A0437"/>
    <w:rsid w:val="000A04A6"/>
    <w:rsid w:val="000A051F"/>
    <w:rsid w:val="000A0564"/>
    <w:rsid w:val="000A057D"/>
    <w:rsid w:val="000A069F"/>
    <w:rsid w:val="000A06A0"/>
    <w:rsid w:val="000A06ED"/>
    <w:rsid w:val="000A0C08"/>
    <w:rsid w:val="000A0C8A"/>
    <w:rsid w:val="000A0CEC"/>
    <w:rsid w:val="000A0E4A"/>
    <w:rsid w:val="000A1052"/>
    <w:rsid w:val="000A1082"/>
    <w:rsid w:val="000A1128"/>
    <w:rsid w:val="000A1179"/>
    <w:rsid w:val="000A127B"/>
    <w:rsid w:val="000A1334"/>
    <w:rsid w:val="000A1548"/>
    <w:rsid w:val="000A1928"/>
    <w:rsid w:val="000A195B"/>
    <w:rsid w:val="000A1B3E"/>
    <w:rsid w:val="000A1B6F"/>
    <w:rsid w:val="000A1E3D"/>
    <w:rsid w:val="000A22DC"/>
    <w:rsid w:val="000A24D6"/>
    <w:rsid w:val="000A24D7"/>
    <w:rsid w:val="000A24E8"/>
    <w:rsid w:val="000A263F"/>
    <w:rsid w:val="000A266F"/>
    <w:rsid w:val="000A27CF"/>
    <w:rsid w:val="000A298F"/>
    <w:rsid w:val="000A2A2B"/>
    <w:rsid w:val="000A2C01"/>
    <w:rsid w:val="000A2C43"/>
    <w:rsid w:val="000A2DA5"/>
    <w:rsid w:val="000A2EE5"/>
    <w:rsid w:val="000A2F12"/>
    <w:rsid w:val="000A3230"/>
    <w:rsid w:val="000A329B"/>
    <w:rsid w:val="000A344A"/>
    <w:rsid w:val="000A39DC"/>
    <w:rsid w:val="000A3E38"/>
    <w:rsid w:val="000A3EC2"/>
    <w:rsid w:val="000A3F54"/>
    <w:rsid w:val="000A4119"/>
    <w:rsid w:val="000A417E"/>
    <w:rsid w:val="000A4381"/>
    <w:rsid w:val="000A4455"/>
    <w:rsid w:val="000A44BD"/>
    <w:rsid w:val="000A46E8"/>
    <w:rsid w:val="000A4872"/>
    <w:rsid w:val="000A48B0"/>
    <w:rsid w:val="000A48DD"/>
    <w:rsid w:val="000A4EA6"/>
    <w:rsid w:val="000A4EEC"/>
    <w:rsid w:val="000A4FB7"/>
    <w:rsid w:val="000A5117"/>
    <w:rsid w:val="000A51F5"/>
    <w:rsid w:val="000A562E"/>
    <w:rsid w:val="000A56EE"/>
    <w:rsid w:val="000A5700"/>
    <w:rsid w:val="000A57AC"/>
    <w:rsid w:val="000A582D"/>
    <w:rsid w:val="000A58CC"/>
    <w:rsid w:val="000A5994"/>
    <w:rsid w:val="000A5B6A"/>
    <w:rsid w:val="000A5C03"/>
    <w:rsid w:val="000A6022"/>
    <w:rsid w:val="000A6747"/>
    <w:rsid w:val="000A67B4"/>
    <w:rsid w:val="000A67ED"/>
    <w:rsid w:val="000A682D"/>
    <w:rsid w:val="000A682F"/>
    <w:rsid w:val="000A6B6D"/>
    <w:rsid w:val="000A6CE7"/>
    <w:rsid w:val="000A6D26"/>
    <w:rsid w:val="000A6D6E"/>
    <w:rsid w:val="000A7146"/>
    <w:rsid w:val="000A7154"/>
    <w:rsid w:val="000A7178"/>
    <w:rsid w:val="000A71F0"/>
    <w:rsid w:val="000A739E"/>
    <w:rsid w:val="000A73A8"/>
    <w:rsid w:val="000A73CC"/>
    <w:rsid w:val="000A74A0"/>
    <w:rsid w:val="000A765A"/>
    <w:rsid w:val="000A7764"/>
    <w:rsid w:val="000A77C2"/>
    <w:rsid w:val="000A7882"/>
    <w:rsid w:val="000A7933"/>
    <w:rsid w:val="000A7A5D"/>
    <w:rsid w:val="000A7B25"/>
    <w:rsid w:val="000A7B2A"/>
    <w:rsid w:val="000A7DF7"/>
    <w:rsid w:val="000B0189"/>
    <w:rsid w:val="000B02C3"/>
    <w:rsid w:val="000B0855"/>
    <w:rsid w:val="000B08DD"/>
    <w:rsid w:val="000B09FD"/>
    <w:rsid w:val="000B0AE4"/>
    <w:rsid w:val="000B0BBC"/>
    <w:rsid w:val="000B0BCE"/>
    <w:rsid w:val="000B0D1B"/>
    <w:rsid w:val="000B0E34"/>
    <w:rsid w:val="000B1094"/>
    <w:rsid w:val="000B111A"/>
    <w:rsid w:val="000B1173"/>
    <w:rsid w:val="000B12F2"/>
    <w:rsid w:val="000B15DA"/>
    <w:rsid w:val="000B17D6"/>
    <w:rsid w:val="000B18DC"/>
    <w:rsid w:val="000B1A94"/>
    <w:rsid w:val="000B1B78"/>
    <w:rsid w:val="000B1BCB"/>
    <w:rsid w:val="000B1C6C"/>
    <w:rsid w:val="000B2422"/>
    <w:rsid w:val="000B24D2"/>
    <w:rsid w:val="000B2505"/>
    <w:rsid w:val="000B2641"/>
    <w:rsid w:val="000B2740"/>
    <w:rsid w:val="000B2996"/>
    <w:rsid w:val="000B2A5A"/>
    <w:rsid w:val="000B2E57"/>
    <w:rsid w:val="000B2ECF"/>
    <w:rsid w:val="000B2ED3"/>
    <w:rsid w:val="000B3072"/>
    <w:rsid w:val="000B30E0"/>
    <w:rsid w:val="000B324C"/>
    <w:rsid w:val="000B3577"/>
    <w:rsid w:val="000B3857"/>
    <w:rsid w:val="000B38E0"/>
    <w:rsid w:val="000B399C"/>
    <w:rsid w:val="000B399D"/>
    <w:rsid w:val="000B3C5A"/>
    <w:rsid w:val="000B3CDC"/>
    <w:rsid w:val="000B3E79"/>
    <w:rsid w:val="000B40BB"/>
    <w:rsid w:val="000B4226"/>
    <w:rsid w:val="000B4472"/>
    <w:rsid w:val="000B4526"/>
    <w:rsid w:val="000B4579"/>
    <w:rsid w:val="000B45BB"/>
    <w:rsid w:val="000B4696"/>
    <w:rsid w:val="000B488D"/>
    <w:rsid w:val="000B49E6"/>
    <w:rsid w:val="000B4A12"/>
    <w:rsid w:val="000B4E6C"/>
    <w:rsid w:val="000B5248"/>
    <w:rsid w:val="000B5415"/>
    <w:rsid w:val="000B56AB"/>
    <w:rsid w:val="000B578F"/>
    <w:rsid w:val="000B59E4"/>
    <w:rsid w:val="000B5A20"/>
    <w:rsid w:val="000B5A51"/>
    <w:rsid w:val="000B5D32"/>
    <w:rsid w:val="000B5FE7"/>
    <w:rsid w:val="000B6000"/>
    <w:rsid w:val="000B600D"/>
    <w:rsid w:val="000B6029"/>
    <w:rsid w:val="000B607B"/>
    <w:rsid w:val="000B610F"/>
    <w:rsid w:val="000B611A"/>
    <w:rsid w:val="000B649E"/>
    <w:rsid w:val="000B6525"/>
    <w:rsid w:val="000B6635"/>
    <w:rsid w:val="000B6680"/>
    <w:rsid w:val="000B66F6"/>
    <w:rsid w:val="000B67F9"/>
    <w:rsid w:val="000B67FE"/>
    <w:rsid w:val="000B682D"/>
    <w:rsid w:val="000B6871"/>
    <w:rsid w:val="000B6ABB"/>
    <w:rsid w:val="000B6AE6"/>
    <w:rsid w:val="000B6B45"/>
    <w:rsid w:val="000B6CB6"/>
    <w:rsid w:val="000B7125"/>
    <w:rsid w:val="000B7357"/>
    <w:rsid w:val="000B7690"/>
    <w:rsid w:val="000B783E"/>
    <w:rsid w:val="000B7B66"/>
    <w:rsid w:val="000B7BC1"/>
    <w:rsid w:val="000B7C78"/>
    <w:rsid w:val="000B7DBE"/>
    <w:rsid w:val="000B7E34"/>
    <w:rsid w:val="000B7EA2"/>
    <w:rsid w:val="000B7F14"/>
    <w:rsid w:val="000C05FC"/>
    <w:rsid w:val="000C0625"/>
    <w:rsid w:val="000C07D6"/>
    <w:rsid w:val="000C0912"/>
    <w:rsid w:val="000C0BB5"/>
    <w:rsid w:val="000C0D7D"/>
    <w:rsid w:val="000C0E2B"/>
    <w:rsid w:val="000C0F1E"/>
    <w:rsid w:val="000C0FDE"/>
    <w:rsid w:val="000C0FF0"/>
    <w:rsid w:val="000C0FF8"/>
    <w:rsid w:val="000C10C3"/>
    <w:rsid w:val="000C111F"/>
    <w:rsid w:val="000C11B5"/>
    <w:rsid w:val="000C1214"/>
    <w:rsid w:val="000C13BB"/>
    <w:rsid w:val="000C140B"/>
    <w:rsid w:val="000C1445"/>
    <w:rsid w:val="000C15CE"/>
    <w:rsid w:val="000C15EA"/>
    <w:rsid w:val="000C1689"/>
    <w:rsid w:val="000C16B7"/>
    <w:rsid w:val="000C16EA"/>
    <w:rsid w:val="000C18C3"/>
    <w:rsid w:val="000C18E4"/>
    <w:rsid w:val="000C1922"/>
    <w:rsid w:val="000C19CA"/>
    <w:rsid w:val="000C1A29"/>
    <w:rsid w:val="000C1BE2"/>
    <w:rsid w:val="000C1D0A"/>
    <w:rsid w:val="000C1DB1"/>
    <w:rsid w:val="000C1F70"/>
    <w:rsid w:val="000C2103"/>
    <w:rsid w:val="000C2290"/>
    <w:rsid w:val="000C25E5"/>
    <w:rsid w:val="000C2792"/>
    <w:rsid w:val="000C28D3"/>
    <w:rsid w:val="000C2AD8"/>
    <w:rsid w:val="000C2E2C"/>
    <w:rsid w:val="000C33B9"/>
    <w:rsid w:val="000C33E8"/>
    <w:rsid w:val="000C3484"/>
    <w:rsid w:val="000C34C0"/>
    <w:rsid w:val="000C364D"/>
    <w:rsid w:val="000C36B2"/>
    <w:rsid w:val="000C37B7"/>
    <w:rsid w:val="000C3813"/>
    <w:rsid w:val="000C3CCD"/>
    <w:rsid w:val="000C3D22"/>
    <w:rsid w:val="000C4AFA"/>
    <w:rsid w:val="000C4C72"/>
    <w:rsid w:val="000C4C8C"/>
    <w:rsid w:val="000C4FBE"/>
    <w:rsid w:val="000C4FCD"/>
    <w:rsid w:val="000C501B"/>
    <w:rsid w:val="000C515A"/>
    <w:rsid w:val="000C5196"/>
    <w:rsid w:val="000C5506"/>
    <w:rsid w:val="000C589D"/>
    <w:rsid w:val="000C5905"/>
    <w:rsid w:val="000C5AAB"/>
    <w:rsid w:val="000C5AF8"/>
    <w:rsid w:val="000C614A"/>
    <w:rsid w:val="000C621A"/>
    <w:rsid w:val="000C624F"/>
    <w:rsid w:val="000C6396"/>
    <w:rsid w:val="000C65BD"/>
    <w:rsid w:val="000C668B"/>
    <w:rsid w:val="000C68F8"/>
    <w:rsid w:val="000C6C9C"/>
    <w:rsid w:val="000C6CE7"/>
    <w:rsid w:val="000C6EFA"/>
    <w:rsid w:val="000C705E"/>
    <w:rsid w:val="000C7084"/>
    <w:rsid w:val="000C709C"/>
    <w:rsid w:val="000C715A"/>
    <w:rsid w:val="000C719B"/>
    <w:rsid w:val="000C71CC"/>
    <w:rsid w:val="000C72BF"/>
    <w:rsid w:val="000C73E6"/>
    <w:rsid w:val="000C742E"/>
    <w:rsid w:val="000C74E9"/>
    <w:rsid w:val="000C7663"/>
    <w:rsid w:val="000C770B"/>
    <w:rsid w:val="000C7A02"/>
    <w:rsid w:val="000C7ABD"/>
    <w:rsid w:val="000C7C75"/>
    <w:rsid w:val="000C7CD1"/>
    <w:rsid w:val="000C83D9"/>
    <w:rsid w:val="000D023B"/>
    <w:rsid w:val="000D029D"/>
    <w:rsid w:val="000D03B2"/>
    <w:rsid w:val="000D06C2"/>
    <w:rsid w:val="000D08F2"/>
    <w:rsid w:val="000D0916"/>
    <w:rsid w:val="000D0B01"/>
    <w:rsid w:val="000D0B08"/>
    <w:rsid w:val="000D0B73"/>
    <w:rsid w:val="000D0CA3"/>
    <w:rsid w:val="000D0D0A"/>
    <w:rsid w:val="000D0D16"/>
    <w:rsid w:val="000D0D70"/>
    <w:rsid w:val="000D0E71"/>
    <w:rsid w:val="000D0EC6"/>
    <w:rsid w:val="000D0FD7"/>
    <w:rsid w:val="000D11CA"/>
    <w:rsid w:val="000D1203"/>
    <w:rsid w:val="000D1210"/>
    <w:rsid w:val="000D12C9"/>
    <w:rsid w:val="000D1404"/>
    <w:rsid w:val="000D159E"/>
    <w:rsid w:val="000D15BC"/>
    <w:rsid w:val="000D15FF"/>
    <w:rsid w:val="000D16D0"/>
    <w:rsid w:val="000D16EA"/>
    <w:rsid w:val="000D1778"/>
    <w:rsid w:val="000D17A3"/>
    <w:rsid w:val="000D1946"/>
    <w:rsid w:val="000D19EC"/>
    <w:rsid w:val="000D1A31"/>
    <w:rsid w:val="000D1A39"/>
    <w:rsid w:val="000D1ACE"/>
    <w:rsid w:val="000D1B22"/>
    <w:rsid w:val="000D1BC7"/>
    <w:rsid w:val="000D1DE8"/>
    <w:rsid w:val="000D20A0"/>
    <w:rsid w:val="000D221F"/>
    <w:rsid w:val="000D226B"/>
    <w:rsid w:val="000D22CC"/>
    <w:rsid w:val="000D26F9"/>
    <w:rsid w:val="000D2762"/>
    <w:rsid w:val="000D2878"/>
    <w:rsid w:val="000D28EB"/>
    <w:rsid w:val="000D2988"/>
    <w:rsid w:val="000D2A84"/>
    <w:rsid w:val="000D2BFB"/>
    <w:rsid w:val="000D2D08"/>
    <w:rsid w:val="000D30B1"/>
    <w:rsid w:val="000D30EC"/>
    <w:rsid w:val="000D3292"/>
    <w:rsid w:val="000D3703"/>
    <w:rsid w:val="000D3969"/>
    <w:rsid w:val="000D39D5"/>
    <w:rsid w:val="000D3B49"/>
    <w:rsid w:val="000D3C44"/>
    <w:rsid w:val="000D3C9A"/>
    <w:rsid w:val="000D3D54"/>
    <w:rsid w:val="000D3E06"/>
    <w:rsid w:val="000D3E62"/>
    <w:rsid w:val="000D401E"/>
    <w:rsid w:val="000D402F"/>
    <w:rsid w:val="000D409A"/>
    <w:rsid w:val="000D4108"/>
    <w:rsid w:val="000D423F"/>
    <w:rsid w:val="000D4280"/>
    <w:rsid w:val="000D45A3"/>
    <w:rsid w:val="000D473F"/>
    <w:rsid w:val="000D47B2"/>
    <w:rsid w:val="000D4874"/>
    <w:rsid w:val="000D498A"/>
    <w:rsid w:val="000D4A92"/>
    <w:rsid w:val="000D4C83"/>
    <w:rsid w:val="000D4CDB"/>
    <w:rsid w:val="000D4D94"/>
    <w:rsid w:val="000D4DA0"/>
    <w:rsid w:val="000D4F0C"/>
    <w:rsid w:val="000D4F45"/>
    <w:rsid w:val="000D4F57"/>
    <w:rsid w:val="000D4F94"/>
    <w:rsid w:val="000D5266"/>
    <w:rsid w:val="000D5392"/>
    <w:rsid w:val="000D53D3"/>
    <w:rsid w:val="000D53D6"/>
    <w:rsid w:val="000D56DE"/>
    <w:rsid w:val="000D5734"/>
    <w:rsid w:val="000D585C"/>
    <w:rsid w:val="000D5AF7"/>
    <w:rsid w:val="000D5BB3"/>
    <w:rsid w:val="000D5C97"/>
    <w:rsid w:val="000D5D3E"/>
    <w:rsid w:val="000D5EE5"/>
    <w:rsid w:val="000D5F5B"/>
    <w:rsid w:val="000D60BC"/>
    <w:rsid w:val="000D60E8"/>
    <w:rsid w:val="000D6111"/>
    <w:rsid w:val="000D63E9"/>
    <w:rsid w:val="000D6500"/>
    <w:rsid w:val="000D6630"/>
    <w:rsid w:val="000D6657"/>
    <w:rsid w:val="000D6805"/>
    <w:rsid w:val="000D6830"/>
    <w:rsid w:val="000D69BE"/>
    <w:rsid w:val="000D6B4D"/>
    <w:rsid w:val="000D6BBA"/>
    <w:rsid w:val="000D6D58"/>
    <w:rsid w:val="000D6ED4"/>
    <w:rsid w:val="000D729D"/>
    <w:rsid w:val="000D7324"/>
    <w:rsid w:val="000D73C2"/>
    <w:rsid w:val="000D73CE"/>
    <w:rsid w:val="000D73F3"/>
    <w:rsid w:val="000D7405"/>
    <w:rsid w:val="000D7455"/>
    <w:rsid w:val="000D764D"/>
    <w:rsid w:val="000D7688"/>
    <w:rsid w:val="000D76A4"/>
    <w:rsid w:val="000D77FC"/>
    <w:rsid w:val="000D7905"/>
    <w:rsid w:val="000D7B1C"/>
    <w:rsid w:val="000D7C47"/>
    <w:rsid w:val="000D7CAB"/>
    <w:rsid w:val="000D7D02"/>
    <w:rsid w:val="000D7D09"/>
    <w:rsid w:val="000D7D0C"/>
    <w:rsid w:val="000E0059"/>
    <w:rsid w:val="000E0095"/>
    <w:rsid w:val="000E04D8"/>
    <w:rsid w:val="000E0640"/>
    <w:rsid w:val="000E06E8"/>
    <w:rsid w:val="000E0705"/>
    <w:rsid w:val="000E07D5"/>
    <w:rsid w:val="000E0895"/>
    <w:rsid w:val="000E0A24"/>
    <w:rsid w:val="000E0B6C"/>
    <w:rsid w:val="000E0CBB"/>
    <w:rsid w:val="000E0ECE"/>
    <w:rsid w:val="000E112C"/>
    <w:rsid w:val="000E1508"/>
    <w:rsid w:val="000E1568"/>
    <w:rsid w:val="000E15DB"/>
    <w:rsid w:val="000E181A"/>
    <w:rsid w:val="000E1914"/>
    <w:rsid w:val="000E1A1E"/>
    <w:rsid w:val="000E1A6C"/>
    <w:rsid w:val="000E1B8C"/>
    <w:rsid w:val="000E1C41"/>
    <w:rsid w:val="000E1F68"/>
    <w:rsid w:val="000E20F8"/>
    <w:rsid w:val="000E2381"/>
    <w:rsid w:val="000E2821"/>
    <w:rsid w:val="000E2D8A"/>
    <w:rsid w:val="000E307F"/>
    <w:rsid w:val="000E30BE"/>
    <w:rsid w:val="000E3102"/>
    <w:rsid w:val="000E3190"/>
    <w:rsid w:val="000E359D"/>
    <w:rsid w:val="000E393B"/>
    <w:rsid w:val="000E3ACE"/>
    <w:rsid w:val="000E3AE2"/>
    <w:rsid w:val="000E3C59"/>
    <w:rsid w:val="000E3C79"/>
    <w:rsid w:val="000E3CAA"/>
    <w:rsid w:val="000E3CB0"/>
    <w:rsid w:val="000E3DB5"/>
    <w:rsid w:val="000E40D2"/>
    <w:rsid w:val="000E41A3"/>
    <w:rsid w:val="000E42F6"/>
    <w:rsid w:val="000E42F7"/>
    <w:rsid w:val="000E435A"/>
    <w:rsid w:val="000E4371"/>
    <w:rsid w:val="000E4708"/>
    <w:rsid w:val="000E498C"/>
    <w:rsid w:val="000E4D28"/>
    <w:rsid w:val="000E4EEF"/>
    <w:rsid w:val="000E4F45"/>
    <w:rsid w:val="000E5121"/>
    <w:rsid w:val="000E525E"/>
    <w:rsid w:val="000E5354"/>
    <w:rsid w:val="000E53DF"/>
    <w:rsid w:val="000E55E9"/>
    <w:rsid w:val="000E563B"/>
    <w:rsid w:val="000E5643"/>
    <w:rsid w:val="000E56FD"/>
    <w:rsid w:val="000E5705"/>
    <w:rsid w:val="000E579D"/>
    <w:rsid w:val="000E5868"/>
    <w:rsid w:val="000E586B"/>
    <w:rsid w:val="000E597D"/>
    <w:rsid w:val="000E5ACF"/>
    <w:rsid w:val="000E5D67"/>
    <w:rsid w:val="000E5E7A"/>
    <w:rsid w:val="000E5F9E"/>
    <w:rsid w:val="000E6059"/>
    <w:rsid w:val="000E6596"/>
    <w:rsid w:val="000E6607"/>
    <w:rsid w:val="000E66EE"/>
    <w:rsid w:val="000E6763"/>
    <w:rsid w:val="000E687C"/>
    <w:rsid w:val="000E6B50"/>
    <w:rsid w:val="000E6B51"/>
    <w:rsid w:val="000E6CED"/>
    <w:rsid w:val="000E7243"/>
    <w:rsid w:val="000E7255"/>
    <w:rsid w:val="000E7289"/>
    <w:rsid w:val="000E7297"/>
    <w:rsid w:val="000E73E0"/>
    <w:rsid w:val="000E7454"/>
    <w:rsid w:val="000E7A06"/>
    <w:rsid w:val="000E7A1D"/>
    <w:rsid w:val="000E7C70"/>
    <w:rsid w:val="000E7D26"/>
    <w:rsid w:val="000E7ECB"/>
    <w:rsid w:val="000E7F94"/>
    <w:rsid w:val="000F0064"/>
    <w:rsid w:val="000F0161"/>
    <w:rsid w:val="000F01C7"/>
    <w:rsid w:val="000F02AF"/>
    <w:rsid w:val="000F0303"/>
    <w:rsid w:val="000F03E3"/>
    <w:rsid w:val="000F04A3"/>
    <w:rsid w:val="000F0BE8"/>
    <w:rsid w:val="000F0E02"/>
    <w:rsid w:val="000F0E25"/>
    <w:rsid w:val="000F1043"/>
    <w:rsid w:val="000F1067"/>
    <w:rsid w:val="000F10A1"/>
    <w:rsid w:val="000F1171"/>
    <w:rsid w:val="000F137D"/>
    <w:rsid w:val="000F13DF"/>
    <w:rsid w:val="000F13EE"/>
    <w:rsid w:val="000F1624"/>
    <w:rsid w:val="000F1729"/>
    <w:rsid w:val="000F1908"/>
    <w:rsid w:val="000F1C62"/>
    <w:rsid w:val="000F1F6D"/>
    <w:rsid w:val="000F1F8D"/>
    <w:rsid w:val="000F21C2"/>
    <w:rsid w:val="000F234D"/>
    <w:rsid w:val="000F2359"/>
    <w:rsid w:val="000F235A"/>
    <w:rsid w:val="000F2621"/>
    <w:rsid w:val="000F28D0"/>
    <w:rsid w:val="000F2947"/>
    <w:rsid w:val="000F29A6"/>
    <w:rsid w:val="000F2B45"/>
    <w:rsid w:val="000F2BED"/>
    <w:rsid w:val="000F2CFF"/>
    <w:rsid w:val="000F2E4C"/>
    <w:rsid w:val="000F2EF1"/>
    <w:rsid w:val="000F3011"/>
    <w:rsid w:val="000F3112"/>
    <w:rsid w:val="000F313D"/>
    <w:rsid w:val="000F3159"/>
    <w:rsid w:val="000F3417"/>
    <w:rsid w:val="000F34BB"/>
    <w:rsid w:val="000F3605"/>
    <w:rsid w:val="000F397F"/>
    <w:rsid w:val="000F3994"/>
    <w:rsid w:val="000F3996"/>
    <w:rsid w:val="000F39E5"/>
    <w:rsid w:val="000F3A3F"/>
    <w:rsid w:val="000F3AF4"/>
    <w:rsid w:val="000F3C9F"/>
    <w:rsid w:val="000F3CFF"/>
    <w:rsid w:val="000F3D9A"/>
    <w:rsid w:val="000F3E03"/>
    <w:rsid w:val="000F3F01"/>
    <w:rsid w:val="000F3F08"/>
    <w:rsid w:val="000F3F3C"/>
    <w:rsid w:val="000F3F7C"/>
    <w:rsid w:val="000F41BD"/>
    <w:rsid w:val="000F422A"/>
    <w:rsid w:val="000F4298"/>
    <w:rsid w:val="000F440F"/>
    <w:rsid w:val="000F44E7"/>
    <w:rsid w:val="000F45A7"/>
    <w:rsid w:val="000F49EB"/>
    <w:rsid w:val="000F4A83"/>
    <w:rsid w:val="000F4B73"/>
    <w:rsid w:val="000F4C43"/>
    <w:rsid w:val="000F4E5A"/>
    <w:rsid w:val="000F4EFD"/>
    <w:rsid w:val="000F5128"/>
    <w:rsid w:val="000F52DC"/>
    <w:rsid w:val="000F53E1"/>
    <w:rsid w:val="000F5407"/>
    <w:rsid w:val="000F55CD"/>
    <w:rsid w:val="000F57A0"/>
    <w:rsid w:val="000F5968"/>
    <w:rsid w:val="000F5A12"/>
    <w:rsid w:val="000F5A9E"/>
    <w:rsid w:val="000F5AAF"/>
    <w:rsid w:val="000F5B83"/>
    <w:rsid w:val="000F5C35"/>
    <w:rsid w:val="000F5E96"/>
    <w:rsid w:val="000F5F76"/>
    <w:rsid w:val="000F6038"/>
    <w:rsid w:val="000F603B"/>
    <w:rsid w:val="000F6113"/>
    <w:rsid w:val="000F6123"/>
    <w:rsid w:val="000F6141"/>
    <w:rsid w:val="000F626C"/>
    <w:rsid w:val="000F6482"/>
    <w:rsid w:val="000F6542"/>
    <w:rsid w:val="000F654A"/>
    <w:rsid w:val="000F670C"/>
    <w:rsid w:val="000F6B3D"/>
    <w:rsid w:val="000F6C31"/>
    <w:rsid w:val="000F6C37"/>
    <w:rsid w:val="000F6CB7"/>
    <w:rsid w:val="000F6D3D"/>
    <w:rsid w:val="000F6D4B"/>
    <w:rsid w:val="000F6E59"/>
    <w:rsid w:val="000F6F4A"/>
    <w:rsid w:val="000F70B7"/>
    <w:rsid w:val="000F726B"/>
    <w:rsid w:val="000F730B"/>
    <w:rsid w:val="000F74C9"/>
    <w:rsid w:val="000F74E6"/>
    <w:rsid w:val="000F7706"/>
    <w:rsid w:val="000F7731"/>
    <w:rsid w:val="000F776E"/>
    <w:rsid w:val="000F788F"/>
    <w:rsid w:val="000F79E1"/>
    <w:rsid w:val="000F7B9F"/>
    <w:rsid w:val="000F7C00"/>
    <w:rsid w:val="000F7C7D"/>
    <w:rsid w:val="00100044"/>
    <w:rsid w:val="001000F4"/>
    <w:rsid w:val="00100183"/>
    <w:rsid w:val="00100294"/>
    <w:rsid w:val="00100409"/>
    <w:rsid w:val="00100457"/>
    <w:rsid w:val="0010058B"/>
    <w:rsid w:val="0010086C"/>
    <w:rsid w:val="001008BD"/>
    <w:rsid w:val="001009AE"/>
    <w:rsid w:val="00100A0F"/>
    <w:rsid w:val="00100AA4"/>
    <w:rsid w:val="00100C47"/>
    <w:rsid w:val="00100C4A"/>
    <w:rsid w:val="00100D4B"/>
    <w:rsid w:val="00100DD9"/>
    <w:rsid w:val="00100EF6"/>
    <w:rsid w:val="00100F69"/>
    <w:rsid w:val="00100FD8"/>
    <w:rsid w:val="00100FFB"/>
    <w:rsid w:val="0010129E"/>
    <w:rsid w:val="001013C5"/>
    <w:rsid w:val="00101439"/>
    <w:rsid w:val="00101545"/>
    <w:rsid w:val="001015F3"/>
    <w:rsid w:val="001018D9"/>
    <w:rsid w:val="001018DB"/>
    <w:rsid w:val="00101A47"/>
    <w:rsid w:val="00101D1D"/>
    <w:rsid w:val="00102048"/>
    <w:rsid w:val="0010204D"/>
    <w:rsid w:val="001021BD"/>
    <w:rsid w:val="001021E5"/>
    <w:rsid w:val="00102281"/>
    <w:rsid w:val="001024C8"/>
    <w:rsid w:val="0010253A"/>
    <w:rsid w:val="00102595"/>
    <w:rsid w:val="001025BC"/>
    <w:rsid w:val="0010269F"/>
    <w:rsid w:val="00102759"/>
    <w:rsid w:val="001027C7"/>
    <w:rsid w:val="001027FB"/>
    <w:rsid w:val="0010280F"/>
    <w:rsid w:val="00102828"/>
    <w:rsid w:val="00102B1F"/>
    <w:rsid w:val="00102CF2"/>
    <w:rsid w:val="00102E5D"/>
    <w:rsid w:val="00102E66"/>
    <w:rsid w:val="00102F9C"/>
    <w:rsid w:val="0010301B"/>
    <w:rsid w:val="00103127"/>
    <w:rsid w:val="00103226"/>
    <w:rsid w:val="0010326A"/>
    <w:rsid w:val="001036C4"/>
    <w:rsid w:val="001036F7"/>
    <w:rsid w:val="0010388A"/>
    <w:rsid w:val="001038F1"/>
    <w:rsid w:val="00103A67"/>
    <w:rsid w:val="00103C22"/>
    <w:rsid w:val="00103DEA"/>
    <w:rsid w:val="00103E76"/>
    <w:rsid w:val="00103FFA"/>
    <w:rsid w:val="001041C0"/>
    <w:rsid w:val="001041E9"/>
    <w:rsid w:val="001043C4"/>
    <w:rsid w:val="00104454"/>
    <w:rsid w:val="00104494"/>
    <w:rsid w:val="0010449A"/>
    <w:rsid w:val="0010456B"/>
    <w:rsid w:val="00104681"/>
    <w:rsid w:val="0010482C"/>
    <w:rsid w:val="001048C4"/>
    <w:rsid w:val="00104919"/>
    <w:rsid w:val="00104981"/>
    <w:rsid w:val="001049EB"/>
    <w:rsid w:val="00104A16"/>
    <w:rsid w:val="00104A2B"/>
    <w:rsid w:val="00104C7F"/>
    <w:rsid w:val="00104E1E"/>
    <w:rsid w:val="001050FA"/>
    <w:rsid w:val="00105164"/>
    <w:rsid w:val="0010516A"/>
    <w:rsid w:val="001053F8"/>
    <w:rsid w:val="001056C4"/>
    <w:rsid w:val="00105896"/>
    <w:rsid w:val="001059E5"/>
    <w:rsid w:val="001059F2"/>
    <w:rsid w:val="00105AF2"/>
    <w:rsid w:val="00105C58"/>
    <w:rsid w:val="00105F1C"/>
    <w:rsid w:val="00105F72"/>
    <w:rsid w:val="00105FB5"/>
    <w:rsid w:val="0010605B"/>
    <w:rsid w:val="0010616E"/>
    <w:rsid w:val="00106175"/>
    <w:rsid w:val="001061FF"/>
    <w:rsid w:val="0010621D"/>
    <w:rsid w:val="00106306"/>
    <w:rsid w:val="0010633D"/>
    <w:rsid w:val="00106647"/>
    <w:rsid w:val="00106826"/>
    <w:rsid w:val="0010682E"/>
    <w:rsid w:val="00106915"/>
    <w:rsid w:val="00106950"/>
    <w:rsid w:val="00106A03"/>
    <w:rsid w:val="00106B55"/>
    <w:rsid w:val="00106BF0"/>
    <w:rsid w:val="00107405"/>
    <w:rsid w:val="00107562"/>
    <w:rsid w:val="001075AB"/>
    <w:rsid w:val="001075B2"/>
    <w:rsid w:val="001075D4"/>
    <w:rsid w:val="00107958"/>
    <w:rsid w:val="0010797B"/>
    <w:rsid w:val="001079A0"/>
    <w:rsid w:val="001079E6"/>
    <w:rsid w:val="00107A02"/>
    <w:rsid w:val="00107BCE"/>
    <w:rsid w:val="00107D68"/>
    <w:rsid w:val="00107D88"/>
    <w:rsid w:val="00107DF6"/>
    <w:rsid w:val="00107E39"/>
    <w:rsid w:val="00107E3B"/>
    <w:rsid w:val="00107E91"/>
    <w:rsid w:val="00107ED7"/>
    <w:rsid w:val="00107F42"/>
    <w:rsid w:val="00107F43"/>
    <w:rsid w:val="001100F8"/>
    <w:rsid w:val="0011013E"/>
    <w:rsid w:val="001101BE"/>
    <w:rsid w:val="00110386"/>
    <w:rsid w:val="00110659"/>
    <w:rsid w:val="001106A7"/>
    <w:rsid w:val="001107BE"/>
    <w:rsid w:val="00110D10"/>
    <w:rsid w:val="00110DC2"/>
    <w:rsid w:val="0011101C"/>
    <w:rsid w:val="001115D9"/>
    <w:rsid w:val="0011162E"/>
    <w:rsid w:val="00111653"/>
    <w:rsid w:val="00111697"/>
    <w:rsid w:val="0011176F"/>
    <w:rsid w:val="001117F3"/>
    <w:rsid w:val="00111973"/>
    <w:rsid w:val="00111A0F"/>
    <w:rsid w:val="00111A20"/>
    <w:rsid w:val="00111E41"/>
    <w:rsid w:val="00111EA3"/>
    <w:rsid w:val="00111FA7"/>
    <w:rsid w:val="001120C5"/>
    <w:rsid w:val="001121E9"/>
    <w:rsid w:val="001122B2"/>
    <w:rsid w:val="00112304"/>
    <w:rsid w:val="0011292C"/>
    <w:rsid w:val="001129DC"/>
    <w:rsid w:val="00112C83"/>
    <w:rsid w:val="00112DBC"/>
    <w:rsid w:val="001130D1"/>
    <w:rsid w:val="001130FD"/>
    <w:rsid w:val="001132A8"/>
    <w:rsid w:val="001132C5"/>
    <w:rsid w:val="001133CB"/>
    <w:rsid w:val="001133F5"/>
    <w:rsid w:val="0011350B"/>
    <w:rsid w:val="00113733"/>
    <w:rsid w:val="001139EF"/>
    <w:rsid w:val="00113C4B"/>
    <w:rsid w:val="00113F4C"/>
    <w:rsid w:val="00113F67"/>
    <w:rsid w:val="00113F8D"/>
    <w:rsid w:val="00113FD4"/>
    <w:rsid w:val="0011412A"/>
    <w:rsid w:val="001141FC"/>
    <w:rsid w:val="001144A1"/>
    <w:rsid w:val="001148C5"/>
    <w:rsid w:val="00114A84"/>
    <w:rsid w:val="00114E2B"/>
    <w:rsid w:val="00115093"/>
    <w:rsid w:val="001151E4"/>
    <w:rsid w:val="0011529D"/>
    <w:rsid w:val="001152F6"/>
    <w:rsid w:val="001153AC"/>
    <w:rsid w:val="00115603"/>
    <w:rsid w:val="001156F8"/>
    <w:rsid w:val="0011587C"/>
    <w:rsid w:val="00115ECB"/>
    <w:rsid w:val="00115F3C"/>
    <w:rsid w:val="001160D7"/>
    <w:rsid w:val="00116187"/>
    <w:rsid w:val="001161B6"/>
    <w:rsid w:val="00116363"/>
    <w:rsid w:val="00116402"/>
    <w:rsid w:val="0011644E"/>
    <w:rsid w:val="001164A5"/>
    <w:rsid w:val="001166D0"/>
    <w:rsid w:val="001166DA"/>
    <w:rsid w:val="00116849"/>
    <w:rsid w:val="00116AAE"/>
    <w:rsid w:val="00116D00"/>
    <w:rsid w:val="00117021"/>
    <w:rsid w:val="0011707A"/>
    <w:rsid w:val="00117280"/>
    <w:rsid w:val="0011738B"/>
    <w:rsid w:val="0011739A"/>
    <w:rsid w:val="001174BB"/>
    <w:rsid w:val="001175DA"/>
    <w:rsid w:val="0011795A"/>
    <w:rsid w:val="001179DC"/>
    <w:rsid w:val="00117A3C"/>
    <w:rsid w:val="00117B09"/>
    <w:rsid w:val="00117FAE"/>
    <w:rsid w:val="00117FBA"/>
    <w:rsid w:val="00117FFC"/>
    <w:rsid w:val="00120291"/>
    <w:rsid w:val="00120343"/>
    <w:rsid w:val="00120548"/>
    <w:rsid w:val="001206F8"/>
    <w:rsid w:val="00120C25"/>
    <w:rsid w:val="00120D1F"/>
    <w:rsid w:val="00120E15"/>
    <w:rsid w:val="00120F91"/>
    <w:rsid w:val="00121097"/>
    <w:rsid w:val="001210BA"/>
    <w:rsid w:val="001211ED"/>
    <w:rsid w:val="001211FF"/>
    <w:rsid w:val="00121248"/>
    <w:rsid w:val="0012125A"/>
    <w:rsid w:val="00121260"/>
    <w:rsid w:val="001212ED"/>
    <w:rsid w:val="0012134D"/>
    <w:rsid w:val="00121398"/>
    <w:rsid w:val="00121423"/>
    <w:rsid w:val="0012153A"/>
    <w:rsid w:val="00121562"/>
    <w:rsid w:val="001215AC"/>
    <w:rsid w:val="00121B43"/>
    <w:rsid w:val="00121CCD"/>
    <w:rsid w:val="00121E18"/>
    <w:rsid w:val="0012200D"/>
    <w:rsid w:val="0012226F"/>
    <w:rsid w:val="0012239D"/>
    <w:rsid w:val="00122403"/>
    <w:rsid w:val="001224BA"/>
    <w:rsid w:val="001224EB"/>
    <w:rsid w:val="00122647"/>
    <w:rsid w:val="0012265C"/>
    <w:rsid w:val="001228F0"/>
    <w:rsid w:val="00122AD8"/>
    <w:rsid w:val="00122B58"/>
    <w:rsid w:val="00122E07"/>
    <w:rsid w:val="00122E44"/>
    <w:rsid w:val="00122E4B"/>
    <w:rsid w:val="00122F82"/>
    <w:rsid w:val="00123252"/>
    <w:rsid w:val="001232B2"/>
    <w:rsid w:val="001232D5"/>
    <w:rsid w:val="00123392"/>
    <w:rsid w:val="001235FE"/>
    <w:rsid w:val="001236B1"/>
    <w:rsid w:val="001236F0"/>
    <w:rsid w:val="0012379A"/>
    <w:rsid w:val="00123A6F"/>
    <w:rsid w:val="00123B11"/>
    <w:rsid w:val="00123BBD"/>
    <w:rsid w:val="00124181"/>
    <w:rsid w:val="001241E5"/>
    <w:rsid w:val="00124244"/>
    <w:rsid w:val="001244C3"/>
    <w:rsid w:val="0012465C"/>
    <w:rsid w:val="00124727"/>
    <w:rsid w:val="00124781"/>
    <w:rsid w:val="001247E6"/>
    <w:rsid w:val="001248BC"/>
    <w:rsid w:val="00124941"/>
    <w:rsid w:val="00124A93"/>
    <w:rsid w:val="00124D84"/>
    <w:rsid w:val="00124DEB"/>
    <w:rsid w:val="00124E45"/>
    <w:rsid w:val="00124EA1"/>
    <w:rsid w:val="00125060"/>
    <w:rsid w:val="0012519F"/>
    <w:rsid w:val="00125235"/>
    <w:rsid w:val="00125255"/>
    <w:rsid w:val="001252C5"/>
    <w:rsid w:val="0012540E"/>
    <w:rsid w:val="00125428"/>
    <w:rsid w:val="0012543B"/>
    <w:rsid w:val="001254DD"/>
    <w:rsid w:val="001254EC"/>
    <w:rsid w:val="0012557B"/>
    <w:rsid w:val="0012562E"/>
    <w:rsid w:val="001257B6"/>
    <w:rsid w:val="001257F1"/>
    <w:rsid w:val="001258E6"/>
    <w:rsid w:val="001259F8"/>
    <w:rsid w:val="00125CE4"/>
    <w:rsid w:val="00125D67"/>
    <w:rsid w:val="00125E6D"/>
    <w:rsid w:val="00125E9E"/>
    <w:rsid w:val="00125FF5"/>
    <w:rsid w:val="001261A9"/>
    <w:rsid w:val="0012620B"/>
    <w:rsid w:val="0012622B"/>
    <w:rsid w:val="00126434"/>
    <w:rsid w:val="0012659E"/>
    <w:rsid w:val="00126681"/>
    <w:rsid w:val="001266E6"/>
    <w:rsid w:val="00126A86"/>
    <w:rsid w:val="00126EE2"/>
    <w:rsid w:val="00126F4E"/>
    <w:rsid w:val="00126F66"/>
    <w:rsid w:val="0012705A"/>
    <w:rsid w:val="001272C0"/>
    <w:rsid w:val="00127376"/>
    <w:rsid w:val="001273F7"/>
    <w:rsid w:val="00127418"/>
    <w:rsid w:val="00127A82"/>
    <w:rsid w:val="00127C51"/>
    <w:rsid w:val="00127CF8"/>
    <w:rsid w:val="00127D0C"/>
    <w:rsid w:val="00127E2C"/>
    <w:rsid w:val="00127F50"/>
    <w:rsid w:val="00127F66"/>
    <w:rsid w:val="00130067"/>
    <w:rsid w:val="001300DE"/>
    <w:rsid w:val="00130210"/>
    <w:rsid w:val="001302C3"/>
    <w:rsid w:val="0013030A"/>
    <w:rsid w:val="00130394"/>
    <w:rsid w:val="001304B7"/>
    <w:rsid w:val="00130645"/>
    <w:rsid w:val="00130777"/>
    <w:rsid w:val="0013095D"/>
    <w:rsid w:val="001309CD"/>
    <w:rsid w:val="001309E3"/>
    <w:rsid w:val="00130ABF"/>
    <w:rsid w:val="00130AC7"/>
    <w:rsid w:val="00130DCF"/>
    <w:rsid w:val="00130DEB"/>
    <w:rsid w:val="00130E88"/>
    <w:rsid w:val="0013110D"/>
    <w:rsid w:val="0013113A"/>
    <w:rsid w:val="00131147"/>
    <w:rsid w:val="00131232"/>
    <w:rsid w:val="001313A5"/>
    <w:rsid w:val="0013158D"/>
    <w:rsid w:val="00131A8C"/>
    <w:rsid w:val="00131B15"/>
    <w:rsid w:val="00131B60"/>
    <w:rsid w:val="00131B69"/>
    <w:rsid w:val="00131C42"/>
    <w:rsid w:val="001321BE"/>
    <w:rsid w:val="00132321"/>
    <w:rsid w:val="00132473"/>
    <w:rsid w:val="00132484"/>
    <w:rsid w:val="001324D4"/>
    <w:rsid w:val="001326F9"/>
    <w:rsid w:val="001327AB"/>
    <w:rsid w:val="00132920"/>
    <w:rsid w:val="00132A27"/>
    <w:rsid w:val="00132AD4"/>
    <w:rsid w:val="00132B15"/>
    <w:rsid w:val="00132CFB"/>
    <w:rsid w:val="00132DAE"/>
    <w:rsid w:val="00133180"/>
    <w:rsid w:val="001331E9"/>
    <w:rsid w:val="0013349E"/>
    <w:rsid w:val="0013388F"/>
    <w:rsid w:val="001338E4"/>
    <w:rsid w:val="00133AFE"/>
    <w:rsid w:val="00133B74"/>
    <w:rsid w:val="00133BEF"/>
    <w:rsid w:val="00133C3C"/>
    <w:rsid w:val="00133CA8"/>
    <w:rsid w:val="00133D25"/>
    <w:rsid w:val="00133D78"/>
    <w:rsid w:val="00133EBB"/>
    <w:rsid w:val="00133F89"/>
    <w:rsid w:val="0013414B"/>
    <w:rsid w:val="001341F1"/>
    <w:rsid w:val="001342B3"/>
    <w:rsid w:val="0013431E"/>
    <w:rsid w:val="001343B9"/>
    <w:rsid w:val="0013454C"/>
    <w:rsid w:val="00134A00"/>
    <w:rsid w:val="00134B8C"/>
    <w:rsid w:val="00134BE6"/>
    <w:rsid w:val="00134DE1"/>
    <w:rsid w:val="00134E6C"/>
    <w:rsid w:val="00134F7F"/>
    <w:rsid w:val="001350E6"/>
    <w:rsid w:val="0013523F"/>
    <w:rsid w:val="001352A2"/>
    <w:rsid w:val="001352A6"/>
    <w:rsid w:val="0013535D"/>
    <w:rsid w:val="0013544E"/>
    <w:rsid w:val="0013567A"/>
    <w:rsid w:val="0013570F"/>
    <w:rsid w:val="001357FA"/>
    <w:rsid w:val="00135FBD"/>
    <w:rsid w:val="00135FC2"/>
    <w:rsid w:val="00136161"/>
    <w:rsid w:val="0013639C"/>
    <w:rsid w:val="00136652"/>
    <w:rsid w:val="00136874"/>
    <w:rsid w:val="001369BB"/>
    <w:rsid w:val="00136A44"/>
    <w:rsid w:val="00136C26"/>
    <w:rsid w:val="00136CBC"/>
    <w:rsid w:val="00136E3C"/>
    <w:rsid w:val="00136EA9"/>
    <w:rsid w:val="00137479"/>
    <w:rsid w:val="001375AF"/>
    <w:rsid w:val="001376C9"/>
    <w:rsid w:val="001376DA"/>
    <w:rsid w:val="00137A30"/>
    <w:rsid w:val="00137CEF"/>
    <w:rsid w:val="00137EA2"/>
    <w:rsid w:val="00137F02"/>
    <w:rsid w:val="00140123"/>
    <w:rsid w:val="001401D5"/>
    <w:rsid w:val="00140226"/>
    <w:rsid w:val="001404D2"/>
    <w:rsid w:val="0014056B"/>
    <w:rsid w:val="001405CB"/>
    <w:rsid w:val="00140659"/>
    <w:rsid w:val="001406CA"/>
    <w:rsid w:val="001406D8"/>
    <w:rsid w:val="00140B1A"/>
    <w:rsid w:val="00140C50"/>
    <w:rsid w:val="00140D3B"/>
    <w:rsid w:val="00140F6E"/>
    <w:rsid w:val="00140FD2"/>
    <w:rsid w:val="00141023"/>
    <w:rsid w:val="00141115"/>
    <w:rsid w:val="0014117B"/>
    <w:rsid w:val="0014125F"/>
    <w:rsid w:val="00141318"/>
    <w:rsid w:val="00141400"/>
    <w:rsid w:val="0014157A"/>
    <w:rsid w:val="001415C2"/>
    <w:rsid w:val="0014161F"/>
    <w:rsid w:val="0014163D"/>
    <w:rsid w:val="00141676"/>
    <w:rsid w:val="001416A5"/>
    <w:rsid w:val="001416E8"/>
    <w:rsid w:val="00141722"/>
    <w:rsid w:val="001417DC"/>
    <w:rsid w:val="00141A41"/>
    <w:rsid w:val="00141ACC"/>
    <w:rsid w:val="00141B5D"/>
    <w:rsid w:val="00141C08"/>
    <w:rsid w:val="00141C22"/>
    <w:rsid w:val="00141D42"/>
    <w:rsid w:val="00141DBF"/>
    <w:rsid w:val="00141EAD"/>
    <w:rsid w:val="0014218E"/>
    <w:rsid w:val="0014253E"/>
    <w:rsid w:val="00142672"/>
    <w:rsid w:val="001427CB"/>
    <w:rsid w:val="00142812"/>
    <w:rsid w:val="0014286A"/>
    <w:rsid w:val="001428AD"/>
    <w:rsid w:val="00142CD2"/>
    <w:rsid w:val="00142CFC"/>
    <w:rsid w:val="00142D43"/>
    <w:rsid w:val="0014300B"/>
    <w:rsid w:val="0014329B"/>
    <w:rsid w:val="00143398"/>
    <w:rsid w:val="001433D1"/>
    <w:rsid w:val="00143405"/>
    <w:rsid w:val="0014347A"/>
    <w:rsid w:val="00143538"/>
    <w:rsid w:val="001435FA"/>
    <w:rsid w:val="00143AE5"/>
    <w:rsid w:val="00143BBE"/>
    <w:rsid w:val="00143CDE"/>
    <w:rsid w:val="00144429"/>
    <w:rsid w:val="00144756"/>
    <w:rsid w:val="00144AF2"/>
    <w:rsid w:val="00144B64"/>
    <w:rsid w:val="00144BA4"/>
    <w:rsid w:val="00144DCC"/>
    <w:rsid w:val="00144F95"/>
    <w:rsid w:val="00144FD2"/>
    <w:rsid w:val="00145621"/>
    <w:rsid w:val="001458D4"/>
    <w:rsid w:val="00145AEB"/>
    <w:rsid w:val="00145CAB"/>
    <w:rsid w:val="00145FB3"/>
    <w:rsid w:val="0014616A"/>
    <w:rsid w:val="00146466"/>
    <w:rsid w:val="00146709"/>
    <w:rsid w:val="00146B4A"/>
    <w:rsid w:val="00146B5D"/>
    <w:rsid w:val="00146B6F"/>
    <w:rsid w:val="00146B92"/>
    <w:rsid w:val="00146BE3"/>
    <w:rsid w:val="00146EAE"/>
    <w:rsid w:val="00146EB6"/>
    <w:rsid w:val="00146ECE"/>
    <w:rsid w:val="00146F13"/>
    <w:rsid w:val="00146F41"/>
    <w:rsid w:val="00147169"/>
    <w:rsid w:val="001471F7"/>
    <w:rsid w:val="001476D9"/>
    <w:rsid w:val="0014774E"/>
    <w:rsid w:val="00147774"/>
    <w:rsid w:val="00147AA1"/>
    <w:rsid w:val="00147C0E"/>
    <w:rsid w:val="00147D69"/>
    <w:rsid w:val="00150073"/>
    <w:rsid w:val="00150093"/>
    <w:rsid w:val="00150094"/>
    <w:rsid w:val="0015010C"/>
    <w:rsid w:val="001502DF"/>
    <w:rsid w:val="00150505"/>
    <w:rsid w:val="001505CD"/>
    <w:rsid w:val="0015071F"/>
    <w:rsid w:val="00150776"/>
    <w:rsid w:val="00150960"/>
    <w:rsid w:val="00150C26"/>
    <w:rsid w:val="00150F75"/>
    <w:rsid w:val="00150FD7"/>
    <w:rsid w:val="0015101B"/>
    <w:rsid w:val="00151126"/>
    <w:rsid w:val="001512B4"/>
    <w:rsid w:val="0015137E"/>
    <w:rsid w:val="001513A8"/>
    <w:rsid w:val="001515A5"/>
    <w:rsid w:val="001515C7"/>
    <w:rsid w:val="001516A9"/>
    <w:rsid w:val="00151740"/>
    <w:rsid w:val="0015195A"/>
    <w:rsid w:val="00151978"/>
    <w:rsid w:val="00151CB7"/>
    <w:rsid w:val="00151CD7"/>
    <w:rsid w:val="00151E2F"/>
    <w:rsid w:val="00151EC4"/>
    <w:rsid w:val="00151F70"/>
    <w:rsid w:val="00152009"/>
    <w:rsid w:val="0015215F"/>
    <w:rsid w:val="001523E2"/>
    <w:rsid w:val="001524CC"/>
    <w:rsid w:val="001524F3"/>
    <w:rsid w:val="00152588"/>
    <w:rsid w:val="00152A1C"/>
    <w:rsid w:val="00152AAA"/>
    <w:rsid w:val="00152ACA"/>
    <w:rsid w:val="00152AFE"/>
    <w:rsid w:val="00152B31"/>
    <w:rsid w:val="00152B69"/>
    <w:rsid w:val="00152C85"/>
    <w:rsid w:val="00152DA1"/>
    <w:rsid w:val="00152DC5"/>
    <w:rsid w:val="00152FD3"/>
    <w:rsid w:val="001531EC"/>
    <w:rsid w:val="0015323E"/>
    <w:rsid w:val="001534BB"/>
    <w:rsid w:val="001536CA"/>
    <w:rsid w:val="0015376D"/>
    <w:rsid w:val="001537CA"/>
    <w:rsid w:val="00153814"/>
    <w:rsid w:val="0015383C"/>
    <w:rsid w:val="00153EFD"/>
    <w:rsid w:val="00153F95"/>
    <w:rsid w:val="00154037"/>
    <w:rsid w:val="001541E0"/>
    <w:rsid w:val="00154259"/>
    <w:rsid w:val="001543C9"/>
    <w:rsid w:val="0015441C"/>
    <w:rsid w:val="001545D4"/>
    <w:rsid w:val="00154938"/>
    <w:rsid w:val="00154A5B"/>
    <w:rsid w:val="00154A98"/>
    <w:rsid w:val="00154B0E"/>
    <w:rsid w:val="00154B1F"/>
    <w:rsid w:val="00154DD1"/>
    <w:rsid w:val="00154EC6"/>
    <w:rsid w:val="00154EF0"/>
    <w:rsid w:val="00154FAD"/>
    <w:rsid w:val="00154FCA"/>
    <w:rsid w:val="0015522A"/>
    <w:rsid w:val="0015527C"/>
    <w:rsid w:val="00155494"/>
    <w:rsid w:val="00155569"/>
    <w:rsid w:val="00155582"/>
    <w:rsid w:val="001555E5"/>
    <w:rsid w:val="0015573E"/>
    <w:rsid w:val="0015575E"/>
    <w:rsid w:val="00155921"/>
    <w:rsid w:val="00155AF5"/>
    <w:rsid w:val="00155C60"/>
    <w:rsid w:val="00155CAB"/>
    <w:rsid w:val="00155CBC"/>
    <w:rsid w:val="00155E20"/>
    <w:rsid w:val="00155E72"/>
    <w:rsid w:val="00155FA9"/>
    <w:rsid w:val="001564D4"/>
    <w:rsid w:val="001565B2"/>
    <w:rsid w:val="0015660D"/>
    <w:rsid w:val="0015670C"/>
    <w:rsid w:val="0015674A"/>
    <w:rsid w:val="0015693D"/>
    <w:rsid w:val="001569F3"/>
    <w:rsid w:val="00156ADD"/>
    <w:rsid w:val="00156B33"/>
    <w:rsid w:val="00156B39"/>
    <w:rsid w:val="00156C43"/>
    <w:rsid w:val="00156D26"/>
    <w:rsid w:val="00156EDD"/>
    <w:rsid w:val="00156F2A"/>
    <w:rsid w:val="0015725F"/>
    <w:rsid w:val="00157341"/>
    <w:rsid w:val="001576EE"/>
    <w:rsid w:val="001576FD"/>
    <w:rsid w:val="00157846"/>
    <w:rsid w:val="00157967"/>
    <w:rsid w:val="00157A2E"/>
    <w:rsid w:val="00157A7E"/>
    <w:rsid w:val="00157AB5"/>
    <w:rsid w:val="00157ABF"/>
    <w:rsid w:val="00157AD0"/>
    <w:rsid w:val="00157C74"/>
    <w:rsid w:val="00157DA0"/>
    <w:rsid w:val="00157DC4"/>
    <w:rsid w:val="00157E5D"/>
    <w:rsid w:val="00157F7F"/>
    <w:rsid w:val="0016001E"/>
    <w:rsid w:val="0016012E"/>
    <w:rsid w:val="0016013D"/>
    <w:rsid w:val="001607DD"/>
    <w:rsid w:val="00160928"/>
    <w:rsid w:val="0016099D"/>
    <w:rsid w:val="00160AD2"/>
    <w:rsid w:val="00160B37"/>
    <w:rsid w:val="00160B63"/>
    <w:rsid w:val="00160BC6"/>
    <w:rsid w:val="00160C31"/>
    <w:rsid w:val="00160DD0"/>
    <w:rsid w:val="00160E7F"/>
    <w:rsid w:val="00160EDA"/>
    <w:rsid w:val="001610D5"/>
    <w:rsid w:val="001613A4"/>
    <w:rsid w:val="00161574"/>
    <w:rsid w:val="00161839"/>
    <w:rsid w:val="0016183E"/>
    <w:rsid w:val="001619FF"/>
    <w:rsid w:val="00161A57"/>
    <w:rsid w:val="00161AB6"/>
    <w:rsid w:val="00161BF2"/>
    <w:rsid w:val="00161C0D"/>
    <w:rsid w:val="00161D84"/>
    <w:rsid w:val="00161E9D"/>
    <w:rsid w:val="00161F0E"/>
    <w:rsid w:val="00161F64"/>
    <w:rsid w:val="00162008"/>
    <w:rsid w:val="001621E7"/>
    <w:rsid w:val="00162624"/>
    <w:rsid w:val="0016280C"/>
    <w:rsid w:val="00162903"/>
    <w:rsid w:val="00162A83"/>
    <w:rsid w:val="00162C93"/>
    <w:rsid w:val="00162E48"/>
    <w:rsid w:val="00162E53"/>
    <w:rsid w:val="00162F0D"/>
    <w:rsid w:val="00162F97"/>
    <w:rsid w:val="00163104"/>
    <w:rsid w:val="001633B4"/>
    <w:rsid w:val="00163497"/>
    <w:rsid w:val="00163533"/>
    <w:rsid w:val="001635CF"/>
    <w:rsid w:val="0016367A"/>
    <w:rsid w:val="001637AC"/>
    <w:rsid w:val="00163982"/>
    <w:rsid w:val="001639F6"/>
    <w:rsid w:val="00163A5E"/>
    <w:rsid w:val="00163B91"/>
    <w:rsid w:val="00163F54"/>
    <w:rsid w:val="00164059"/>
    <w:rsid w:val="0016443F"/>
    <w:rsid w:val="001645A1"/>
    <w:rsid w:val="0016471E"/>
    <w:rsid w:val="001647E5"/>
    <w:rsid w:val="001648BE"/>
    <w:rsid w:val="00164ADA"/>
    <w:rsid w:val="00164BE4"/>
    <w:rsid w:val="00164C16"/>
    <w:rsid w:val="00164CD6"/>
    <w:rsid w:val="001650D4"/>
    <w:rsid w:val="00165115"/>
    <w:rsid w:val="00165387"/>
    <w:rsid w:val="001654F7"/>
    <w:rsid w:val="001655DC"/>
    <w:rsid w:val="001657C8"/>
    <w:rsid w:val="0016589F"/>
    <w:rsid w:val="001658C0"/>
    <w:rsid w:val="00165BB7"/>
    <w:rsid w:val="00165D0B"/>
    <w:rsid w:val="00165DEC"/>
    <w:rsid w:val="00165EEC"/>
    <w:rsid w:val="00165FCC"/>
    <w:rsid w:val="00166019"/>
    <w:rsid w:val="00166299"/>
    <w:rsid w:val="001662E7"/>
    <w:rsid w:val="00166323"/>
    <w:rsid w:val="00166492"/>
    <w:rsid w:val="0016660A"/>
    <w:rsid w:val="0016665E"/>
    <w:rsid w:val="001667BD"/>
    <w:rsid w:val="00166982"/>
    <w:rsid w:val="00166A90"/>
    <w:rsid w:val="00166AC7"/>
    <w:rsid w:val="00166AF5"/>
    <w:rsid w:val="00166D36"/>
    <w:rsid w:val="00166D3C"/>
    <w:rsid w:val="00166F39"/>
    <w:rsid w:val="001670A5"/>
    <w:rsid w:val="0016716C"/>
    <w:rsid w:val="00167374"/>
    <w:rsid w:val="0016747C"/>
    <w:rsid w:val="001674C9"/>
    <w:rsid w:val="00167751"/>
    <w:rsid w:val="00167EE4"/>
    <w:rsid w:val="00167FAF"/>
    <w:rsid w:val="001701CA"/>
    <w:rsid w:val="0017033C"/>
    <w:rsid w:val="001704F2"/>
    <w:rsid w:val="00170585"/>
    <w:rsid w:val="001705EE"/>
    <w:rsid w:val="00170651"/>
    <w:rsid w:val="001707F9"/>
    <w:rsid w:val="001708EA"/>
    <w:rsid w:val="00170A13"/>
    <w:rsid w:val="00170A44"/>
    <w:rsid w:val="00170AF8"/>
    <w:rsid w:val="00170C1C"/>
    <w:rsid w:val="00170C32"/>
    <w:rsid w:val="00170DCF"/>
    <w:rsid w:val="00171003"/>
    <w:rsid w:val="00171022"/>
    <w:rsid w:val="001711C9"/>
    <w:rsid w:val="00171334"/>
    <w:rsid w:val="001714D7"/>
    <w:rsid w:val="0017164B"/>
    <w:rsid w:val="0017167F"/>
    <w:rsid w:val="0017174E"/>
    <w:rsid w:val="0017194D"/>
    <w:rsid w:val="001719DD"/>
    <w:rsid w:val="00171AF5"/>
    <w:rsid w:val="00171C01"/>
    <w:rsid w:val="00171C29"/>
    <w:rsid w:val="00171C39"/>
    <w:rsid w:val="00171CF2"/>
    <w:rsid w:val="00171D1E"/>
    <w:rsid w:val="00171D89"/>
    <w:rsid w:val="00171DB2"/>
    <w:rsid w:val="00171DB8"/>
    <w:rsid w:val="00171DF3"/>
    <w:rsid w:val="00171F3F"/>
    <w:rsid w:val="001720BE"/>
    <w:rsid w:val="00172183"/>
    <w:rsid w:val="001721A7"/>
    <w:rsid w:val="001721D3"/>
    <w:rsid w:val="00172240"/>
    <w:rsid w:val="00172367"/>
    <w:rsid w:val="00172578"/>
    <w:rsid w:val="0017279A"/>
    <w:rsid w:val="001727FB"/>
    <w:rsid w:val="00172A76"/>
    <w:rsid w:val="00172A8A"/>
    <w:rsid w:val="00172BEB"/>
    <w:rsid w:val="00172BF3"/>
    <w:rsid w:val="00172DA1"/>
    <w:rsid w:val="00172F95"/>
    <w:rsid w:val="00173084"/>
    <w:rsid w:val="001732BB"/>
    <w:rsid w:val="0017334E"/>
    <w:rsid w:val="001735D7"/>
    <w:rsid w:val="00173767"/>
    <w:rsid w:val="00173831"/>
    <w:rsid w:val="0017388F"/>
    <w:rsid w:val="001738A1"/>
    <w:rsid w:val="0017394D"/>
    <w:rsid w:val="00173A04"/>
    <w:rsid w:val="00173B7C"/>
    <w:rsid w:val="00173B88"/>
    <w:rsid w:val="00173D5A"/>
    <w:rsid w:val="00173DBC"/>
    <w:rsid w:val="00173E4F"/>
    <w:rsid w:val="00173E67"/>
    <w:rsid w:val="0017421C"/>
    <w:rsid w:val="001742FE"/>
    <w:rsid w:val="00174732"/>
    <w:rsid w:val="001747B5"/>
    <w:rsid w:val="001748A6"/>
    <w:rsid w:val="001748E2"/>
    <w:rsid w:val="00174D40"/>
    <w:rsid w:val="00174F6E"/>
    <w:rsid w:val="00175146"/>
    <w:rsid w:val="00175187"/>
    <w:rsid w:val="00175357"/>
    <w:rsid w:val="001756F7"/>
    <w:rsid w:val="00175817"/>
    <w:rsid w:val="0017584A"/>
    <w:rsid w:val="001759F1"/>
    <w:rsid w:val="00175A9D"/>
    <w:rsid w:val="00175ACC"/>
    <w:rsid w:val="00175B2E"/>
    <w:rsid w:val="00175FF8"/>
    <w:rsid w:val="001760CD"/>
    <w:rsid w:val="001762F3"/>
    <w:rsid w:val="00176433"/>
    <w:rsid w:val="0017657B"/>
    <w:rsid w:val="00176652"/>
    <w:rsid w:val="0017680C"/>
    <w:rsid w:val="00176880"/>
    <w:rsid w:val="00176ABE"/>
    <w:rsid w:val="00176AEE"/>
    <w:rsid w:val="00176B1E"/>
    <w:rsid w:val="00176C2E"/>
    <w:rsid w:val="00176C61"/>
    <w:rsid w:val="00176F1B"/>
    <w:rsid w:val="00176F33"/>
    <w:rsid w:val="00176FCB"/>
    <w:rsid w:val="00177095"/>
    <w:rsid w:val="001771A9"/>
    <w:rsid w:val="001771E8"/>
    <w:rsid w:val="00177205"/>
    <w:rsid w:val="0017723B"/>
    <w:rsid w:val="0017756D"/>
    <w:rsid w:val="00177718"/>
    <w:rsid w:val="001777AD"/>
    <w:rsid w:val="001777EE"/>
    <w:rsid w:val="001778E2"/>
    <w:rsid w:val="001779EC"/>
    <w:rsid w:val="00177C1F"/>
    <w:rsid w:val="00177CED"/>
    <w:rsid w:val="00177E51"/>
    <w:rsid w:val="00177F06"/>
    <w:rsid w:val="00177FE0"/>
    <w:rsid w:val="00177FF0"/>
    <w:rsid w:val="00180431"/>
    <w:rsid w:val="00180481"/>
    <w:rsid w:val="0018077F"/>
    <w:rsid w:val="0018078B"/>
    <w:rsid w:val="001807ED"/>
    <w:rsid w:val="001808CE"/>
    <w:rsid w:val="00180B0E"/>
    <w:rsid w:val="00180C44"/>
    <w:rsid w:val="00180E44"/>
    <w:rsid w:val="00180E94"/>
    <w:rsid w:val="0018101F"/>
    <w:rsid w:val="001810EF"/>
    <w:rsid w:val="00181150"/>
    <w:rsid w:val="001814F9"/>
    <w:rsid w:val="00181578"/>
    <w:rsid w:val="00181761"/>
    <w:rsid w:val="0018176D"/>
    <w:rsid w:val="001817BD"/>
    <w:rsid w:val="00181928"/>
    <w:rsid w:val="00181977"/>
    <w:rsid w:val="00181980"/>
    <w:rsid w:val="001819DC"/>
    <w:rsid w:val="00181B69"/>
    <w:rsid w:val="00181C13"/>
    <w:rsid w:val="00181F0B"/>
    <w:rsid w:val="00182136"/>
    <w:rsid w:val="00182138"/>
    <w:rsid w:val="001823B5"/>
    <w:rsid w:val="001823CA"/>
    <w:rsid w:val="001829CE"/>
    <w:rsid w:val="00182A17"/>
    <w:rsid w:val="00182B54"/>
    <w:rsid w:val="00182C07"/>
    <w:rsid w:val="00182D09"/>
    <w:rsid w:val="00182E48"/>
    <w:rsid w:val="00182F47"/>
    <w:rsid w:val="00182FAB"/>
    <w:rsid w:val="00183066"/>
    <w:rsid w:val="0018329F"/>
    <w:rsid w:val="0018333D"/>
    <w:rsid w:val="00183341"/>
    <w:rsid w:val="0018343B"/>
    <w:rsid w:val="001836D1"/>
    <w:rsid w:val="00183876"/>
    <w:rsid w:val="00183AB6"/>
    <w:rsid w:val="00183F62"/>
    <w:rsid w:val="0018407E"/>
    <w:rsid w:val="00184143"/>
    <w:rsid w:val="00184203"/>
    <w:rsid w:val="00184256"/>
    <w:rsid w:val="001842DC"/>
    <w:rsid w:val="001842DD"/>
    <w:rsid w:val="001842E8"/>
    <w:rsid w:val="001843E9"/>
    <w:rsid w:val="001844D5"/>
    <w:rsid w:val="00184574"/>
    <w:rsid w:val="001845E5"/>
    <w:rsid w:val="00184751"/>
    <w:rsid w:val="00184797"/>
    <w:rsid w:val="001847C4"/>
    <w:rsid w:val="001848C9"/>
    <w:rsid w:val="001848D6"/>
    <w:rsid w:val="001849E2"/>
    <w:rsid w:val="00184A50"/>
    <w:rsid w:val="00184B69"/>
    <w:rsid w:val="00184FBF"/>
    <w:rsid w:val="00185171"/>
    <w:rsid w:val="001851EE"/>
    <w:rsid w:val="00185346"/>
    <w:rsid w:val="0018559F"/>
    <w:rsid w:val="001855B5"/>
    <w:rsid w:val="001855E3"/>
    <w:rsid w:val="00185612"/>
    <w:rsid w:val="001856AF"/>
    <w:rsid w:val="0018576C"/>
    <w:rsid w:val="001857F9"/>
    <w:rsid w:val="0018585A"/>
    <w:rsid w:val="0018585B"/>
    <w:rsid w:val="001858C2"/>
    <w:rsid w:val="00185A84"/>
    <w:rsid w:val="00185E1A"/>
    <w:rsid w:val="00185F54"/>
    <w:rsid w:val="0018613D"/>
    <w:rsid w:val="00186197"/>
    <w:rsid w:val="00186633"/>
    <w:rsid w:val="00186665"/>
    <w:rsid w:val="001866C7"/>
    <w:rsid w:val="0018679A"/>
    <w:rsid w:val="0018686A"/>
    <w:rsid w:val="00186A9A"/>
    <w:rsid w:val="00186ADE"/>
    <w:rsid w:val="00186B20"/>
    <w:rsid w:val="00186DAA"/>
    <w:rsid w:val="00186DFD"/>
    <w:rsid w:val="00186E71"/>
    <w:rsid w:val="00186EBD"/>
    <w:rsid w:val="00186FF1"/>
    <w:rsid w:val="00186FF8"/>
    <w:rsid w:val="0018721A"/>
    <w:rsid w:val="0018738A"/>
    <w:rsid w:val="001873B1"/>
    <w:rsid w:val="001877DE"/>
    <w:rsid w:val="001878D2"/>
    <w:rsid w:val="00187A87"/>
    <w:rsid w:val="00187B6D"/>
    <w:rsid w:val="00187EB5"/>
    <w:rsid w:val="00187FEB"/>
    <w:rsid w:val="001904D0"/>
    <w:rsid w:val="001905BB"/>
    <w:rsid w:val="0019064B"/>
    <w:rsid w:val="00190673"/>
    <w:rsid w:val="0019081D"/>
    <w:rsid w:val="00190837"/>
    <w:rsid w:val="0019098E"/>
    <w:rsid w:val="00190EFA"/>
    <w:rsid w:val="00190F46"/>
    <w:rsid w:val="001910B9"/>
    <w:rsid w:val="00191103"/>
    <w:rsid w:val="00191162"/>
    <w:rsid w:val="00191176"/>
    <w:rsid w:val="00191436"/>
    <w:rsid w:val="0019143A"/>
    <w:rsid w:val="00191573"/>
    <w:rsid w:val="0019178A"/>
    <w:rsid w:val="00191812"/>
    <w:rsid w:val="001919A4"/>
    <w:rsid w:val="00191BFA"/>
    <w:rsid w:val="00191C1A"/>
    <w:rsid w:val="00191C87"/>
    <w:rsid w:val="00191DF3"/>
    <w:rsid w:val="00192087"/>
    <w:rsid w:val="00192101"/>
    <w:rsid w:val="0019210A"/>
    <w:rsid w:val="001921A4"/>
    <w:rsid w:val="00192383"/>
    <w:rsid w:val="0019246B"/>
    <w:rsid w:val="001924D8"/>
    <w:rsid w:val="001929CF"/>
    <w:rsid w:val="001929D2"/>
    <w:rsid w:val="00192ACD"/>
    <w:rsid w:val="00192AFD"/>
    <w:rsid w:val="00192B63"/>
    <w:rsid w:val="00192DEF"/>
    <w:rsid w:val="00192DF9"/>
    <w:rsid w:val="00192E87"/>
    <w:rsid w:val="001931EA"/>
    <w:rsid w:val="00193226"/>
    <w:rsid w:val="00193252"/>
    <w:rsid w:val="00193262"/>
    <w:rsid w:val="0019347A"/>
    <w:rsid w:val="001934C7"/>
    <w:rsid w:val="00193680"/>
    <w:rsid w:val="001937D9"/>
    <w:rsid w:val="00193968"/>
    <w:rsid w:val="00193CF5"/>
    <w:rsid w:val="00193E78"/>
    <w:rsid w:val="00194001"/>
    <w:rsid w:val="0019418A"/>
    <w:rsid w:val="0019434D"/>
    <w:rsid w:val="00194433"/>
    <w:rsid w:val="00194551"/>
    <w:rsid w:val="001945BC"/>
    <w:rsid w:val="001945DF"/>
    <w:rsid w:val="001946AA"/>
    <w:rsid w:val="001946B5"/>
    <w:rsid w:val="001946BA"/>
    <w:rsid w:val="00194707"/>
    <w:rsid w:val="001947E9"/>
    <w:rsid w:val="0019495C"/>
    <w:rsid w:val="00194A13"/>
    <w:rsid w:val="00194B25"/>
    <w:rsid w:val="00194B2C"/>
    <w:rsid w:val="00194D76"/>
    <w:rsid w:val="00194E0F"/>
    <w:rsid w:val="0019521F"/>
    <w:rsid w:val="00195289"/>
    <w:rsid w:val="0019539E"/>
    <w:rsid w:val="0019540D"/>
    <w:rsid w:val="001954C8"/>
    <w:rsid w:val="001956C1"/>
    <w:rsid w:val="001957E3"/>
    <w:rsid w:val="001957EF"/>
    <w:rsid w:val="001957FF"/>
    <w:rsid w:val="001958A1"/>
    <w:rsid w:val="00195AE5"/>
    <w:rsid w:val="00195B26"/>
    <w:rsid w:val="00195BC5"/>
    <w:rsid w:val="00195D7E"/>
    <w:rsid w:val="00195F89"/>
    <w:rsid w:val="00195FE8"/>
    <w:rsid w:val="001960AF"/>
    <w:rsid w:val="00196276"/>
    <w:rsid w:val="001962BD"/>
    <w:rsid w:val="0019637D"/>
    <w:rsid w:val="0019643A"/>
    <w:rsid w:val="0019643C"/>
    <w:rsid w:val="00196473"/>
    <w:rsid w:val="001964BB"/>
    <w:rsid w:val="00196507"/>
    <w:rsid w:val="0019660C"/>
    <w:rsid w:val="001969E6"/>
    <w:rsid w:val="00196B9A"/>
    <w:rsid w:val="00196E09"/>
    <w:rsid w:val="00196F20"/>
    <w:rsid w:val="00196F31"/>
    <w:rsid w:val="00196FBA"/>
    <w:rsid w:val="00197061"/>
    <w:rsid w:val="00197210"/>
    <w:rsid w:val="0019724E"/>
    <w:rsid w:val="0019738E"/>
    <w:rsid w:val="0019740E"/>
    <w:rsid w:val="0019794A"/>
    <w:rsid w:val="00197A08"/>
    <w:rsid w:val="00197A37"/>
    <w:rsid w:val="00197B51"/>
    <w:rsid w:val="00197C40"/>
    <w:rsid w:val="00197EA7"/>
    <w:rsid w:val="00197F0C"/>
    <w:rsid w:val="001A007D"/>
    <w:rsid w:val="001A0082"/>
    <w:rsid w:val="001A00CF"/>
    <w:rsid w:val="001A01DA"/>
    <w:rsid w:val="001A020A"/>
    <w:rsid w:val="001A049B"/>
    <w:rsid w:val="001A07DC"/>
    <w:rsid w:val="001A09C8"/>
    <w:rsid w:val="001A0A66"/>
    <w:rsid w:val="001A0B68"/>
    <w:rsid w:val="001A0DC7"/>
    <w:rsid w:val="001A0E34"/>
    <w:rsid w:val="001A0E54"/>
    <w:rsid w:val="001A0E73"/>
    <w:rsid w:val="001A0ED5"/>
    <w:rsid w:val="001A0EFC"/>
    <w:rsid w:val="001A10C3"/>
    <w:rsid w:val="001A1224"/>
    <w:rsid w:val="001A12B5"/>
    <w:rsid w:val="001A1416"/>
    <w:rsid w:val="001A1535"/>
    <w:rsid w:val="001A1703"/>
    <w:rsid w:val="001A1A29"/>
    <w:rsid w:val="001A1B9C"/>
    <w:rsid w:val="001A1BB8"/>
    <w:rsid w:val="001A1CA4"/>
    <w:rsid w:val="001A1F5F"/>
    <w:rsid w:val="001A2318"/>
    <w:rsid w:val="001A23F0"/>
    <w:rsid w:val="001A2541"/>
    <w:rsid w:val="001A2743"/>
    <w:rsid w:val="001A2757"/>
    <w:rsid w:val="001A2823"/>
    <w:rsid w:val="001A28AF"/>
    <w:rsid w:val="001A2D55"/>
    <w:rsid w:val="001A2EBC"/>
    <w:rsid w:val="001A2FDD"/>
    <w:rsid w:val="001A327A"/>
    <w:rsid w:val="001A3353"/>
    <w:rsid w:val="001A344F"/>
    <w:rsid w:val="001A3929"/>
    <w:rsid w:val="001A3942"/>
    <w:rsid w:val="001A3958"/>
    <w:rsid w:val="001A3A03"/>
    <w:rsid w:val="001A3BFD"/>
    <w:rsid w:val="001A3CB5"/>
    <w:rsid w:val="001A3EA2"/>
    <w:rsid w:val="001A3F9B"/>
    <w:rsid w:val="001A3FFB"/>
    <w:rsid w:val="001A400B"/>
    <w:rsid w:val="001A4293"/>
    <w:rsid w:val="001A4618"/>
    <w:rsid w:val="001A4666"/>
    <w:rsid w:val="001A4798"/>
    <w:rsid w:val="001A47F6"/>
    <w:rsid w:val="001A4809"/>
    <w:rsid w:val="001A4810"/>
    <w:rsid w:val="001A4A9A"/>
    <w:rsid w:val="001A4B5E"/>
    <w:rsid w:val="001A4C7A"/>
    <w:rsid w:val="001A4F59"/>
    <w:rsid w:val="001A50B2"/>
    <w:rsid w:val="001A5179"/>
    <w:rsid w:val="001A541B"/>
    <w:rsid w:val="001A546E"/>
    <w:rsid w:val="001A562B"/>
    <w:rsid w:val="001A578F"/>
    <w:rsid w:val="001A5901"/>
    <w:rsid w:val="001A5962"/>
    <w:rsid w:val="001A59B5"/>
    <w:rsid w:val="001A59BB"/>
    <w:rsid w:val="001A5A7B"/>
    <w:rsid w:val="001A5BCF"/>
    <w:rsid w:val="001A5C03"/>
    <w:rsid w:val="001A5C37"/>
    <w:rsid w:val="001A5C56"/>
    <w:rsid w:val="001A5E59"/>
    <w:rsid w:val="001A6048"/>
    <w:rsid w:val="001A6161"/>
    <w:rsid w:val="001A6269"/>
    <w:rsid w:val="001A6A62"/>
    <w:rsid w:val="001A6B50"/>
    <w:rsid w:val="001A6B83"/>
    <w:rsid w:val="001A6D3B"/>
    <w:rsid w:val="001A6F80"/>
    <w:rsid w:val="001A706E"/>
    <w:rsid w:val="001A709E"/>
    <w:rsid w:val="001A70F4"/>
    <w:rsid w:val="001A710E"/>
    <w:rsid w:val="001A711A"/>
    <w:rsid w:val="001A7265"/>
    <w:rsid w:val="001A72B2"/>
    <w:rsid w:val="001A72EE"/>
    <w:rsid w:val="001A731C"/>
    <w:rsid w:val="001A76EC"/>
    <w:rsid w:val="001A77E3"/>
    <w:rsid w:val="001A78EE"/>
    <w:rsid w:val="001A79DC"/>
    <w:rsid w:val="001A7B20"/>
    <w:rsid w:val="001A7C82"/>
    <w:rsid w:val="001A7C94"/>
    <w:rsid w:val="001A7D51"/>
    <w:rsid w:val="001B025B"/>
    <w:rsid w:val="001B04A3"/>
    <w:rsid w:val="001B051B"/>
    <w:rsid w:val="001B061A"/>
    <w:rsid w:val="001B0A35"/>
    <w:rsid w:val="001B0DD8"/>
    <w:rsid w:val="001B0E20"/>
    <w:rsid w:val="001B0EE0"/>
    <w:rsid w:val="001B0F02"/>
    <w:rsid w:val="001B0FE7"/>
    <w:rsid w:val="001B101E"/>
    <w:rsid w:val="001B1086"/>
    <w:rsid w:val="001B10B1"/>
    <w:rsid w:val="001B1259"/>
    <w:rsid w:val="001B12E6"/>
    <w:rsid w:val="001B14C9"/>
    <w:rsid w:val="001B176D"/>
    <w:rsid w:val="001B1BF7"/>
    <w:rsid w:val="001B1EA3"/>
    <w:rsid w:val="001B1FFA"/>
    <w:rsid w:val="001B20F6"/>
    <w:rsid w:val="001B2152"/>
    <w:rsid w:val="001B2303"/>
    <w:rsid w:val="001B2358"/>
    <w:rsid w:val="001B24CF"/>
    <w:rsid w:val="001B250D"/>
    <w:rsid w:val="001B2758"/>
    <w:rsid w:val="001B283E"/>
    <w:rsid w:val="001B28AE"/>
    <w:rsid w:val="001B2909"/>
    <w:rsid w:val="001B294F"/>
    <w:rsid w:val="001B2A44"/>
    <w:rsid w:val="001B2C4E"/>
    <w:rsid w:val="001B2D03"/>
    <w:rsid w:val="001B2DF4"/>
    <w:rsid w:val="001B2F36"/>
    <w:rsid w:val="001B309F"/>
    <w:rsid w:val="001B31B7"/>
    <w:rsid w:val="001B321D"/>
    <w:rsid w:val="001B3278"/>
    <w:rsid w:val="001B338C"/>
    <w:rsid w:val="001B33E9"/>
    <w:rsid w:val="001B383C"/>
    <w:rsid w:val="001B38B3"/>
    <w:rsid w:val="001B3A36"/>
    <w:rsid w:val="001B3B5C"/>
    <w:rsid w:val="001B3C61"/>
    <w:rsid w:val="001B3CE4"/>
    <w:rsid w:val="001B3D6B"/>
    <w:rsid w:val="001B3E28"/>
    <w:rsid w:val="001B423B"/>
    <w:rsid w:val="001B4407"/>
    <w:rsid w:val="001B453C"/>
    <w:rsid w:val="001B4B6E"/>
    <w:rsid w:val="001B4C3C"/>
    <w:rsid w:val="001B4C76"/>
    <w:rsid w:val="001B4CC9"/>
    <w:rsid w:val="001B4EA0"/>
    <w:rsid w:val="001B4EBB"/>
    <w:rsid w:val="001B4EC4"/>
    <w:rsid w:val="001B4FD4"/>
    <w:rsid w:val="001B5051"/>
    <w:rsid w:val="001B5060"/>
    <w:rsid w:val="001B50AA"/>
    <w:rsid w:val="001B54B6"/>
    <w:rsid w:val="001B5665"/>
    <w:rsid w:val="001B56E2"/>
    <w:rsid w:val="001B57D0"/>
    <w:rsid w:val="001B58DD"/>
    <w:rsid w:val="001B5962"/>
    <w:rsid w:val="001B59FC"/>
    <w:rsid w:val="001B5AA4"/>
    <w:rsid w:val="001B5E3F"/>
    <w:rsid w:val="001B5E74"/>
    <w:rsid w:val="001B5ECD"/>
    <w:rsid w:val="001B5F1A"/>
    <w:rsid w:val="001B5FCA"/>
    <w:rsid w:val="001B627D"/>
    <w:rsid w:val="001B6430"/>
    <w:rsid w:val="001B689A"/>
    <w:rsid w:val="001B693B"/>
    <w:rsid w:val="001B6A67"/>
    <w:rsid w:val="001B6D26"/>
    <w:rsid w:val="001B6D3B"/>
    <w:rsid w:val="001B6E89"/>
    <w:rsid w:val="001B7004"/>
    <w:rsid w:val="001B73C8"/>
    <w:rsid w:val="001B74F2"/>
    <w:rsid w:val="001B7AB5"/>
    <w:rsid w:val="001B7AE9"/>
    <w:rsid w:val="001B7AFF"/>
    <w:rsid w:val="001B7E23"/>
    <w:rsid w:val="001B7EB8"/>
    <w:rsid w:val="001C01BD"/>
    <w:rsid w:val="001C0388"/>
    <w:rsid w:val="001C049D"/>
    <w:rsid w:val="001C04F7"/>
    <w:rsid w:val="001C058B"/>
    <w:rsid w:val="001C05EE"/>
    <w:rsid w:val="001C0B8A"/>
    <w:rsid w:val="001C0C09"/>
    <w:rsid w:val="001C0C66"/>
    <w:rsid w:val="001C0D77"/>
    <w:rsid w:val="001C0EAE"/>
    <w:rsid w:val="001C0EF5"/>
    <w:rsid w:val="001C0FFC"/>
    <w:rsid w:val="001C1040"/>
    <w:rsid w:val="001C1164"/>
    <w:rsid w:val="001C11B5"/>
    <w:rsid w:val="001C1486"/>
    <w:rsid w:val="001C1746"/>
    <w:rsid w:val="001C181C"/>
    <w:rsid w:val="001C1933"/>
    <w:rsid w:val="001C1A62"/>
    <w:rsid w:val="001C1CFF"/>
    <w:rsid w:val="001C1D24"/>
    <w:rsid w:val="001C201C"/>
    <w:rsid w:val="001C2048"/>
    <w:rsid w:val="001C20DD"/>
    <w:rsid w:val="001C221A"/>
    <w:rsid w:val="001C2280"/>
    <w:rsid w:val="001C24E4"/>
    <w:rsid w:val="001C25FF"/>
    <w:rsid w:val="001C270F"/>
    <w:rsid w:val="001C27C1"/>
    <w:rsid w:val="001C298B"/>
    <w:rsid w:val="001C29E7"/>
    <w:rsid w:val="001C2C8A"/>
    <w:rsid w:val="001C2CAB"/>
    <w:rsid w:val="001C2E69"/>
    <w:rsid w:val="001C2EB7"/>
    <w:rsid w:val="001C2EC8"/>
    <w:rsid w:val="001C3061"/>
    <w:rsid w:val="001C31B8"/>
    <w:rsid w:val="001C3239"/>
    <w:rsid w:val="001C332F"/>
    <w:rsid w:val="001C33C6"/>
    <w:rsid w:val="001C359D"/>
    <w:rsid w:val="001C35A1"/>
    <w:rsid w:val="001C362A"/>
    <w:rsid w:val="001C38BC"/>
    <w:rsid w:val="001C3D4B"/>
    <w:rsid w:val="001C3E03"/>
    <w:rsid w:val="001C3EC4"/>
    <w:rsid w:val="001C3EE6"/>
    <w:rsid w:val="001C3F9F"/>
    <w:rsid w:val="001C419D"/>
    <w:rsid w:val="001C436F"/>
    <w:rsid w:val="001C440E"/>
    <w:rsid w:val="001C446C"/>
    <w:rsid w:val="001C449D"/>
    <w:rsid w:val="001C44DA"/>
    <w:rsid w:val="001C4538"/>
    <w:rsid w:val="001C4665"/>
    <w:rsid w:val="001C46BE"/>
    <w:rsid w:val="001C481A"/>
    <w:rsid w:val="001C486B"/>
    <w:rsid w:val="001C4914"/>
    <w:rsid w:val="001C49BA"/>
    <w:rsid w:val="001C49C0"/>
    <w:rsid w:val="001C4BB3"/>
    <w:rsid w:val="001C5035"/>
    <w:rsid w:val="001C518F"/>
    <w:rsid w:val="001C534E"/>
    <w:rsid w:val="001C5434"/>
    <w:rsid w:val="001C5536"/>
    <w:rsid w:val="001C56D4"/>
    <w:rsid w:val="001C57AB"/>
    <w:rsid w:val="001C5815"/>
    <w:rsid w:val="001C58E8"/>
    <w:rsid w:val="001C5993"/>
    <w:rsid w:val="001C5A53"/>
    <w:rsid w:val="001C5A94"/>
    <w:rsid w:val="001C5AF3"/>
    <w:rsid w:val="001C5B93"/>
    <w:rsid w:val="001C5D38"/>
    <w:rsid w:val="001C5D68"/>
    <w:rsid w:val="001C5F6D"/>
    <w:rsid w:val="001C5FDF"/>
    <w:rsid w:val="001C6267"/>
    <w:rsid w:val="001C64F4"/>
    <w:rsid w:val="001C6544"/>
    <w:rsid w:val="001C6667"/>
    <w:rsid w:val="001C666F"/>
    <w:rsid w:val="001C67CE"/>
    <w:rsid w:val="001C6851"/>
    <w:rsid w:val="001C68A2"/>
    <w:rsid w:val="001C695C"/>
    <w:rsid w:val="001C6A77"/>
    <w:rsid w:val="001C6B3C"/>
    <w:rsid w:val="001C6B7B"/>
    <w:rsid w:val="001C6C7B"/>
    <w:rsid w:val="001C6DF2"/>
    <w:rsid w:val="001C6EE8"/>
    <w:rsid w:val="001C70B9"/>
    <w:rsid w:val="001C71A0"/>
    <w:rsid w:val="001C736A"/>
    <w:rsid w:val="001C7376"/>
    <w:rsid w:val="001C738C"/>
    <w:rsid w:val="001C73D7"/>
    <w:rsid w:val="001C753B"/>
    <w:rsid w:val="001C7594"/>
    <w:rsid w:val="001C76B0"/>
    <w:rsid w:val="001C7818"/>
    <w:rsid w:val="001C7AF1"/>
    <w:rsid w:val="001C7D16"/>
    <w:rsid w:val="001C7E11"/>
    <w:rsid w:val="001C7F9B"/>
    <w:rsid w:val="001D0135"/>
    <w:rsid w:val="001D0238"/>
    <w:rsid w:val="001D0276"/>
    <w:rsid w:val="001D03AA"/>
    <w:rsid w:val="001D050B"/>
    <w:rsid w:val="001D06B5"/>
    <w:rsid w:val="001D079B"/>
    <w:rsid w:val="001D0857"/>
    <w:rsid w:val="001D08F9"/>
    <w:rsid w:val="001D099D"/>
    <w:rsid w:val="001D09DE"/>
    <w:rsid w:val="001D0BED"/>
    <w:rsid w:val="001D0C2F"/>
    <w:rsid w:val="001D0E54"/>
    <w:rsid w:val="001D0EE5"/>
    <w:rsid w:val="001D0F05"/>
    <w:rsid w:val="001D0F16"/>
    <w:rsid w:val="001D0FAA"/>
    <w:rsid w:val="001D114B"/>
    <w:rsid w:val="001D15D2"/>
    <w:rsid w:val="001D16CB"/>
    <w:rsid w:val="001D17A5"/>
    <w:rsid w:val="001D1804"/>
    <w:rsid w:val="001D1845"/>
    <w:rsid w:val="001D194A"/>
    <w:rsid w:val="001D1A4A"/>
    <w:rsid w:val="001D1D20"/>
    <w:rsid w:val="001D1F60"/>
    <w:rsid w:val="001D2209"/>
    <w:rsid w:val="001D22CD"/>
    <w:rsid w:val="001D2519"/>
    <w:rsid w:val="001D28CA"/>
    <w:rsid w:val="001D2AA9"/>
    <w:rsid w:val="001D2BCA"/>
    <w:rsid w:val="001D2BEF"/>
    <w:rsid w:val="001D2C22"/>
    <w:rsid w:val="001D2CED"/>
    <w:rsid w:val="001D2D60"/>
    <w:rsid w:val="001D2E84"/>
    <w:rsid w:val="001D2E92"/>
    <w:rsid w:val="001D2F75"/>
    <w:rsid w:val="001D2F77"/>
    <w:rsid w:val="001D30A8"/>
    <w:rsid w:val="001D3306"/>
    <w:rsid w:val="001D3479"/>
    <w:rsid w:val="001D3633"/>
    <w:rsid w:val="001D3712"/>
    <w:rsid w:val="001D374B"/>
    <w:rsid w:val="001D37A2"/>
    <w:rsid w:val="001D3B82"/>
    <w:rsid w:val="001D3C17"/>
    <w:rsid w:val="001D3D69"/>
    <w:rsid w:val="001D3D6F"/>
    <w:rsid w:val="001D40B6"/>
    <w:rsid w:val="001D40CA"/>
    <w:rsid w:val="001D41AB"/>
    <w:rsid w:val="001D42E4"/>
    <w:rsid w:val="001D4373"/>
    <w:rsid w:val="001D4376"/>
    <w:rsid w:val="001D44A3"/>
    <w:rsid w:val="001D4681"/>
    <w:rsid w:val="001D46D4"/>
    <w:rsid w:val="001D4804"/>
    <w:rsid w:val="001D4982"/>
    <w:rsid w:val="001D4A50"/>
    <w:rsid w:val="001D4AB8"/>
    <w:rsid w:val="001D4B58"/>
    <w:rsid w:val="001D4C06"/>
    <w:rsid w:val="001D4C28"/>
    <w:rsid w:val="001D4D4A"/>
    <w:rsid w:val="001D4ED1"/>
    <w:rsid w:val="001D4EE7"/>
    <w:rsid w:val="001D4EE9"/>
    <w:rsid w:val="001D5019"/>
    <w:rsid w:val="001D5187"/>
    <w:rsid w:val="001D52C6"/>
    <w:rsid w:val="001D530A"/>
    <w:rsid w:val="001D5391"/>
    <w:rsid w:val="001D541E"/>
    <w:rsid w:val="001D571B"/>
    <w:rsid w:val="001D5747"/>
    <w:rsid w:val="001D5831"/>
    <w:rsid w:val="001D5D8B"/>
    <w:rsid w:val="001D5DF3"/>
    <w:rsid w:val="001D5E93"/>
    <w:rsid w:val="001D5E9F"/>
    <w:rsid w:val="001D5EE0"/>
    <w:rsid w:val="001D5EED"/>
    <w:rsid w:val="001D5F15"/>
    <w:rsid w:val="001D5FF7"/>
    <w:rsid w:val="001D6072"/>
    <w:rsid w:val="001D63E2"/>
    <w:rsid w:val="001D6423"/>
    <w:rsid w:val="001D648E"/>
    <w:rsid w:val="001D665F"/>
    <w:rsid w:val="001D66A5"/>
    <w:rsid w:val="001D66F8"/>
    <w:rsid w:val="001D68D5"/>
    <w:rsid w:val="001D6BA7"/>
    <w:rsid w:val="001D6C52"/>
    <w:rsid w:val="001D6E36"/>
    <w:rsid w:val="001D711C"/>
    <w:rsid w:val="001D716E"/>
    <w:rsid w:val="001D7173"/>
    <w:rsid w:val="001D71AD"/>
    <w:rsid w:val="001D74A8"/>
    <w:rsid w:val="001D75BD"/>
    <w:rsid w:val="001D75E4"/>
    <w:rsid w:val="001D76DF"/>
    <w:rsid w:val="001D77E1"/>
    <w:rsid w:val="001D785A"/>
    <w:rsid w:val="001D78D1"/>
    <w:rsid w:val="001D7A3B"/>
    <w:rsid w:val="001D7A86"/>
    <w:rsid w:val="001D7AC9"/>
    <w:rsid w:val="001D7D24"/>
    <w:rsid w:val="001D7F40"/>
    <w:rsid w:val="001D7FE5"/>
    <w:rsid w:val="001E0113"/>
    <w:rsid w:val="001E026C"/>
    <w:rsid w:val="001E02AB"/>
    <w:rsid w:val="001E036C"/>
    <w:rsid w:val="001E0803"/>
    <w:rsid w:val="001E08F3"/>
    <w:rsid w:val="001E0A90"/>
    <w:rsid w:val="001E0C5D"/>
    <w:rsid w:val="001E0C72"/>
    <w:rsid w:val="001E0CF4"/>
    <w:rsid w:val="001E0E2D"/>
    <w:rsid w:val="001E0EAC"/>
    <w:rsid w:val="001E0FB1"/>
    <w:rsid w:val="001E0FE5"/>
    <w:rsid w:val="001E1012"/>
    <w:rsid w:val="001E1022"/>
    <w:rsid w:val="001E1468"/>
    <w:rsid w:val="001E148E"/>
    <w:rsid w:val="001E1710"/>
    <w:rsid w:val="001E1729"/>
    <w:rsid w:val="001E17FD"/>
    <w:rsid w:val="001E1988"/>
    <w:rsid w:val="001E1F0E"/>
    <w:rsid w:val="001E1F7A"/>
    <w:rsid w:val="001E1FAB"/>
    <w:rsid w:val="001E206D"/>
    <w:rsid w:val="001E216B"/>
    <w:rsid w:val="001E21BE"/>
    <w:rsid w:val="001E2230"/>
    <w:rsid w:val="001E23C2"/>
    <w:rsid w:val="001E242F"/>
    <w:rsid w:val="001E2480"/>
    <w:rsid w:val="001E24B6"/>
    <w:rsid w:val="001E250B"/>
    <w:rsid w:val="001E25A5"/>
    <w:rsid w:val="001E260A"/>
    <w:rsid w:val="001E2635"/>
    <w:rsid w:val="001E2700"/>
    <w:rsid w:val="001E2752"/>
    <w:rsid w:val="001E2A18"/>
    <w:rsid w:val="001E2AD5"/>
    <w:rsid w:val="001E2CD6"/>
    <w:rsid w:val="001E2D61"/>
    <w:rsid w:val="001E2FB9"/>
    <w:rsid w:val="001E2FEA"/>
    <w:rsid w:val="001E301E"/>
    <w:rsid w:val="001E316A"/>
    <w:rsid w:val="001E325A"/>
    <w:rsid w:val="001E3521"/>
    <w:rsid w:val="001E36F0"/>
    <w:rsid w:val="001E3BBA"/>
    <w:rsid w:val="001E3C45"/>
    <w:rsid w:val="001E3D3C"/>
    <w:rsid w:val="001E3E10"/>
    <w:rsid w:val="001E3EFC"/>
    <w:rsid w:val="001E3FFA"/>
    <w:rsid w:val="001E4033"/>
    <w:rsid w:val="001E4065"/>
    <w:rsid w:val="001E44F6"/>
    <w:rsid w:val="001E458E"/>
    <w:rsid w:val="001E4859"/>
    <w:rsid w:val="001E4934"/>
    <w:rsid w:val="001E49D8"/>
    <w:rsid w:val="001E4A8A"/>
    <w:rsid w:val="001E4AD3"/>
    <w:rsid w:val="001E4BED"/>
    <w:rsid w:val="001E4CB7"/>
    <w:rsid w:val="001E4CD6"/>
    <w:rsid w:val="001E4DBA"/>
    <w:rsid w:val="001E4DE2"/>
    <w:rsid w:val="001E4F11"/>
    <w:rsid w:val="001E4FCD"/>
    <w:rsid w:val="001E5188"/>
    <w:rsid w:val="001E5734"/>
    <w:rsid w:val="001E57BB"/>
    <w:rsid w:val="001E5827"/>
    <w:rsid w:val="001E5A39"/>
    <w:rsid w:val="001E5C31"/>
    <w:rsid w:val="001E5C73"/>
    <w:rsid w:val="001E5CB1"/>
    <w:rsid w:val="001E5D3D"/>
    <w:rsid w:val="001E5DDA"/>
    <w:rsid w:val="001E6098"/>
    <w:rsid w:val="001E60A8"/>
    <w:rsid w:val="001E60E9"/>
    <w:rsid w:val="001E61A1"/>
    <w:rsid w:val="001E61DD"/>
    <w:rsid w:val="001E62AA"/>
    <w:rsid w:val="001E6308"/>
    <w:rsid w:val="001E6503"/>
    <w:rsid w:val="001E6546"/>
    <w:rsid w:val="001E6843"/>
    <w:rsid w:val="001E68AC"/>
    <w:rsid w:val="001E68DD"/>
    <w:rsid w:val="001E6AA6"/>
    <w:rsid w:val="001E6B45"/>
    <w:rsid w:val="001E6CD3"/>
    <w:rsid w:val="001E6E3C"/>
    <w:rsid w:val="001E71A5"/>
    <w:rsid w:val="001E71A7"/>
    <w:rsid w:val="001E72B1"/>
    <w:rsid w:val="001E72E4"/>
    <w:rsid w:val="001E7763"/>
    <w:rsid w:val="001E77C4"/>
    <w:rsid w:val="001E793A"/>
    <w:rsid w:val="001E794A"/>
    <w:rsid w:val="001E795A"/>
    <w:rsid w:val="001E7A0F"/>
    <w:rsid w:val="001E7A8D"/>
    <w:rsid w:val="001E7ACF"/>
    <w:rsid w:val="001E7ADF"/>
    <w:rsid w:val="001E7B35"/>
    <w:rsid w:val="001E7CC4"/>
    <w:rsid w:val="001E7E8C"/>
    <w:rsid w:val="001E7F35"/>
    <w:rsid w:val="001EB98D"/>
    <w:rsid w:val="001F00DD"/>
    <w:rsid w:val="001F04AC"/>
    <w:rsid w:val="001F04D6"/>
    <w:rsid w:val="001F05B4"/>
    <w:rsid w:val="001F05F0"/>
    <w:rsid w:val="001F06AD"/>
    <w:rsid w:val="001F06FF"/>
    <w:rsid w:val="001F0B87"/>
    <w:rsid w:val="001F0BEB"/>
    <w:rsid w:val="001F0C57"/>
    <w:rsid w:val="001F0CFC"/>
    <w:rsid w:val="001F0E23"/>
    <w:rsid w:val="001F0EEB"/>
    <w:rsid w:val="001F0F65"/>
    <w:rsid w:val="001F0F69"/>
    <w:rsid w:val="001F104D"/>
    <w:rsid w:val="001F1340"/>
    <w:rsid w:val="001F136D"/>
    <w:rsid w:val="001F1405"/>
    <w:rsid w:val="001F153B"/>
    <w:rsid w:val="001F15A7"/>
    <w:rsid w:val="001F1747"/>
    <w:rsid w:val="001F1AE0"/>
    <w:rsid w:val="001F1B28"/>
    <w:rsid w:val="001F1B5B"/>
    <w:rsid w:val="001F1C21"/>
    <w:rsid w:val="001F21DF"/>
    <w:rsid w:val="001F22AA"/>
    <w:rsid w:val="001F2465"/>
    <w:rsid w:val="001F2553"/>
    <w:rsid w:val="001F255A"/>
    <w:rsid w:val="001F284F"/>
    <w:rsid w:val="001F28F3"/>
    <w:rsid w:val="001F29AA"/>
    <w:rsid w:val="001F2A15"/>
    <w:rsid w:val="001F2A7A"/>
    <w:rsid w:val="001F2AB9"/>
    <w:rsid w:val="001F2B47"/>
    <w:rsid w:val="001F2D81"/>
    <w:rsid w:val="001F2DCA"/>
    <w:rsid w:val="001F2E23"/>
    <w:rsid w:val="001F31BD"/>
    <w:rsid w:val="001F31D0"/>
    <w:rsid w:val="001F32B8"/>
    <w:rsid w:val="001F35AF"/>
    <w:rsid w:val="001F3883"/>
    <w:rsid w:val="001F3989"/>
    <w:rsid w:val="001F3B0A"/>
    <w:rsid w:val="001F3CF1"/>
    <w:rsid w:val="001F3E79"/>
    <w:rsid w:val="001F3EAE"/>
    <w:rsid w:val="001F3FF5"/>
    <w:rsid w:val="001F4151"/>
    <w:rsid w:val="001F42B1"/>
    <w:rsid w:val="001F438E"/>
    <w:rsid w:val="001F43EE"/>
    <w:rsid w:val="001F4573"/>
    <w:rsid w:val="001F45CB"/>
    <w:rsid w:val="001F4625"/>
    <w:rsid w:val="001F4811"/>
    <w:rsid w:val="001F484F"/>
    <w:rsid w:val="001F48A8"/>
    <w:rsid w:val="001F491D"/>
    <w:rsid w:val="001F4A47"/>
    <w:rsid w:val="001F4AB5"/>
    <w:rsid w:val="001F4ABC"/>
    <w:rsid w:val="001F4C38"/>
    <w:rsid w:val="001F4D42"/>
    <w:rsid w:val="001F506A"/>
    <w:rsid w:val="001F51B1"/>
    <w:rsid w:val="001F5253"/>
    <w:rsid w:val="001F5328"/>
    <w:rsid w:val="001F5484"/>
    <w:rsid w:val="001F549F"/>
    <w:rsid w:val="001F56DA"/>
    <w:rsid w:val="001F572B"/>
    <w:rsid w:val="001F5945"/>
    <w:rsid w:val="001F5E16"/>
    <w:rsid w:val="001F60AC"/>
    <w:rsid w:val="001F645F"/>
    <w:rsid w:val="001F64FA"/>
    <w:rsid w:val="001F669A"/>
    <w:rsid w:val="001F66FB"/>
    <w:rsid w:val="001F6843"/>
    <w:rsid w:val="001F68EA"/>
    <w:rsid w:val="001F699F"/>
    <w:rsid w:val="001F6ABC"/>
    <w:rsid w:val="001F6ABF"/>
    <w:rsid w:val="001F6CF5"/>
    <w:rsid w:val="001F6D97"/>
    <w:rsid w:val="001F6EBD"/>
    <w:rsid w:val="001F70AA"/>
    <w:rsid w:val="001F718A"/>
    <w:rsid w:val="001F7200"/>
    <w:rsid w:val="001F767D"/>
    <w:rsid w:val="001F7681"/>
    <w:rsid w:val="001F76F4"/>
    <w:rsid w:val="001F787C"/>
    <w:rsid w:val="001F7B0E"/>
    <w:rsid w:val="001F7B59"/>
    <w:rsid w:val="001F7C93"/>
    <w:rsid w:val="001F7CDC"/>
    <w:rsid w:val="001F7F5C"/>
    <w:rsid w:val="002000F8"/>
    <w:rsid w:val="00200266"/>
    <w:rsid w:val="0020061B"/>
    <w:rsid w:val="002006B9"/>
    <w:rsid w:val="00200B48"/>
    <w:rsid w:val="00200C4B"/>
    <w:rsid w:val="00200D45"/>
    <w:rsid w:val="00200EE6"/>
    <w:rsid w:val="00201034"/>
    <w:rsid w:val="002011B8"/>
    <w:rsid w:val="0020125B"/>
    <w:rsid w:val="0020131B"/>
    <w:rsid w:val="002013CA"/>
    <w:rsid w:val="00201730"/>
    <w:rsid w:val="00201773"/>
    <w:rsid w:val="002017E2"/>
    <w:rsid w:val="00201844"/>
    <w:rsid w:val="002018DF"/>
    <w:rsid w:val="00201B5F"/>
    <w:rsid w:val="00201C8C"/>
    <w:rsid w:val="002020DC"/>
    <w:rsid w:val="0020243D"/>
    <w:rsid w:val="00202453"/>
    <w:rsid w:val="002025F8"/>
    <w:rsid w:val="0020269A"/>
    <w:rsid w:val="002026C5"/>
    <w:rsid w:val="0020276E"/>
    <w:rsid w:val="002028C2"/>
    <w:rsid w:val="00202B75"/>
    <w:rsid w:val="00202D2A"/>
    <w:rsid w:val="002032D8"/>
    <w:rsid w:val="0020342F"/>
    <w:rsid w:val="002034EA"/>
    <w:rsid w:val="00203544"/>
    <w:rsid w:val="002035EB"/>
    <w:rsid w:val="00203633"/>
    <w:rsid w:val="002037CC"/>
    <w:rsid w:val="002037FC"/>
    <w:rsid w:val="00203906"/>
    <w:rsid w:val="00203A3F"/>
    <w:rsid w:val="00203A78"/>
    <w:rsid w:val="00203AB3"/>
    <w:rsid w:val="00203B58"/>
    <w:rsid w:val="00203BA6"/>
    <w:rsid w:val="00203C30"/>
    <w:rsid w:val="00203C5E"/>
    <w:rsid w:val="00203F39"/>
    <w:rsid w:val="002042C8"/>
    <w:rsid w:val="002043B7"/>
    <w:rsid w:val="00204567"/>
    <w:rsid w:val="00204ABE"/>
    <w:rsid w:val="00204BC1"/>
    <w:rsid w:val="00204C2D"/>
    <w:rsid w:val="00204FC0"/>
    <w:rsid w:val="0020504A"/>
    <w:rsid w:val="002052EC"/>
    <w:rsid w:val="002053BA"/>
    <w:rsid w:val="00205461"/>
    <w:rsid w:val="002054EE"/>
    <w:rsid w:val="002055FA"/>
    <w:rsid w:val="0020560E"/>
    <w:rsid w:val="00205748"/>
    <w:rsid w:val="002057DE"/>
    <w:rsid w:val="00205849"/>
    <w:rsid w:val="002058DB"/>
    <w:rsid w:val="00205B0A"/>
    <w:rsid w:val="00205BD8"/>
    <w:rsid w:val="00205D6B"/>
    <w:rsid w:val="00205E04"/>
    <w:rsid w:val="00205ED9"/>
    <w:rsid w:val="00206089"/>
    <w:rsid w:val="0020613B"/>
    <w:rsid w:val="002062DD"/>
    <w:rsid w:val="0020641A"/>
    <w:rsid w:val="002064F0"/>
    <w:rsid w:val="002064F8"/>
    <w:rsid w:val="0020669B"/>
    <w:rsid w:val="00206774"/>
    <w:rsid w:val="0020678C"/>
    <w:rsid w:val="002068B0"/>
    <w:rsid w:val="002068BC"/>
    <w:rsid w:val="002068E0"/>
    <w:rsid w:val="00206A5C"/>
    <w:rsid w:val="00206B52"/>
    <w:rsid w:val="00206CCB"/>
    <w:rsid w:val="00206D18"/>
    <w:rsid w:val="00206D3C"/>
    <w:rsid w:val="00206E36"/>
    <w:rsid w:val="00206FC1"/>
    <w:rsid w:val="002070D9"/>
    <w:rsid w:val="00207244"/>
    <w:rsid w:val="0020725F"/>
    <w:rsid w:val="00207342"/>
    <w:rsid w:val="00207504"/>
    <w:rsid w:val="002075C3"/>
    <w:rsid w:val="00207633"/>
    <w:rsid w:val="00207720"/>
    <w:rsid w:val="002079D3"/>
    <w:rsid w:val="00207B74"/>
    <w:rsid w:val="00207ED3"/>
    <w:rsid w:val="00207F8F"/>
    <w:rsid w:val="00207FAD"/>
    <w:rsid w:val="0021009A"/>
    <w:rsid w:val="002100B2"/>
    <w:rsid w:val="0021064F"/>
    <w:rsid w:val="00210854"/>
    <w:rsid w:val="00210917"/>
    <w:rsid w:val="0021093F"/>
    <w:rsid w:val="0021098D"/>
    <w:rsid w:val="00210ACF"/>
    <w:rsid w:val="00210B40"/>
    <w:rsid w:val="00210CA6"/>
    <w:rsid w:val="002111AA"/>
    <w:rsid w:val="00211204"/>
    <w:rsid w:val="00211383"/>
    <w:rsid w:val="0021146C"/>
    <w:rsid w:val="002115D4"/>
    <w:rsid w:val="00211630"/>
    <w:rsid w:val="0021190B"/>
    <w:rsid w:val="0021196F"/>
    <w:rsid w:val="002119F8"/>
    <w:rsid w:val="00211A00"/>
    <w:rsid w:val="00211B50"/>
    <w:rsid w:val="00211C23"/>
    <w:rsid w:val="00211C3F"/>
    <w:rsid w:val="00211F62"/>
    <w:rsid w:val="00211FC7"/>
    <w:rsid w:val="0021207A"/>
    <w:rsid w:val="00212176"/>
    <w:rsid w:val="0021226F"/>
    <w:rsid w:val="00212332"/>
    <w:rsid w:val="002124F3"/>
    <w:rsid w:val="00212561"/>
    <w:rsid w:val="002125B4"/>
    <w:rsid w:val="002125BF"/>
    <w:rsid w:val="00212670"/>
    <w:rsid w:val="00212853"/>
    <w:rsid w:val="002129B4"/>
    <w:rsid w:val="00212AEA"/>
    <w:rsid w:val="00212CB5"/>
    <w:rsid w:val="00212EFA"/>
    <w:rsid w:val="0021308E"/>
    <w:rsid w:val="00213264"/>
    <w:rsid w:val="002132FB"/>
    <w:rsid w:val="0021340C"/>
    <w:rsid w:val="0021350D"/>
    <w:rsid w:val="00213594"/>
    <w:rsid w:val="002137F9"/>
    <w:rsid w:val="00213A05"/>
    <w:rsid w:val="00213A0E"/>
    <w:rsid w:val="00213B44"/>
    <w:rsid w:val="00213E68"/>
    <w:rsid w:val="00213F3B"/>
    <w:rsid w:val="0021433A"/>
    <w:rsid w:val="0021441E"/>
    <w:rsid w:val="00214428"/>
    <w:rsid w:val="0021446F"/>
    <w:rsid w:val="002148D0"/>
    <w:rsid w:val="00214951"/>
    <w:rsid w:val="00214C06"/>
    <w:rsid w:val="00214C79"/>
    <w:rsid w:val="00214F54"/>
    <w:rsid w:val="00215278"/>
    <w:rsid w:val="002152F0"/>
    <w:rsid w:val="002152FC"/>
    <w:rsid w:val="00215503"/>
    <w:rsid w:val="002156F3"/>
    <w:rsid w:val="00215701"/>
    <w:rsid w:val="0021578B"/>
    <w:rsid w:val="002157DB"/>
    <w:rsid w:val="0021583B"/>
    <w:rsid w:val="0021589E"/>
    <w:rsid w:val="002159A1"/>
    <w:rsid w:val="00215AF0"/>
    <w:rsid w:val="00215D84"/>
    <w:rsid w:val="00215FB1"/>
    <w:rsid w:val="00215FB7"/>
    <w:rsid w:val="00216082"/>
    <w:rsid w:val="0021610C"/>
    <w:rsid w:val="00216287"/>
    <w:rsid w:val="002163C2"/>
    <w:rsid w:val="00216462"/>
    <w:rsid w:val="002164B4"/>
    <w:rsid w:val="0021650A"/>
    <w:rsid w:val="002167A5"/>
    <w:rsid w:val="0021691E"/>
    <w:rsid w:val="00216B93"/>
    <w:rsid w:val="00216CE1"/>
    <w:rsid w:val="00216DB3"/>
    <w:rsid w:val="00216DF2"/>
    <w:rsid w:val="00216E24"/>
    <w:rsid w:val="00216FFB"/>
    <w:rsid w:val="00217043"/>
    <w:rsid w:val="0021715F"/>
    <w:rsid w:val="0021761E"/>
    <w:rsid w:val="00217723"/>
    <w:rsid w:val="00217922"/>
    <w:rsid w:val="00217BD4"/>
    <w:rsid w:val="00217C07"/>
    <w:rsid w:val="00217C2D"/>
    <w:rsid w:val="00217CC7"/>
    <w:rsid w:val="0021E74D"/>
    <w:rsid w:val="00220039"/>
    <w:rsid w:val="0022011B"/>
    <w:rsid w:val="00220222"/>
    <w:rsid w:val="0022031A"/>
    <w:rsid w:val="002205EE"/>
    <w:rsid w:val="00220699"/>
    <w:rsid w:val="002206FB"/>
    <w:rsid w:val="002206FD"/>
    <w:rsid w:val="0022074A"/>
    <w:rsid w:val="002207F4"/>
    <w:rsid w:val="002208F9"/>
    <w:rsid w:val="0022099E"/>
    <w:rsid w:val="00220A4B"/>
    <w:rsid w:val="00220AA1"/>
    <w:rsid w:val="00220C17"/>
    <w:rsid w:val="00220D2C"/>
    <w:rsid w:val="00220DC3"/>
    <w:rsid w:val="00220F64"/>
    <w:rsid w:val="00221064"/>
    <w:rsid w:val="00221117"/>
    <w:rsid w:val="00221302"/>
    <w:rsid w:val="0022134A"/>
    <w:rsid w:val="00221363"/>
    <w:rsid w:val="00221375"/>
    <w:rsid w:val="0022137F"/>
    <w:rsid w:val="0022144B"/>
    <w:rsid w:val="002214FC"/>
    <w:rsid w:val="002215EC"/>
    <w:rsid w:val="002215FD"/>
    <w:rsid w:val="0022167A"/>
    <w:rsid w:val="0022173B"/>
    <w:rsid w:val="002217FC"/>
    <w:rsid w:val="00221804"/>
    <w:rsid w:val="00221892"/>
    <w:rsid w:val="002218AC"/>
    <w:rsid w:val="00221BA6"/>
    <w:rsid w:val="00221C5F"/>
    <w:rsid w:val="00221CA6"/>
    <w:rsid w:val="00221DA7"/>
    <w:rsid w:val="002220B4"/>
    <w:rsid w:val="00222194"/>
    <w:rsid w:val="002222CE"/>
    <w:rsid w:val="0022230E"/>
    <w:rsid w:val="00222599"/>
    <w:rsid w:val="0022262B"/>
    <w:rsid w:val="0022276B"/>
    <w:rsid w:val="002227DD"/>
    <w:rsid w:val="002228E8"/>
    <w:rsid w:val="002229F3"/>
    <w:rsid w:val="00222C40"/>
    <w:rsid w:val="00222C83"/>
    <w:rsid w:val="00222CE4"/>
    <w:rsid w:val="00222DB1"/>
    <w:rsid w:val="0022303C"/>
    <w:rsid w:val="0022324C"/>
    <w:rsid w:val="00223290"/>
    <w:rsid w:val="002232F6"/>
    <w:rsid w:val="0022335F"/>
    <w:rsid w:val="002233BE"/>
    <w:rsid w:val="00223767"/>
    <w:rsid w:val="00223844"/>
    <w:rsid w:val="00223B2A"/>
    <w:rsid w:val="00223CB5"/>
    <w:rsid w:val="00223E19"/>
    <w:rsid w:val="00223F48"/>
    <w:rsid w:val="00223FE9"/>
    <w:rsid w:val="00224146"/>
    <w:rsid w:val="0022416C"/>
    <w:rsid w:val="00224369"/>
    <w:rsid w:val="002243E1"/>
    <w:rsid w:val="002244B9"/>
    <w:rsid w:val="00224753"/>
    <w:rsid w:val="002247C7"/>
    <w:rsid w:val="00224948"/>
    <w:rsid w:val="002249D8"/>
    <w:rsid w:val="002249F5"/>
    <w:rsid w:val="00224AFE"/>
    <w:rsid w:val="00224C2D"/>
    <w:rsid w:val="00224CF6"/>
    <w:rsid w:val="0022513D"/>
    <w:rsid w:val="00225193"/>
    <w:rsid w:val="0022519B"/>
    <w:rsid w:val="00225325"/>
    <w:rsid w:val="002255D0"/>
    <w:rsid w:val="002255FB"/>
    <w:rsid w:val="0022567B"/>
    <w:rsid w:val="002259A2"/>
    <w:rsid w:val="002259FD"/>
    <w:rsid w:val="00225A66"/>
    <w:rsid w:val="0022600B"/>
    <w:rsid w:val="002261A8"/>
    <w:rsid w:val="002261EF"/>
    <w:rsid w:val="00226341"/>
    <w:rsid w:val="00226361"/>
    <w:rsid w:val="00226442"/>
    <w:rsid w:val="0022654D"/>
    <w:rsid w:val="00226817"/>
    <w:rsid w:val="0022684D"/>
    <w:rsid w:val="00226A29"/>
    <w:rsid w:val="00226BF2"/>
    <w:rsid w:val="00226C34"/>
    <w:rsid w:val="00226E64"/>
    <w:rsid w:val="002270A9"/>
    <w:rsid w:val="002272E2"/>
    <w:rsid w:val="0022741B"/>
    <w:rsid w:val="0022746B"/>
    <w:rsid w:val="00227491"/>
    <w:rsid w:val="00227539"/>
    <w:rsid w:val="002275B4"/>
    <w:rsid w:val="00227865"/>
    <w:rsid w:val="0022787D"/>
    <w:rsid w:val="00227C47"/>
    <w:rsid w:val="00227E6F"/>
    <w:rsid w:val="00230021"/>
    <w:rsid w:val="0023018A"/>
    <w:rsid w:val="002303C1"/>
    <w:rsid w:val="00230414"/>
    <w:rsid w:val="0023079D"/>
    <w:rsid w:val="00230921"/>
    <w:rsid w:val="002309D1"/>
    <w:rsid w:val="00230A0E"/>
    <w:rsid w:val="00230B61"/>
    <w:rsid w:val="00230CD5"/>
    <w:rsid w:val="00230FB3"/>
    <w:rsid w:val="00230FCF"/>
    <w:rsid w:val="00231160"/>
    <w:rsid w:val="002311ED"/>
    <w:rsid w:val="002312EE"/>
    <w:rsid w:val="0023136E"/>
    <w:rsid w:val="002313D9"/>
    <w:rsid w:val="0023153B"/>
    <w:rsid w:val="002317E0"/>
    <w:rsid w:val="0023185A"/>
    <w:rsid w:val="002318F2"/>
    <w:rsid w:val="00231C82"/>
    <w:rsid w:val="00231DA6"/>
    <w:rsid w:val="00231EA5"/>
    <w:rsid w:val="00231F6E"/>
    <w:rsid w:val="002320FF"/>
    <w:rsid w:val="0023215B"/>
    <w:rsid w:val="00232209"/>
    <w:rsid w:val="00232371"/>
    <w:rsid w:val="00232438"/>
    <w:rsid w:val="002325FE"/>
    <w:rsid w:val="00232652"/>
    <w:rsid w:val="002326F5"/>
    <w:rsid w:val="0023275E"/>
    <w:rsid w:val="002327B0"/>
    <w:rsid w:val="002329E7"/>
    <w:rsid w:val="00232C1D"/>
    <w:rsid w:val="00232CCB"/>
    <w:rsid w:val="00232D78"/>
    <w:rsid w:val="00232D84"/>
    <w:rsid w:val="0023305C"/>
    <w:rsid w:val="0023309F"/>
    <w:rsid w:val="00233159"/>
    <w:rsid w:val="00233260"/>
    <w:rsid w:val="0023337C"/>
    <w:rsid w:val="002333F7"/>
    <w:rsid w:val="00233454"/>
    <w:rsid w:val="00233513"/>
    <w:rsid w:val="0023376C"/>
    <w:rsid w:val="002337F7"/>
    <w:rsid w:val="002337FD"/>
    <w:rsid w:val="00233890"/>
    <w:rsid w:val="00233A91"/>
    <w:rsid w:val="00233E17"/>
    <w:rsid w:val="00233F0C"/>
    <w:rsid w:val="00233F4B"/>
    <w:rsid w:val="002341E7"/>
    <w:rsid w:val="002342E1"/>
    <w:rsid w:val="00234314"/>
    <w:rsid w:val="002343E3"/>
    <w:rsid w:val="0023457D"/>
    <w:rsid w:val="0023461A"/>
    <w:rsid w:val="00234655"/>
    <w:rsid w:val="00234893"/>
    <w:rsid w:val="002349B7"/>
    <w:rsid w:val="00234B6F"/>
    <w:rsid w:val="00234BAC"/>
    <w:rsid w:val="00234BC7"/>
    <w:rsid w:val="00234BF6"/>
    <w:rsid w:val="00234C36"/>
    <w:rsid w:val="00234C97"/>
    <w:rsid w:val="00234DA0"/>
    <w:rsid w:val="002350E9"/>
    <w:rsid w:val="0023534F"/>
    <w:rsid w:val="002353F1"/>
    <w:rsid w:val="0023546A"/>
    <w:rsid w:val="00235483"/>
    <w:rsid w:val="00235550"/>
    <w:rsid w:val="002359A2"/>
    <w:rsid w:val="00235D42"/>
    <w:rsid w:val="00236227"/>
    <w:rsid w:val="00236367"/>
    <w:rsid w:val="002364A1"/>
    <w:rsid w:val="0023690E"/>
    <w:rsid w:val="002369C5"/>
    <w:rsid w:val="00236BF3"/>
    <w:rsid w:val="00236E3F"/>
    <w:rsid w:val="00236F0F"/>
    <w:rsid w:val="00236F69"/>
    <w:rsid w:val="00237085"/>
    <w:rsid w:val="002373C4"/>
    <w:rsid w:val="0023740C"/>
    <w:rsid w:val="00237715"/>
    <w:rsid w:val="00237769"/>
    <w:rsid w:val="002378F3"/>
    <w:rsid w:val="002379B4"/>
    <w:rsid w:val="00237D68"/>
    <w:rsid w:val="00237EF8"/>
    <w:rsid w:val="0024003F"/>
    <w:rsid w:val="002401F0"/>
    <w:rsid w:val="0024023F"/>
    <w:rsid w:val="00240343"/>
    <w:rsid w:val="00240363"/>
    <w:rsid w:val="00240390"/>
    <w:rsid w:val="002403ED"/>
    <w:rsid w:val="002406A5"/>
    <w:rsid w:val="00240869"/>
    <w:rsid w:val="0024094F"/>
    <w:rsid w:val="00240A03"/>
    <w:rsid w:val="00240C59"/>
    <w:rsid w:val="00240EDD"/>
    <w:rsid w:val="00240F28"/>
    <w:rsid w:val="00240F7E"/>
    <w:rsid w:val="0024149C"/>
    <w:rsid w:val="00241649"/>
    <w:rsid w:val="0024164B"/>
    <w:rsid w:val="00241690"/>
    <w:rsid w:val="00241721"/>
    <w:rsid w:val="002418BB"/>
    <w:rsid w:val="002418EC"/>
    <w:rsid w:val="00241999"/>
    <w:rsid w:val="0024199C"/>
    <w:rsid w:val="002419A0"/>
    <w:rsid w:val="00241B05"/>
    <w:rsid w:val="00241B22"/>
    <w:rsid w:val="00241BD9"/>
    <w:rsid w:val="00241DE1"/>
    <w:rsid w:val="00242027"/>
    <w:rsid w:val="0024228E"/>
    <w:rsid w:val="002425BF"/>
    <w:rsid w:val="00242626"/>
    <w:rsid w:val="002428BA"/>
    <w:rsid w:val="002428C1"/>
    <w:rsid w:val="002428F4"/>
    <w:rsid w:val="0024291F"/>
    <w:rsid w:val="002429DC"/>
    <w:rsid w:val="00242A14"/>
    <w:rsid w:val="00242A27"/>
    <w:rsid w:val="00242A8A"/>
    <w:rsid w:val="00242B36"/>
    <w:rsid w:val="00242BAD"/>
    <w:rsid w:val="00242C93"/>
    <w:rsid w:val="00242DB3"/>
    <w:rsid w:val="00242DC6"/>
    <w:rsid w:val="00242FA9"/>
    <w:rsid w:val="0024302B"/>
    <w:rsid w:val="002431CC"/>
    <w:rsid w:val="0024327C"/>
    <w:rsid w:val="00243280"/>
    <w:rsid w:val="002432B9"/>
    <w:rsid w:val="002433F5"/>
    <w:rsid w:val="00243489"/>
    <w:rsid w:val="002434D2"/>
    <w:rsid w:val="00243650"/>
    <w:rsid w:val="002437AB"/>
    <w:rsid w:val="002438BB"/>
    <w:rsid w:val="00243A1F"/>
    <w:rsid w:val="00243A5B"/>
    <w:rsid w:val="00243ABA"/>
    <w:rsid w:val="00243B81"/>
    <w:rsid w:val="00243D3A"/>
    <w:rsid w:val="00243EF9"/>
    <w:rsid w:val="00243F97"/>
    <w:rsid w:val="002441C3"/>
    <w:rsid w:val="002443AE"/>
    <w:rsid w:val="002444E9"/>
    <w:rsid w:val="0024461A"/>
    <w:rsid w:val="0024465C"/>
    <w:rsid w:val="002446AD"/>
    <w:rsid w:val="002448D6"/>
    <w:rsid w:val="002448E5"/>
    <w:rsid w:val="002448FB"/>
    <w:rsid w:val="00244912"/>
    <w:rsid w:val="00244A16"/>
    <w:rsid w:val="00244AFF"/>
    <w:rsid w:val="00244BFD"/>
    <w:rsid w:val="00244F2C"/>
    <w:rsid w:val="00244FA6"/>
    <w:rsid w:val="00245168"/>
    <w:rsid w:val="00245471"/>
    <w:rsid w:val="00245515"/>
    <w:rsid w:val="00245670"/>
    <w:rsid w:val="00245720"/>
    <w:rsid w:val="00245A42"/>
    <w:rsid w:val="00245A81"/>
    <w:rsid w:val="00245A87"/>
    <w:rsid w:val="00245D0E"/>
    <w:rsid w:val="00245E10"/>
    <w:rsid w:val="00245E2F"/>
    <w:rsid w:val="00245F28"/>
    <w:rsid w:val="00245F71"/>
    <w:rsid w:val="00245F82"/>
    <w:rsid w:val="00245FD9"/>
    <w:rsid w:val="00246113"/>
    <w:rsid w:val="00246265"/>
    <w:rsid w:val="0024635E"/>
    <w:rsid w:val="00246763"/>
    <w:rsid w:val="0024677A"/>
    <w:rsid w:val="002468E3"/>
    <w:rsid w:val="002468E6"/>
    <w:rsid w:val="00246AC6"/>
    <w:rsid w:val="00246CFE"/>
    <w:rsid w:val="00246D70"/>
    <w:rsid w:val="00246ECC"/>
    <w:rsid w:val="002473CA"/>
    <w:rsid w:val="002473EE"/>
    <w:rsid w:val="002476B6"/>
    <w:rsid w:val="0024793D"/>
    <w:rsid w:val="00247B1F"/>
    <w:rsid w:val="00247B2D"/>
    <w:rsid w:val="00247B5F"/>
    <w:rsid w:val="00247BBC"/>
    <w:rsid w:val="00247E69"/>
    <w:rsid w:val="00250061"/>
    <w:rsid w:val="00250323"/>
    <w:rsid w:val="0025043F"/>
    <w:rsid w:val="002504FE"/>
    <w:rsid w:val="00250541"/>
    <w:rsid w:val="00250589"/>
    <w:rsid w:val="002506B0"/>
    <w:rsid w:val="00250933"/>
    <w:rsid w:val="00250973"/>
    <w:rsid w:val="002509C4"/>
    <w:rsid w:val="00250B5F"/>
    <w:rsid w:val="00250BB0"/>
    <w:rsid w:val="00250E59"/>
    <w:rsid w:val="00250ED7"/>
    <w:rsid w:val="0025106C"/>
    <w:rsid w:val="00251123"/>
    <w:rsid w:val="002514E6"/>
    <w:rsid w:val="00251891"/>
    <w:rsid w:val="002518B3"/>
    <w:rsid w:val="0025190A"/>
    <w:rsid w:val="00251916"/>
    <w:rsid w:val="00251A8B"/>
    <w:rsid w:val="00251B28"/>
    <w:rsid w:val="00251B2D"/>
    <w:rsid w:val="00251C81"/>
    <w:rsid w:val="00251CE4"/>
    <w:rsid w:val="00251E7C"/>
    <w:rsid w:val="00251F70"/>
    <w:rsid w:val="00252192"/>
    <w:rsid w:val="002522CA"/>
    <w:rsid w:val="00252428"/>
    <w:rsid w:val="002525C0"/>
    <w:rsid w:val="002527EF"/>
    <w:rsid w:val="00252821"/>
    <w:rsid w:val="00252B8B"/>
    <w:rsid w:val="00252C49"/>
    <w:rsid w:val="00252D00"/>
    <w:rsid w:val="00252EE9"/>
    <w:rsid w:val="00253210"/>
    <w:rsid w:val="0025323E"/>
    <w:rsid w:val="0025357D"/>
    <w:rsid w:val="002536F5"/>
    <w:rsid w:val="00253A25"/>
    <w:rsid w:val="00253AAF"/>
    <w:rsid w:val="00253DF5"/>
    <w:rsid w:val="00253EB6"/>
    <w:rsid w:val="00253FE2"/>
    <w:rsid w:val="00254018"/>
    <w:rsid w:val="0025434D"/>
    <w:rsid w:val="002544D3"/>
    <w:rsid w:val="0025454B"/>
    <w:rsid w:val="00254715"/>
    <w:rsid w:val="002548DA"/>
    <w:rsid w:val="00254908"/>
    <w:rsid w:val="00254ABA"/>
    <w:rsid w:val="00254B15"/>
    <w:rsid w:val="00254B69"/>
    <w:rsid w:val="00254BCD"/>
    <w:rsid w:val="00254C36"/>
    <w:rsid w:val="00254DEF"/>
    <w:rsid w:val="00254F0A"/>
    <w:rsid w:val="00255424"/>
    <w:rsid w:val="002556DE"/>
    <w:rsid w:val="002557CD"/>
    <w:rsid w:val="00255BDA"/>
    <w:rsid w:val="00255D69"/>
    <w:rsid w:val="00255EAC"/>
    <w:rsid w:val="00255FEE"/>
    <w:rsid w:val="0025605F"/>
    <w:rsid w:val="00256101"/>
    <w:rsid w:val="00256107"/>
    <w:rsid w:val="00256175"/>
    <w:rsid w:val="002561F7"/>
    <w:rsid w:val="00256231"/>
    <w:rsid w:val="002562A6"/>
    <w:rsid w:val="002563C7"/>
    <w:rsid w:val="00256492"/>
    <w:rsid w:val="00256527"/>
    <w:rsid w:val="0025659B"/>
    <w:rsid w:val="00256627"/>
    <w:rsid w:val="0025669D"/>
    <w:rsid w:val="002567E1"/>
    <w:rsid w:val="0025692E"/>
    <w:rsid w:val="002569C2"/>
    <w:rsid w:val="00256D04"/>
    <w:rsid w:val="00256D89"/>
    <w:rsid w:val="00256EB6"/>
    <w:rsid w:val="00256F99"/>
    <w:rsid w:val="00257043"/>
    <w:rsid w:val="002571D2"/>
    <w:rsid w:val="002572A4"/>
    <w:rsid w:val="002572B9"/>
    <w:rsid w:val="00257598"/>
    <w:rsid w:val="00257659"/>
    <w:rsid w:val="00257959"/>
    <w:rsid w:val="0025795E"/>
    <w:rsid w:val="00257A76"/>
    <w:rsid w:val="00257AC6"/>
    <w:rsid w:val="00257E59"/>
    <w:rsid w:val="00257E78"/>
    <w:rsid w:val="0026001A"/>
    <w:rsid w:val="00260044"/>
    <w:rsid w:val="002600B7"/>
    <w:rsid w:val="0026013D"/>
    <w:rsid w:val="00260154"/>
    <w:rsid w:val="00260400"/>
    <w:rsid w:val="00260549"/>
    <w:rsid w:val="002606D6"/>
    <w:rsid w:val="0026075E"/>
    <w:rsid w:val="002607B0"/>
    <w:rsid w:val="00260814"/>
    <w:rsid w:val="0026084D"/>
    <w:rsid w:val="00260A06"/>
    <w:rsid w:val="00260E36"/>
    <w:rsid w:val="00260E6C"/>
    <w:rsid w:val="00260F01"/>
    <w:rsid w:val="00260F2E"/>
    <w:rsid w:val="00261184"/>
    <w:rsid w:val="002611B8"/>
    <w:rsid w:val="00261274"/>
    <w:rsid w:val="0026176A"/>
    <w:rsid w:val="00261966"/>
    <w:rsid w:val="00261CB9"/>
    <w:rsid w:val="002621C5"/>
    <w:rsid w:val="00262223"/>
    <w:rsid w:val="0026222C"/>
    <w:rsid w:val="00262290"/>
    <w:rsid w:val="002622CE"/>
    <w:rsid w:val="00262384"/>
    <w:rsid w:val="002623FF"/>
    <w:rsid w:val="002624FD"/>
    <w:rsid w:val="00262516"/>
    <w:rsid w:val="0026269E"/>
    <w:rsid w:val="002627AD"/>
    <w:rsid w:val="0026286A"/>
    <w:rsid w:val="00262AB1"/>
    <w:rsid w:val="00262C32"/>
    <w:rsid w:val="00262D04"/>
    <w:rsid w:val="00262EF0"/>
    <w:rsid w:val="00263266"/>
    <w:rsid w:val="00263340"/>
    <w:rsid w:val="00263542"/>
    <w:rsid w:val="00263578"/>
    <w:rsid w:val="00263B31"/>
    <w:rsid w:val="00263B92"/>
    <w:rsid w:val="00263C24"/>
    <w:rsid w:val="00263F22"/>
    <w:rsid w:val="00263FF9"/>
    <w:rsid w:val="00264138"/>
    <w:rsid w:val="00264233"/>
    <w:rsid w:val="002643A5"/>
    <w:rsid w:val="0026443A"/>
    <w:rsid w:val="0026443F"/>
    <w:rsid w:val="00264444"/>
    <w:rsid w:val="0026448A"/>
    <w:rsid w:val="002647A1"/>
    <w:rsid w:val="00264888"/>
    <w:rsid w:val="002648CE"/>
    <w:rsid w:val="002649C5"/>
    <w:rsid w:val="00264A92"/>
    <w:rsid w:val="00264D2B"/>
    <w:rsid w:val="00264DB4"/>
    <w:rsid w:val="00264E57"/>
    <w:rsid w:val="00265069"/>
    <w:rsid w:val="002650DE"/>
    <w:rsid w:val="00265160"/>
    <w:rsid w:val="00265198"/>
    <w:rsid w:val="002651F3"/>
    <w:rsid w:val="00265296"/>
    <w:rsid w:val="00265361"/>
    <w:rsid w:val="0026537D"/>
    <w:rsid w:val="002654E0"/>
    <w:rsid w:val="002655D3"/>
    <w:rsid w:val="002659EC"/>
    <w:rsid w:val="00265A8F"/>
    <w:rsid w:val="00265B59"/>
    <w:rsid w:val="00265BA7"/>
    <w:rsid w:val="00265CB4"/>
    <w:rsid w:val="00265DE4"/>
    <w:rsid w:val="0026600D"/>
    <w:rsid w:val="00266235"/>
    <w:rsid w:val="00266261"/>
    <w:rsid w:val="0026639C"/>
    <w:rsid w:val="002663EA"/>
    <w:rsid w:val="00266412"/>
    <w:rsid w:val="00266449"/>
    <w:rsid w:val="00266454"/>
    <w:rsid w:val="002664A5"/>
    <w:rsid w:val="002668B9"/>
    <w:rsid w:val="00266DB1"/>
    <w:rsid w:val="00266DF6"/>
    <w:rsid w:val="002670CC"/>
    <w:rsid w:val="002670D6"/>
    <w:rsid w:val="0026718F"/>
    <w:rsid w:val="0026726B"/>
    <w:rsid w:val="0026726D"/>
    <w:rsid w:val="00267394"/>
    <w:rsid w:val="0026755D"/>
    <w:rsid w:val="002675EB"/>
    <w:rsid w:val="0026772C"/>
    <w:rsid w:val="00267846"/>
    <w:rsid w:val="00267858"/>
    <w:rsid w:val="00267A19"/>
    <w:rsid w:val="00267A71"/>
    <w:rsid w:val="00267AD9"/>
    <w:rsid w:val="00267C66"/>
    <w:rsid w:val="00267F44"/>
    <w:rsid w:val="00267FB4"/>
    <w:rsid w:val="00270138"/>
    <w:rsid w:val="00270240"/>
    <w:rsid w:val="00270269"/>
    <w:rsid w:val="002703AE"/>
    <w:rsid w:val="002703CD"/>
    <w:rsid w:val="00270537"/>
    <w:rsid w:val="0027060E"/>
    <w:rsid w:val="00270651"/>
    <w:rsid w:val="0027073D"/>
    <w:rsid w:val="00270981"/>
    <w:rsid w:val="00270A2F"/>
    <w:rsid w:val="00270B67"/>
    <w:rsid w:val="00270C12"/>
    <w:rsid w:val="00270DB2"/>
    <w:rsid w:val="00270F8B"/>
    <w:rsid w:val="00270FCA"/>
    <w:rsid w:val="0027100E"/>
    <w:rsid w:val="0027122C"/>
    <w:rsid w:val="002713C6"/>
    <w:rsid w:val="00271405"/>
    <w:rsid w:val="00271473"/>
    <w:rsid w:val="00271522"/>
    <w:rsid w:val="0027153B"/>
    <w:rsid w:val="00271571"/>
    <w:rsid w:val="002715F5"/>
    <w:rsid w:val="00271710"/>
    <w:rsid w:val="002717EC"/>
    <w:rsid w:val="0027186C"/>
    <w:rsid w:val="00271993"/>
    <w:rsid w:val="00271BD1"/>
    <w:rsid w:val="00271C9B"/>
    <w:rsid w:val="00271DC1"/>
    <w:rsid w:val="00271E19"/>
    <w:rsid w:val="00271EFA"/>
    <w:rsid w:val="00271F82"/>
    <w:rsid w:val="00271FB0"/>
    <w:rsid w:val="00272044"/>
    <w:rsid w:val="00272079"/>
    <w:rsid w:val="00272273"/>
    <w:rsid w:val="002723B2"/>
    <w:rsid w:val="002723DA"/>
    <w:rsid w:val="00272594"/>
    <w:rsid w:val="002726E1"/>
    <w:rsid w:val="0027277C"/>
    <w:rsid w:val="002728AA"/>
    <w:rsid w:val="00272A0E"/>
    <w:rsid w:val="00272A3C"/>
    <w:rsid w:val="00272AF8"/>
    <w:rsid w:val="00272B77"/>
    <w:rsid w:val="00272CA8"/>
    <w:rsid w:val="00272D0C"/>
    <w:rsid w:val="00272D6E"/>
    <w:rsid w:val="00272DE3"/>
    <w:rsid w:val="00272FEA"/>
    <w:rsid w:val="00272FFB"/>
    <w:rsid w:val="00273024"/>
    <w:rsid w:val="0027305E"/>
    <w:rsid w:val="00273068"/>
    <w:rsid w:val="00273193"/>
    <w:rsid w:val="002732D4"/>
    <w:rsid w:val="0027336B"/>
    <w:rsid w:val="002739CF"/>
    <w:rsid w:val="00273AE0"/>
    <w:rsid w:val="00273AE6"/>
    <w:rsid w:val="00273BA3"/>
    <w:rsid w:val="00273C3C"/>
    <w:rsid w:val="00273D99"/>
    <w:rsid w:val="00273F56"/>
    <w:rsid w:val="002741A5"/>
    <w:rsid w:val="0027446B"/>
    <w:rsid w:val="00274512"/>
    <w:rsid w:val="00274743"/>
    <w:rsid w:val="0027475B"/>
    <w:rsid w:val="00274B5F"/>
    <w:rsid w:val="00274D68"/>
    <w:rsid w:val="00274E03"/>
    <w:rsid w:val="00274E89"/>
    <w:rsid w:val="00274F78"/>
    <w:rsid w:val="0027505E"/>
    <w:rsid w:val="002751A2"/>
    <w:rsid w:val="002751A9"/>
    <w:rsid w:val="00275442"/>
    <w:rsid w:val="00275763"/>
    <w:rsid w:val="00275880"/>
    <w:rsid w:val="002758E1"/>
    <w:rsid w:val="00275DCE"/>
    <w:rsid w:val="00275E31"/>
    <w:rsid w:val="00275F46"/>
    <w:rsid w:val="00275FBB"/>
    <w:rsid w:val="0027637D"/>
    <w:rsid w:val="00276394"/>
    <w:rsid w:val="002763AA"/>
    <w:rsid w:val="0027663C"/>
    <w:rsid w:val="0027675C"/>
    <w:rsid w:val="002767DF"/>
    <w:rsid w:val="002768E8"/>
    <w:rsid w:val="00276940"/>
    <w:rsid w:val="002769AD"/>
    <w:rsid w:val="00276D54"/>
    <w:rsid w:val="00276DAE"/>
    <w:rsid w:val="00276E7B"/>
    <w:rsid w:val="002772C7"/>
    <w:rsid w:val="00277632"/>
    <w:rsid w:val="002776B0"/>
    <w:rsid w:val="00277747"/>
    <w:rsid w:val="00277B27"/>
    <w:rsid w:val="00277B8B"/>
    <w:rsid w:val="00280333"/>
    <w:rsid w:val="002803EE"/>
    <w:rsid w:val="002805B5"/>
    <w:rsid w:val="00280868"/>
    <w:rsid w:val="0028086E"/>
    <w:rsid w:val="002808D1"/>
    <w:rsid w:val="0028090F"/>
    <w:rsid w:val="00280D39"/>
    <w:rsid w:val="00280DDE"/>
    <w:rsid w:val="00280F85"/>
    <w:rsid w:val="00281152"/>
    <w:rsid w:val="002811DA"/>
    <w:rsid w:val="0028127F"/>
    <w:rsid w:val="002813FD"/>
    <w:rsid w:val="00281628"/>
    <w:rsid w:val="00281792"/>
    <w:rsid w:val="00281A13"/>
    <w:rsid w:val="00281B9C"/>
    <w:rsid w:val="00281C40"/>
    <w:rsid w:val="00281CBF"/>
    <w:rsid w:val="00281E98"/>
    <w:rsid w:val="00281EEA"/>
    <w:rsid w:val="00282139"/>
    <w:rsid w:val="00282285"/>
    <w:rsid w:val="002823BC"/>
    <w:rsid w:val="0028240D"/>
    <w:rsid w:val="00282985"/>
    <w:rsid w:val="00282AC0"/>
    <w:rsid w:val="00282B0B"/>
    <w:rsid w:val="00282C4B"/>
    <w:rsid w:val="00282D66"/>
    <w:rsid w:val="00283053"/>
    <w:rsid w:val="0028331C"/>
    <w:rsid w:val="00283340"/>
    <w:rsid w:val="002833FE"/>
    <w:rsid w:val="002834CB"/>
    <w:rsid w:val="002834FD"/>
    <w:rsid w:val="0028378B"/>
    <w:rsid w:val="0028385E"/>
    <w:rsid w:val="0028398F"/>
    <w:rsid w:val="002839FB"/>
    <w:rsid w:val="00283B8A"/>
    <w:rsid w:val="00283DB7"/>
    <w:rsid w:val="00283F3F"/>
    <w:rsid w:val="00283F80"/>
    <w:rsid w:val="0028424E"/>
    <w:rsid w:val="002842AC"/>
    <w:rsid w:val="00284386"/>
    <w:rsid w:val="00284691"/>
    <w:rsid w:val="00284727"/>
    <w:rsid w:val="002847C6"/>
    <w:rsid w:val="00284A4E"/>
    <w:rsid w:val="00284AD3"/>
    <w:rsid w:val="00284B8A"/>
    <w:rsid w:val="00284CBD"/>
    <w:rsid w:val="00284FD0"/>
    <w:rsid w:val="002850C6"/>
    <w:rsid w:val="002855AB"/>
    <w:rsid w:val="00285611"/>
    <w:rsid w:val="002857B0"/>
    <w:rsid w:val="0028598A"/>
    <w:rsid w:val="00285FFF"/>
    <w:rsid w:val="0028603B"/>
    <w:rsid w:val="002860E3"/>
    <w:rsid w:val="002860EB"/>
    <w:rsid w:val="0028611B"/>
    <w:rsid w:val="0028614F"/>
    <w:rsid w:val="0028624C"/>
    <w:rsid w:val="00286319"/>
    <w:rsid w:val="00286426"/>
    <w:rsid w:val="0028646B"/>
    <w:rsid w:val="002864C3"/>
    <w:rsid w:val="002865C4"/>
    <w:rsid w:val="0028678C"/>
    <w:rsid w:val="002869E0"/>
    <w:rsid w:val="00286A8F"/>
    <w:rsid w:val="00286D07"/>
    <w:rsid w:val="00286D83"/>
    <w:rsid w:val="00286E80"/>
    <w:rsid w:val="0028700E"/>
    <w:rsid w:val="002871A9"/>
    <w:rsid w:val="00287273"/>
    <w:rsid w:val="00287357"/>
    <w:rsid w:val="00287448"/>
    <w:rsid w:val="0028762A"/>
    <w:rsid w:val="0028774D"/>
    <w:rsid w:val="0028775A"/>
    <w:rsid w:val="00287CBB"/>
    <w:rsid w:val="00287E6F"/>
    <w:rsid w:val="002902D2"/>
    <w:rsid w:val="0029032A"/>
    <w:rsid w:val="00290E09"/>
    <w:rsid w:val="0029121C"/>
    <w:rsid w:val="00291314"/>
    <w:rsid w:val="00291390"/>
    <w:rsid w:val="002915EE"/>
    <w:rsid w:val="0029181E"/>
    <w:rsid w:val="00291A33"/>
    <w:rsid w:val="002920D0"/>
    <w:rsid w:val="00292175"/>
    <w:rsid w:val="0029226F"/>
    <w:rsid w:val="0029229F"/>
    <w:rsid w:val="002923F9"/>
    <w:rsid w:val="0029252E"/>
    <w:rsid w:val="00292581"/>
    <w:rsid w:val="002925EF"/>
    <w:rsid w:val="002925FB"/>
    <w:rsid w:val="002926A9"/>
    <w:rsid w:val="00292790"/>
    <w:rsid w:val="00292793"/>
    <w:rsid w:val="002927F1"/>
    <w:rsid w:val="00292923"/>
    <w:rsid w:val="00292928"/>
    <w:rsid w:val="00292A16"/>
    <w:rsid w:val="00292A20"/>
    <w:rsid w:val="00292CAC"/>
    <w:rsid w:val="00292F53"/>
    <w:rsid w:val="00292F6E"/>
    <w:rsid w:val="0029313C"/>
    <w:rsid w:val="0029317E"/>
    <w:rsid w:val="002931E2"/>
    <w:rsid w:val="002932D3"/>
    <w:rsid w:val="002933BF"/>
    <w:rsid w:val="002933F6"/>
    <w:rsid w:val="002933FA"/>
    <w:rsid w:val="00293483"/>
    <w:rsid w:val="0029351C"/>
    <w:rsid w:val="00293624"/>
    <w:rsid w:val="00293787"/>
    <w:rsid w:val="00293828"/>
    <w:rsid w:val="00293844"/>
    <w:rsid w:val="00293860"/>
    <w:rsid w:val="00293A38"/>
    <w:rsid w:val="00293B54"/>
    <w:rsid w:val="00293B7A"/>
    <w:rsid w:val="00293C1F"/>
    <w:rsid w:val="00293E36"/>
    <w:rsid w:val="00293E73"/>
    <w:rsid w:val="00293F06"/>
    <w:rsid w:val="00293FC8"/>
    <w:rsid w:val="0029404B"/>
    <w:rsid w:val="00294135"/>
    <w:rsid w:val="002941A3"/>
    <w:rsid w:val="00294382"/>
    <w:rsid w:val="0029446A"/>
    <w:rsid w:val="0029451D"/>
    <w:rsid w:val="0029455A"/>
    <w:rsid w:val="00294626"/>
    <w:rsid w:val="00294707"/>
    <w:rsid w:val="002947EE"/>
    <w:rsid w:val="002948A0"/>
    <w:rsid w:val="00294C59"/>
    <w:rsid w:val="00294DBD"/>
    <w:rsid w:val="00294F2E"/>
    <w:rsid w:val="00294FE4"/>
    <w:rsid w:val="0029519C"/>
    <w:rsid w:val="002952C3"/>
    <w:rsid w:val="002953CB"/>
    <w:rsid w:val="002953D9"/>
    <w:rsid w:val="0029548C"/>
    <w:rsid w:val="0029557C"/>
    <w:rsid w:val="002956A6"/>
    <w:rsid w:val="002956E7"/>
    <w:rsid w:val="00295705"/>
    <w:rsid w:val="00295716"/>
    <w:rsid w:val="002959DD"/>
    <w:rsid w:val="00295BB8"/>
    <w:rsid w:val="00296302"/>
    <w:rsid w:val="002964E1"/>
    <w:rsid w:val="002964F9"/>
    <w:rsid w:val="00296510"/>
    <w:rsid w:val="00296D85"/>
    <w:rsid w:val="00296D8A"/>
    <w:rsid w:val="00296FAF"/>
    <w:rsid w:val="0029700F"/>
    <w:rsid w:val="0029727C"/>
    <w:rsid w:val="0029766A"/>
    <w:rsid w:val="0029772A"/>
    <w:rsid w:val="00297895"/>
    <w:rsid w:val="0029790B"/>
    <w:rsid w:val="002979EB"/>
    <w:rsid w:val="00297B90"/>
    <w:rsid w:val="00297BBE"/>
    <w:rsid w:val="00297CEE"/>
    <w:rsid w:val="00297F62"/>
    <w:rsid w:val="002A0046"/>
    <w:rsid w:val="002A0087"/>
    <w:rsid w:val="002A0104"/>
    <w:rsid w:val="002A0220"/>
    <w:rsid w:val="002A038E"/>
    <w:rsid w:val="002A03E6"/>
    <w:rsid w:val="002A042D"/>
    <w:rsid w:val="002A04D0"/>
    <w:rsid w:val="002A0520"/>
    <w:rsid w:val="002A0587"/>
    <w:rsid w:val="002A05F9"/>
    <w:rsid w:val="002A074E"/>
    <w:rsid w:val="002A0756"/>
    <w:rsid w:val="002A0773"/>
    <w:rsid w:val="002A0CD2"/>
    <w:rsid w:val="002A0DD0"/>
    <w:rsid w:val="002A0FCC"/>
    <w:rsid w:val="002A1051"/>
    <w:rsid w:val="002A111D"/>
    <w:rsid w:val="002A135D"/>
    <w:rsid w:val="002A136B"/>
    <w:rsid w:val="002A1456"/>
    <w:rsid w:val="002A14E5"/>
    <w:rsid w:val="002A16F2"/>
    <w:rsid w:val="002A170D"/>
    <w:rsid w:val="002A182F"/>
    <w:rsid w:val="002A1B1A"/>
    <w:rsid w:val="002A1CE8"/>
    <w:rsid w:val="002A1DE9"/>
    <w:rsid w:val="002A1DF0"/>
    <w:rsid w:val="002A1F76"/>
    <w:rsid w:val="002A20DF"/>
    <w:rsid w:val="002A211F"/>
    <w:rsid w:val="002A23BA"/>
    <w:rsid w:val="002A2423"/>
    <w:rsid w:val="002A2505"/>
    <w:rsid w:val="002A2601"/>
    <w:rsid w:val="002A2711"/>
    <w:rsid w:val="002A275D"/>
    <w:rsid w:val="002A29BA"/>
    <w:rsid w:val="002A29BB"/>
    <w:rsid w:val="002A2BEE"/>
    <w:rsid w:val="002A2C85"/>
    <w:rsid w:val="002A2C8D"/>
    <w:rsid w:val="002A2CFF"/>
    <w:rsid w:val="002A2D65"/>
    <w:rsid w:val="002A2D9D"/>
    <w:rsid w:val="002A2DC1"/>
    <w:rsid w:val="002A2EBC"/>
    <w:rsid w:val="002A3142"/>
    <w:rsid w:val="002A32C7"/>
    <w:rsid w:val="002A34F3"/>
    <w:rsid w:val="002A35CD"/>
    <w:rsid w:val="002A35DA"/>
    <w:rsid w:val="002A3732"/>
    <w:rsid w:val="002A39BB"/>
    <w:rsid w:val="002A3CE9"/>
    <w:rsid w:val="002A3D57"/>
    <w:rsid w:val="002A3FAF"/>
    <w:rsid w:val="002A3FFD"/>
    <w:rsid w:val="002A4023"/>
    <w:rsid w:val="002A404F"/>
    <w:rsid w:val="002A4237"/>
    <w:rsid w:val="002A44DD"/>
    <w:rsid w:val="002A4500"/>
    <w:rsid w:val="002A4555"/>
    <w:rsid w:val="002A4827"/>
    <w:rsid w:val="002A49FF"/>
    <w:rsid w:val="002A4A2A"/>
    <w:rsid w:val="002A4A4F"/>
    <w:rsid w:val="002A4AE5"/>
    <w:rsid w:val="002A4C1E"/>
    <w:rsid w:val="002A4D24"/>
    <w:rsid w:val="002A4F6A"/>
    <w:rsid w:val="002A50AC"/>
    <w:rsid w:val="002A52D3"/>
    <w:rsid w:val="002A52E6"/>
    <w:rsid w:val="002A5352"/>
    <w:rsid w:val="002A56A4"/>
    <w:rsid w:val="002A59B5"/>
    <w:rsid w:val="002A59DD"/>
    <w:rsid w:val="002A5AF9"/>
    <w:rsid w:val="002A5B1F"/>
    <w:rsid w:val="002A5B92"/>
    <w:rsid w:val="002A5E1E"/>
    <w:rsid w:val="002A5FC3"/>
    <w:rsid w:val="002A65AA"/>
    <w:rsid w:val="002A6851"/>
    <w:rsid w:val="002A6C4B"/>
    <w:rsid w:val="002A6C70"/>
    <w:rsid w:val="002A6D28"/>
    <w:rsid w:val="002A6D7A"/>
    <w:rsid w:val="002A6FA9"/>
    <w:rsid w:val="002A7015"/>
    <w:rsid w:val="002A70FF"/>
    <w:rsid w:val="002A713E"/>
    <w:rsid w:val="002A71DB"/>
    <w:rsid w:val="002A742E"/>
    <w:rsid w:val="002A7491"/>
    <w:rsid w:val="002A75CC"/>
    <w:rsid w:val="002A7637"/>
    <w:rsid w:val="002A76CD"/>
    <w:rsid w:val="002A774E"/>
    <w:rsid w:val="002A78EC"/>
    <w:rsid w:val="002A799D"/>
    <w:rsid w:val="002A7A00"/>
    <w:rsid w:val="002A7B45"/>
    <w:rsid w:val="002A7BA4"/>
    <w:rsid w:val="002A7DDA"/>
    <w:rsid w:val="002A7F84"/>
    <w:rsid w:val="002B043E"/>
    <w:rsid w:val="002B062D"/>
    <w:rsid w:val="002B06AE"/>
    <w:rsid w:val="002B06EF"/>
    <w:rsid w:val="002B06FE"/>
    <w:rsid w:val="002B0915"/>
    <w:rsid w:val="002B097D"/>
    <w:rsid w:val="002B0B46"/>
    <w:rsid w:val="002B0B63"/>
    <w:rsid w:val="002B0EC3"/>
    <w:rsid w:val="002B0F50"/>
    <w:rsid w:val="002B109C"/>
    <w:rsid w:val="002B1112"/>
    <w:rsid w:val="002B114B"/>
    <w:rsid w:val="002B11A9"/>
    <w:rsid w:val="002B11EF"/>
    <w:rsid w:val="002B1411"/>
    <w:rsid w:val="002B1525"/>
    <w:rsid w:val="002B1615"/>
    <w:rsid w:val="002B1774"/>
    <w:rsid w:val="002B17FB"/>
    <w:rsid w:val="002B18D5"/>
    <w:rsid w:val="002B1911"/>
    <w:rsid w:val="002B1925"/>
    <w:rsid w:val="002B1A62"/>
    <w:rsid w:val="002B1C36"/>
    <w:rsid w:val="002B1C81"/>
    <w:rsid w:val="002B1CAD"/>
    <w:rsid w:val="002B1E98"/>
    <w:rsid w:val="002B1EB0"/>
    <w:rsid w:val="002B1F1E"/>
    <w:rsid w:val="002B2129"/>
    <w:rsid w:val="002B2257"/>
    <w:rsid w:val="002B2332"/>
    <w:rsid w:val="002B253E"/>
    <w:rsid w:val="002B260D"/>
    <w:rsid w:val="002B26DE"/>
    <w:rsid w:val="002B26FE"/>
    <w:rsid w:val="002B27D4"/>
    <w:rsid w:val="002B27E9"/>
    <w:rsid w:val="002B2818"/>
    <w:rsid w:val="002B2846"/>
    <w:rsid w:val="002B284D"/>
    <w:rsid w:val="002B28BE"/>
    <w:rsid w:val="002B28F2"/>
    <w:rsid w:val="002B2B9D"/>
    <w:rsid w:val="002B2BEF"/>
    <w:rsid w:val="002B2D1E"/>
    <w:rsid w:val="002B2D6E"/>
    <w:rsid w:val="002B2EA9"/>
    <w:rsid w:val="002B2EE5"/>
    <w:rsid w:val="002B377A"/>
    <w:rsid w:val="002B3806"/>
    <w:rsid w:val="002B3885"/>
    <w:rsid w:val="002B3A92"/>
    <w:rsid w:val="002B3C1C"/>
    <w:rsid w:val="002B3F19"/>
    <w:rsid w:val="002B411C"/>
    <w:rsid w:val="002B412E"/>
    <w:rsid w:val="002B4189"/>
    <w:rsid w:val="002B4415"/>
    <w:rsid w:val="002B46D3"/>
    <w:rsid w:val="002B49E8"/>
    <w:rsid w:val="002B4FF7"/>
    <w:rsid w:val="002B50A6"/>
    <w:rsid w:val="002B5120"/>
    <w:rsid w:val="002B520C"/>
    <w:rsid w:val="002B5306"/>
    <w:rsid w:val="002B550F"/>
    <w:rsid w:val="002B5634"/>
    <w:rsid w:val="002B5770"/>
    <w:rsid w:val="002B5886"/>
    <w:rsid w:val="002B592C"/>
    <w:rsid w:val="002B5A7D"/>
    <w:rsid w:val="002B5CD6"/>
    <w:rsid w:val="002B5CFA"/>
    <w:rsid w:val="002B5D2A"/>
    <w:rsid w:val="002B640B"/>
    <w:rsid w:val="002B6431"/>
    <w:rsid w:val="002B6591"/>
    <w:rsid w:val="002B65AE"/>
    <w:rsid w:val="002B663D"/>
    <w:rsid w:val="002B6758"/>
    <w:rsid w:val="002B6765"/>
    <w:rsid w:val="002B6A55"/>
    <w:rsid w:val="002B6A64"/>
    <w:rsid w:val="002B6C0A"/>
    <w:rsid w:val="002B6C61"/>
    <w:rsid w:val="002B6C65"/>
    <w:rsid w:val="002B6CF0"/>
    <w:rsid w:val="002B6E55"/>
    <w:rsid w:val="002B6EA6"/>
    <w:rsid w:val="002B71E0"/>
    <w:rsid w:val="002B73B4"/>
    <w:rsid w:val="002B7405"/>
    <w:rsid w:val="002B74CB"/>
    <w:rsid w:val="002B7584"/>
    <w:rsid w:val="002B78E0"/>
    <w:rsid w:val="002B79C5"/>
    <w:rsid w:val="002B7AA9"/>
    <w:rsid w:val="002B7AED"/>
    <w:rsid w:val="002B7C78"/>
    <w:rsid w:val="002B7D77"/>
    <w:rsid w:val="002B7E54"/>
    <w:rsid w:val="002C00AE"/>
    <w:rsid w:val="002C013C"/>
    <w:rsid w:val="002C0206"/>
    <w:rsid w:val="002C0214"/>
    <w:rsid w:val="002C0225"/>
    <w:rsid w:val="002C0472"/>
    <w:rsid w:val="002C073E"/>
    <w:rsid w:val="002C0805"/>
    <w:rsid w:val="002C0876"/>
    <w:rsid w:val="002C0B51"/>
    <w:rsid w:val="002C0C22"/>
    <w:rsid w:val="002C0C2E"/>
    <w:rsid w:val="002C0C74"/>
    <w:rsid w:val="002C0D9A"/>
    <w:rsid w:val="002C0E34"/>
    <w:rsid w:val="002C1018"/>
    <w:rsid w:val="002C1071"/>
    <w:rsid w:val="002C11CE"/>
    <w:rsid w:val="002C11D0"/>
    <w:rsid w:val="002C1286"/>
    <w:rsid w:val="002C1371"/>
    <w:rsid w:val="002C14A0"/>
    <w:rsid w:val="002C1593"/>
    <w:rsid w:val="002C15E6"/>
    <w:rsid w:val="002C17CE"/>
    <w:rsid w:val="002C1836"/>
    <w:rsid w:val="002C18F9"/>
    <w:rsid w:val="002C1DDB"/>
    <w:rsid w:val="002C1E88"/>
    <w:rsid w:val="002C1EB0"/>
    <w:rsid w:val="002C1EC4"/>
    <w:rsid w:val="002C215C"/>
    <w:rsid w:val="002C2519"/>
    <w:rsid w:val="002C279F"/>
    <w:rsid w:val="002C2A84"/>
    <w:rsid w:val="002C2B2E"/>
    <w:rsid w:val="002C2B30"/>
    <w:rsid w:val="002C2B54"/>
    <w:rsid w:val="002C2BE4"/>
    <w:rsid w:val="002C2C2D"/>
    <w:rsid w:val="002C2DA9"/>
    <w:rsid w:val="002C2F35"/>
    <w:rsid w:val="002C306E"/>
    <w:rsid w:val="002C36AB"/>
    <w:rsid w:val="002C3974"/>
    <w:rsid w:val="002C3BEA"/>
    <w:rsid w:val="002C3C60"/>
    <w:rsid w:val="002C3D40"/>
    <w:rsid w:val="002C3E09"/>
    <w:rsid w:val="002C3E2B"/>
    <w:rsid w:val="002C3F6F"/>
    <w:rsid w:val="002C4128"/>
    <w:rsid w:val="002C420C"/>
    <w:rsid w:val="002C425C"/>
    <w:rsid w:val="002C42D1"/>
    <w:rsid w:val="002C4338"/>
    <w:rsid w:val="002C455A"/>
    <w:rsid w:val="002C4631"/>
    <w:rsid w:val="002C4658"/>
    <w:rsid w:val="002C491C"/>
    <w:rsid w:val="002C49EB"/>
    <w:rsid w:val="002C4B42"/>
    <w:rsid w:val="002C4C04"/>
    <w:rsid w:val="002C4E04"/>
    <w:rsid w:val="002C4E28"/>
    <w:rsid w:val="002C4F11"/>
    <w:rsid w:val="002C4FB6"/>
    <w:rsid w:val="002C5013"/>
    <w:rsid w:val="002C540E"/>
    <w:rsid w:val="002C5539"/>
    <w:rsid w:val="002C594F"/>
    <w:rsid w:val="002C5A52"/>
    <w:rsid w:val="002C5AD7"/>
    <w:rsid w:val="002C5ADE"/>
    <w:rsid w:val="002C5BBC"/>
    <w:rsid w:val="002C5BEA"/>
    <w:rsid w:val="002C5CDA"/>
    <w:rsid w:val="002C5F65"/>
    <w:rsid w:val="002C5FB3"/>
    <w:rsid w:val="002C612F"/>
    <w:rsid w:val="002C6208"/>
    <w:rsid w:val="002C620E"/>
    <w:rsid w:val="002C6234"/>
    <w:rsid w:val="002C6317"/>
    <w:rsid w:val="002C637F"/>
    <w:rsid w:val="002C65E6"/>
    <w:rsid w:val="002C672B"/>
    <w:rsid w:val="002C68B5"/>
    <w:rsid w:val="002C692D"/>
    <w:rsid w:val="002C6959"/>
    <w:rsid w:val="002C6A3C"/>
    <w:rsid w:val="002C6BFB"/>
    <w:rsid w:val="002C6C32"/>
    <w:rsid w:val="002C6C41"/>
    <w:rsid w:val="002C6DD4"/>
    <w:rsid w:val="002C6E92"/>
    <w:rsid w:val="002C703F"/>
    <w:rsid w:val="002C711C"/>
    <w:rsid w:val="002C730F"/>
    <w:rsid w:val="002C752D"/>
    <w:rsid w:val="002C769F"/>
    <w:rsid w:val="002C794A"/>
    <w:rsid w:val="002C79A1"/>
    <w:rsid w:val="002C79C6"/>
    <w:rsid w:val="002C7C92"/>
    <w:rsid w:val="002C7E1A"/>
    <w:rsid w:val="002C7E9A"/>
    <w:rsid w:val="002C7F4E"/>
    <w:rsid w:val="002D00FC"/>
    <w:rsid w:val="002D01AC"/>
    <w:rsid w:val="002D01B3"/>
    <w:rsid w:val="002D0312"/>
    <w:rsid w:val="002D03FD"/>
    <w:rsid w:val="002D0639"/>
    <w:rsid w:val="002D0B72"/>
    <w:rsid w:val="002D0B9D"/>
    <w:rsid w:val="002D0C81"/>
    <w:rsid w:val="002D0D17"/>
    <w:rsid w:val="002D0DE5"/>
    <w:rsid w:val="002D1221"/>
    <w:rsid w:val="002D134D"/>
    <w:rsid w:val="002D1402"/>
    <w:rsid w:val="002D14E6"/>
    <w:rsid w:val="002D1551"/>
    <w:rsid w:val="002D166A"/>
    <w:rsid w:val="002D1677"/>
    <w:rsid w:val="002D169D"/>
    <w:rsid w:val="002D17A0"/>
    <w:rsid w:val="002D1880"/>
    <w:rsid w:val="002D19FF"/>
    <w:rsid w:val="002D1B1F"/>
    <w:rsid w:val="002D1C82"/>
    <w:rsid w:val="002D1C8B"/>
    <w:rsid w:val="002D1CAF"/>
    <w:rsid w:val="002D1F77"/>
    <w:rsid w:val="002D205A"/>
    <w:rsid w:val="002D216E"/>
    <w:rsid w:val="002D23EB"/>
    <w:rsid w:val="002D262B"/>
    <w:rsid w:val="002D284F"/>
    <w:rsid w:val="002D2BE3"/>
    <w:rsid w:val="002D2D6A"/>
    <w:rsid w:val="002D2D95"/>
    <w:rsid w:val="002D2EBA"/>
    <w:rsid w:val="002D2EC2"/>
    <w:rsid w:val="002D2ED7"/>
    <w:rsid w:val="002D2EED"/>
    <w:rsid w:val="002D31AD"/>
    <w:rsid w:val="002D335B"/>
    <w:rsid w:val="002D3421"/>
    <w:rsid w:val="002D346A"/>
    <w:rsid w:val="002D3538"/>
    <w:rsid w:val="002D371E"/>
    <w:rsid w:val="002D37CB"/>
    <w:rsid w:val="002D3954"/>
    <w:rsid w:val="002D3BD4"/>
    <w:rsid w:val="002D3C2B"/>
    <w:rsid w:val="002D3D59"/>
    <w:rsid w:val="002D3D89"/>
    <w:rsid w:val="002D4152"/>
    <w:rsid w:val="002D41C0"/>
    <w:rsid w:val="002D432E"/>
    <w:rsid w:val="002D43B9"/>
    <w:rsid w:val="002D4516"/>
    <w:rsid w:val="002D4590"/>
    <w:rsid w:val="002D45C4"/>
    <w:rsid w:val="002D4626"/>
    <w:rsid w:val="002D4914"/>
    <w:rsid w:val="002D492F"/>
    <w:rsid w:val="002D49FD"/>
    <w:rsid w:val="002D4C0B"/>
    <w:rsid w:val="002D4DE0"/>
    <w:rsid w:val="002D4FA4"/>
    <w:rsid w:val="002D5142"/>
    <w:rsid w:val="002D52F2"/>
    <w:rsid w:val="002D5439"/>
    <w:rsid w:val="002D553E"/>
    <w:rsid w:val="002D56C0"/>
    <w:rsid w:val="002D56CE"/>
    <w:rsid w:val="002D5843"/>
    <w:rsid w:val="002D5AE6"/>
    <w:rsid w:val="002D5DA1"/>
    <w:rsid w:val="002D5E17"/>
    <w:rsid w:val="002D5E58"/>
    <w:rsid w:val="002D5FF5"/>
    <w:rsid w:val="002D6373"/>
    <w:rsid w:val="002D66A2"/>
    <w:rsid w:val="002D66FA"/>
    <w:rsid w:val="002D68B3"/>
    <w:rsid w:val="002D6C9C"/>
    <w:rsid w:val="002D6E48"/>
    <w:rsid w:val="002D7083"/>
    <w:rsid w:val="002D71B7"/>
    <w:rsid w:val="002D72D3"/>
    <w:rsid w:val="002D73E9"/>
    <w:rsid w:val="002D7490"/>
    <w:rsid w:val="002D751B"/>
    <w:rsid w:val="002D7751"/>
    <w:rsid w:val="002D7892"/>
    <w:rsid w:val="002D793E"/>
    <w:rsid w:val="002D7A2C"/>
    <w:rsid w:val="002D7A4C"/>
    <w:rsid w:val="002D7BC5"/>
    <w:rsid w:val="002D7C07"/>
    <w:rsid w:val="002D7C97"/>
    <w:rsid w:val="002D7F13"/>
    <w:rsid w:val="002E0565"/>
    <w:rsid w:val="002E0585"/>
    <w:rsid w:val="002E0609"/>
    <w:rsid w:val="002E06A8"/>
    <w:rsid w:val="002E073D"/>
    <w:rsid w:val="002E0770"/>
    <w:rsid w:val="002E07C4"/>
    <w:rsid w:val="002E0942"/>
    <w:rsid w:val="002E095F"/>
    <w:rsid w:val="002E0A0F"/>
    <w:rsid w:val="002E0A5C"/>
    <w:rsid w:val="002E0A8B"/>
    <w:rsid w:val="002E0ABC"/>
    <w:rsid w:val="002E0ABD"/>
    <w:rsid w:val="002E0C78"/>
    <w:rsid w:val="002E0C96"/>
    <w:rsid w:val="002E0CC5"/>
    <w:rsid w:val="002E0F54"/>
    <w:rsid w:val="002E1567"/>
    <w:rsid w:val="002E169D"/>
    <w:rsid w:val="002E17D7"/>
    <w:rsid w:val="002E180D"/>
    <w:rsid w:val="002E19A5"/>
    <w:rsid w:val="002E19DF"/>
    <w:rsid w:val="002E1D42"/>
    <w:rsid w:val="002E1DB1"/>
    <w:rsid w:val="002E1F72"/>
    <w:rsid w:val="002E1F8F"/>
    <w:rsid w:val="002E1FB0"/>
    <w:rsid w:val="002E2066"/>
    <w:rsid w:val="002E2209"/>
    <w:rsid w:val="002E267F"/>
    <w:rsid w:val="002E2900"/>
    <w:rsid w:val="002E2974"/>
    <w:rsid w:val="002E2975"/>
    <w:rsid w:val="002E2A62"/>
    <w:rsid w:val="002E2A75"/>
    <w:rsid w:val="002E2AAE"/>
    <w:rsid w:val="002E2C34"/>
    <w:rsid w:val="002E2C38"/>
    <w:rsid w:val="002E2EEE"/>
    <w:rsid w:val="002E2F31"/>
    <w:rsid w:val="002E2FF5"/>
    <w:rsid w:val="002E31D1"/>
    <w:rsid w:val="002E3346"/>
    <w:rsid w:val="002E33A7"/>
    <w:rsid w:val="002E3698"/>
    <w:rsid w:val="002E369A"/>
    <w:rsid w:val="002E39BC"/>
    <w:rsid w:val="002E3B1C"/>
    <w:rsid w:val="002E3D29"/>
    <w:rsid w:val="002E3DAA"/>
    <w:rsid w:val="002E3E60"/>
    <w:rsid w:val="002E4C69"/>
    <w:rsid w:val="002E4CE0"/>
    <w:rsid w:val="002E4ED7"/>
    <w:rsid w:val="002E4ED8"/>
    <w:rsid w:val="002E5055"/>
    <w:rsid w:val="002E50BB"/>
    <w:rsid w:val="002E50BF"/>
    <w:rsid w:val="002E5239"/>
    <w:rsid w:val="002E529C"/>
    <w:rsid w:val="002E52B4"/>
    <w:rsid w:val="002E5786"/>
    <w:rsid w:val="002E5913"/>
    <w:rsid w:val="002E591F"/>
    <w:rsid w:val="002E59D8"/>
    <w:rsid w:val="002E5A3C"/>
    <w:rsid w:val="002E5C10"/>
    <w:rsid w:val="002E5CF1"/>
    <w:rsid w:val="002E5DA8"/>
    <w:rsid w:val="002E5EEA"/>
    <w:rsid w:val="002E5FE2"/>
    <w:rsid w:val="002E6132"/>
    <w:rsid w:val="002E61A3"/>
    <w:rsid w:val="002E61CC"/>
    <w:rsid w:val="002E6277"/>
    <w:rsid w:val="002E638E"/>
    <w:rsid w:val="002E6645"/>
    <w:rsid w:val="002E690D"/>
    <w:rsid w:val="002E6B7A"/>
    <w:rsid w:val="002E6C42"/>
    <w:rsid w:val="002E6CA2"/>
    <w:rsid w:val="002E6CCE"/>
    <w:rsid w:val="002E6FE7"/>
    <w:rsid w:val="002E70B2"/>
    <w:rsid w:val="002E726F"/>
    <w:rsid w:val="002E731B"/>
    <w:rsid w:val="002E733F"/>
    <w:rsid w:val="002E7396"/>
    <w:rsid w:val="002E74E0"/>
    <w:rsid w:val="002E75B9"/>
    <w:rsid w:val="002E78BD"/>
    <w:rsid w:val="002E7982"/>
    <w:rsid w:val="002E79BD"/>
    <w:rsid w:val="002E7C72"/>
    <w:rsid w:val="002E7CBA"/>
    <w:rsid w:val="002E7D55"/>
    <w:rsid w:val="002E7E3A"/>
    <w:rsid w:val="002E7E66"/>
    <w:rsid w:val="002E7E9C"/>
    <w:rsid w:val="002E7FCA"/>
    <w:rsid w:val="002F0066"/>
    <w:rsid w:val="002F0289"/>
    <w:rsid w:val="002F0981"/>
    <w:rsid w:val="002F0B7F"/>
    <w:rsid w:val="002F0C4D"/>
    <w:rsid w:val="002F0D9A"/>
    <w:rsid w:val="002F0DE3"/>
    <w:rsid w:val="002F0DF2"/>
    <w:rsid w:val="002F0F03"/>
    <w:rsid w:val="002F0F27"/>
    <w:rsid w:val="002F0F9D"/>
    <w:rsid w:val="002F10BE"/>
    <w:rsid w:val="002F12DB"/>
    <w:rsid w:val="002F142A"/>
    <w:rsid w:val="002F1507"/>
    <w:rsid w:val="002F155C"/>
    <w:rsid w:val="002F15D1"/>
    <w:rsid w:val="002F1708"/>
    <w:rsid w:val="002F1997"/>
    <w:rsid w:val="002F19F8"/>
    <w:rsid w:val="002F1CDF"/>
    <w:rsid w:val="002F1F66"/>
    <w:rsid w:val="002F1FD3"/>
    <w:rsid w:val="002F2084"/>
    <w:rsid w:val="002F21EE"/>
    <w:rsid w:val="002F2209"/>
    <w:rsid w:val="002F227F"/>
    <w:rsid w:val="002F22F2"/>
    <w:rsid w:val="002F2458"/>
    <w:rsid w:val="002F24E8"/>
    <w:rsid w:val="002F268A"/>
    <w:rsid w:val="002F26CD"/>
    <w:rsid w:val="002F2865"/>
    <w:rsid w:val="002F2C02"/>
    <w:rsid w:val="002F2CF3"/>
    <w:rsid w:val="002F2EBB"/>
    <w:rsid w:val="002F2FA5"/>
    <w:rsid w:val="002F304E"/>
    <w:rsid w:val="002F3115"/>
    <w:rsid w:val="002F3180"/>
    <w:rsid w:val="002F34C6"/>
    <w:rsid w:val="002F34D2"/>
    <w:rsid w:val="002F350E"/>
    <w:rsid w:val="002F3BC5"/>
    <w:rsid w:val="002F3F56"/>
    <w:rsid w:val="002F40EB"/>
    <w:rsid w:val="002F4123"/>
    <w:rsid w:val="002F412A"/>
    <w:rsid w:val="002F4211"/>
    <w:rsid w:val="002F4227"/>
    <w:rsid w:val="002F42CF"/>
    <w:rsid w:val="002F446C"/>
    <w:rsid w:val="002F46AE"/>
    <w:rsid w:val="002F46B4"/>
    <w:rsid w:val="002F47B3"/>
    <w:rsid w:val="002F48DD"/>
    <w:rsid w:val="002F48F5"/>
    <w:rsid w:val="002F4B49"/>
    <w:rsid w:val="002F4D2E"/>
    <w:rsid w:val="002F4D82"/>
    <w:rsid w:val="002F4E56"/>
    <w:rsid w:val="002F4E8D"/>
    <w:rsid w:val="002F5112"/>
    <w:rsid w:val="002F51F0"/>
    <w:rsid w:val="002F534F"/>
    <w:rsid w:val="002F5397"/>
    <w:rsid w:val="002F54C8"/>
    <w:rsid w:val="002F55CC"/>
    <w:rsid w:val="002F571F"/>
    <w:rsid w:val="002F57D6"/>
    <w:rsid w:val="002F58A2"/>
    <w:rsid w:val="002F5AE1"/>
    <w:rsid w:val="002F5B83"/>
    <w:rsid w:val="002F5BDD"/>
    <w:rsid w:val="002F5CB0"/>
    <w:rsid w:val="002F5D97"/>
    <w:rsid w:val="002F5DF4"/>
    <w:rsid w:val="002F5FF4"/>
    <w:rsid w:val="002F6020"/>
    <w:rsid w:val="002F6197"/>
    <w:rsid w:val="002F61BD"/>
    <w:rsid w:val="002F62C5"/>
    <w:rsid w:val="002F63FF"/>
    <w:rsid w:val="002F656C"/>
    <w:rsid w:val="002F6609"/>
    <w:rsid w:val="002F6722"/>
    <w:rsid w:val="002F6801"/>
    <w:rsid w:val="002F6802"/>
    <w:rsid w:val="002F6905"/>
    <w:rsid w:val="002F6D07"/>
    <w:rsid w:val="002F6D36"/>
    <w:rsid w:val="002F6D3C"/>
    <w:rsid w:val="002F6DC4"/>
    <w:rsid w:val="002F6E43"/>
    <w:rsid w:val="002F729D"/>
    <w:rsid w:val="002F73FD"/>
    <w:rsid w:val="002F758E"/>
    <w:rsid w:val="002F77DB"/>
    <w:rsid w:val="002F77E7"/>
    <w:rsid w:val="002F783F"/>
    <w:rsid w:val="002F78E9"/>
    <w:rsid w:val="002F7ADC"/>
    <w:rsid w:val="002F7B3A"/>
    <w:rsid w:val="002F7B6F"/>
    <w:rsid w:val="002F7D3B"/>
    <w:rsid w:val="002F7E0D"/>
    <w:rsid w:val="002F7F7A"/>
    <w:rsid w:val="002F7F9A"/>
    <w:rsid w:val="002FC9C0"/>
    <w:rsid w:val="00300008"/>
    <w:rsid w:val="0030013A"/>
    <w:rsid w:val="003001CF"/>
    <w:rsid w:val="003003BE"/>
    <w:rsid w:val="00300584"/>
    <w:rsid w:val="0030064F"/>
    <w:rsid w:val="003006B8"/>
    <w:rsid w:val="0030071F"/>
    <w:rsid w:val="00300910"/>
    <w:rsid w:val="00300964"/>
    <w:rsid w:val="00300C79"/>
    <w:rsid w:val="00300F84"/>
    <w:rsid w:val="00300FE1"/>
    <w:rsid w:val="00300FEC"/>
    <w:rsid w:val="00301052"/>
    <w:rsid w:val="00301173"/>
    <w:rsid w:val="00301230"/>
    <w:rsid w:val="003013A8"/>
    <w:rsid w:val="0030145B"/>
    <w:rsid w:val="003016A6"/>
    <w:rsid w:val="00301702"/>
    <w:rsid w:val="003017ED"/>
    <w:rsid w:val="003018E4"/>
    <w:rsid w:val="003018FB"/>
    <w:rsid w:val="00301A64"/>
    <w:rsid w:val="00301CEB"/>
    <w:rsid w:val="00301D19"/>
    <w:rsid w:val="00301FCB"/>
    <w:rsid w:val="00301FDB"/>
    <w:rsid w:val="00302108"/>
    <w:rsid w:val="00302136"/>
    <w:rsid w:val="00302284"/>
    <w:rsid w:val="00302758"/>
    <w:rsid w:val="0030289C"/>
    <w:rsid w:val="003028C6"/>
    <w:rsid w:val="00302941"/>
    <w:rsid w:val="003029FA"/>
    <w:rsid w:val="00302A45"/>
    <w:rsid w:val="00303138"/>
    <w:rsid w:val="003034A7"/>
    <w:rsid w:val="003034F8"/>
    <w:rsid w:val="0030354A"/>
    <w:rsid w:val="00303692"/>
    <w:rsid w:val="003036BC"/>
    <w:rsid w:val="00303C03"/>
    <w:rsid w:val="00303E3B"/>
    <w:rsid w:val="00304066"/>
    <w:rsid w:val="00304389"/>
    <w:rsid w:val="003045FC"/>
    <w:rsid w:val="0030478F"/>
    <w:rsid w:val="00304901"/>
    <w:rsid w:val="00304AC5"/>
    <w:rsid w:val="00304AE8"/>
    <w:rsid w:val="00304EB4"/>
    <w:rsid w:val="00304F02"/>
    <w:rsid w:val="00304F12"/>
    <w:rsid w:val="003050A4"/>
    <w:rsid w:val="00305211"/>
    <w:rsid w:val="003052D3"/>
    <w:rsid w:val="003053B9"/>
    <w:rsid w:val="00305787"/>
    <w:rsid w:val="00305AE7"/>
    <w:rsid w:val="00305D82"/>
    <w:rsid w:val="00305E65"/>
    <w:rsid w:val="00305F5E"/>
    <w:rsid w:val="00306079"/>
    <w:rsid w:val="00306083"/>
    <w:rsid w:val="00306130"/>
    <w:rsid w:val="0030613A"/>
    <w:rsid w:val="00306195"/>
    <w:rsid w:val="0030624B"/>
    <w:rsid w:val="00306379"/>
    <w:rsid w:val="0030637E"/>
    <w:rsid w:val="0030640B"/>
    <w:rsid w:val="00306597"/>
    <w:rsid w:val="00306642"/>
    <w:rsid w:val="00306708"/>
    <w:rsid w:val="003067D8"/>
    <w:rsid w:val="0030680A"/>
    <w:rsid w:val="0030681B"/>
    <w:rsid w:val="00306949"/>
    <w:rsid w:val="00306A6D"/>
    <w:rsid w:val="00306AF3"/>
    <w:rsid w:val="00306BF0"/>
    <w:rsid w:val="00306C7B"/>
    <w:rsid w:val="00306ECE"/>
    <w:rsid w:val="00307011"/>
    <w:rsid w:val="0030701B"/>
    <w:rsid w:val="00307071"/>
    <w:rsid w:val="00307241"/>
    <w:rsid w:val="00307398"/>
    <w:rsid w:val="00307788"/>
    <w:rsid w:val="003077FD"/>
    <w:rsid w:val="003078F9"/>
    <w:rsid w:val="00307B58"/>
    <w:rsid w:val="00307C7E"/>
    <w:rsid w:val="00307E18"/>
    <w:rsid w:val="00307EA3"/>
    <w:rsid w:val="0030D5AB"/>
    <w:rsid w:val="00310106"/>
    <w:rsid w:val="003101AE"/>
    <w:rsid w:val="003101E6"/>
    <w:rsid w:val="0031024B"/>
    <w:rsid w:val="0031031B"/>
    <w:rsid w:val="0031083C"/>
    <w:rsid w:val="0031090E"/>
    <w:rsid w:val="003109BF"/>
    <w:rsid w:val="00310BA6"/>
    <w:rsid w:val="00310D0A"/>
    <w:rsid w:val="003112BA"/>
    <w:rsid w:val="003115E7"/>
    <w:rsid w:val="00311699"/>
    <w:rsid w:val="00311925"/>
    <w:rsid w:val="0031194C"/>
    <w:rsid w:val="003119C5"/>
    <w:rsid w:val="00311AD8"/>
    <w:rsid w:val="00311B74"/>
    <w:rsid w:val="00311DB1"/>
    <w:rsid w:val="00311E41"/>
    <w:rsid w:val="00311FE6"/>
    <w:rsid w:val="00312035"/>
    <w:rsid w:val="003120AC"/>
    <w:rsid w:val="0031217D"/>
    <w:rsid w:val="003124AB"/>
    <w:rsid w:val="003124D1"/>
    <w:rsid w:val="0031250D"/>
    <w:rsid w:val="00312661"/>
    <w:rsid w:val="003126E7"/>
    <w:rsid w:val="003127E2"/>
    <w:rsid w:val="0031280E"/>
    <w:rsid w:val="003128C3"/>
    <w:rsid w:val="00312A1E"/>
    <w:rsid w:val="00312A4E"/>
    <w:rsid w:val="00312A72"/>
    <w:rsid w:val="00312CB1"/>
    <w:rsid w:val="00312D34"/>
    <w:rsid w:val="00312F08"/>
    <w:rsid w:val="00312FCA"/>
    <w:rsid w:val="0031305D"/>
    <w:rsid w:val="003130AC"/>
    <w:rsid w:val="00313164"/>
    <w:rsid w:val="003132E2"/>
    <w:rsid w:val="00313414"/>
    <w:rsid w:val="00313497"/>
    <w:rsid w:val="00313526"/>
    <w:rsid w:val="0031362D"/>
    <w:rsid w:val="0031372D"/>
    <w:rsid w:val="003137A8"/>
    <w:rsid w:val="00313901"/>
    <w:rsid w:val="00313A22"/>
    <w:rsid w:val="00313AB5"/>
    <w:rsid w:val="00313AF1"/>
    <w:rsid w:val="00313B18"/>
    <w:rsid w:val="00313C42"/>
    <w:rsid w:val="00313CFC"/>
    <w:rsid w:val="00314064"/>
    <w:rsid w:val="003140D0"/>
    <w:rsid w:val="00314275"/>
    <w:rsid w:val="0031434A"/>
    <w:rsid w:val="003145A2"/>
    <w:rsid w:val="003145E5"/>
    <w:rsid w:val="00314A65"/>
    <w:rsid w:val="00314AB3"/>
    <w:rsid w:val="00314AF5"/>
    <w:rsid w:val="00314BCF"/>
    <w:rsid w:val="00314CC0"/>
    <w:rsid w:val="00314D3E"/>
    <w:rsid w:val="00314E10"/>
    <w:rsid w:val="00314E20"/>
    <w:rsid w:val="00314E7D"/>
    <w:rsid w:val="00314FDA"/>
    <w:rsid w:val="0031512F"/>
    <w:rsid w:val="00315568"/>
    <w:rsid w:val="0031570E"/>
    <w:rsid w:val="0031575F"/>
    <w:rsid w:val="0031590B"/>
    <w:rsid w:val="0031598A"/>
    <w:rsid w:val="00315AAB"/>
    <w:rsid w:val="00315B49"/>
    <w:rsid w:val="00315C80"/>
    <w:rsid w:val="00315D90"/>
    <w:rsid w:val="00315E31"/>
    <w:rsid w:val="00315EAB"/>
    <w:rsid w:val="00315F87"/>
    <w:rsid w:val="003160A9"/>
    <w:rsid w:val="003160C1"/>
    <w:rsid w:val="00316136"/>
    <w:rsid w:val="00316522"/>
    <w:rsid w:val="003168A3"/>
    <w:rsid w:val="00316951"/>
    <w:rsid w:val="00316A65"/>
    <w:rsid w:val="00316B44"/>
    <w:rsid w:val="00316B61"/>
    <w:rsid w:val="00316CFB"/>
    <w:rsid w:val="003170DF"/>
    <w:rsid w:val="0031723D"/>
    <w:rsid w:val="00317400"/>
    <w:rsid w:val="00317537"/>
    <w:rsid w:val="0031756A"/>
    <w:rsid w:val="00317715"/>
    <w:rsid w:val="00317726"/>
    <w:rsid w:val="00317922"/>
    <w:rsid w:val="00317CCD"/>
    <w:rsid w:val="00317E74"/>
    <w:rsid w:val="003200E7"/>
    <w:rsid w:val="00320148"/>
    <w:rsid w:val="00320283"/>
    <w:rsid w:val="003202AE"/>
    <w:rsid w:val="003204EA"/>
    <w:rsid w:val="003206AE"/>
    <w:rsid w:val="00320746"/>
    <w:rsid w:val="0032088F"/>
    <w:rsid w:val="00320914"/>
    <w:rsid w:val="00320AD7"/>
    <w:rsid w:val="00320C33"/>
    <w:rsid w:val="00320D9D"/>
    <w:rsid w:val="00320E65"/>
    <w:rsid w:val="00320E8B"/>
    <w:rsid w:val="00321021"/>
    <w:rsid w:val="00321296"/>
    <w:rsid w:val="003212A6"/>
    <w:rsid w:val="0032144E"/>
    <w:rsid w:val="0032169F"/>
    <w:rsid w:val="0032177C"/>
    <w:rsid w:val="003219A6"/>
    <w:rsid w:val="00321AA7"/>
    <w:rsid w:val="00321C0E"/>
    <w:rsid w:val="00321D26"/>
    <w:rsid w:val="00321F23"/>
    <w:rsid w:val="00321F9C"/>
    <w:rsid w:val="0032221D"/>
    <w:rsid w:val="00322263"/>
    <w:rsid w:val="003223A9"/>
    <w:rsid w:val="003223B8"/>
    <w:rsid w:val="003225EA"/>
    <w:rsid w:val="0032260E"/>
    <w:rsid w:val="003226DE"/>
    <w:rsid w:val="00322767"/>
    <w:rsid w:val="00322843"/>
    <w:rsid w:val="00322B38"/>
    <w:rsid w:val="00322C08"/>
    <w:rsid w:val="00322C33"/>
    <w:rsid w:val="00323015"/>
    <w:rsid w:val="00323164"/>
    <w:rsid w:val="003231AA"/>
    <w:rsid w:val="003232F6"/>
    <w:rsid w:val="00323302"/>
    <w:rsid w:val="00323780"/>
    <w:rsid w:val="003237BE"/>
    <w:rsid w:val="00323B76"/>
    <w:rsid w:val="00323B82"/>
    <w:rsid w:val="00323E0E"/>
    <w:rsid w:val="00323E18"/>
    <w:rsid w:val="00323E83"/>
    <w:rsid w:val="00323ECD"/>
    <w:rsid w:val="003240F4"/>
    <w:rsid w:val="003243F4"/>
    <w:rsid w:val="003246BB"/>
    <w:rsid w:val="0032491C"/>
    <w:rsid w:val="00324990"/>
    <w:rsid w:val="00324A9D"/>
    <w:rsid w:val="00324AD0"/>
    <w:rsid w:val="00324AF4"/>
    <w:rsid w:val="00324B2F"/>
    <w:rsid w:val="00324BAD"/>
    <w:rsid w:val="00324D43"/>
    <w:rsid w:val="00324E7C"/>
    <w:rsid w:val="00324E95"/>
    <w:rsid w:val="00324FA9"/>
    <w:rsid w:val="00324FC7"/>
    <w:rsid w:val="00325160"/>
    <w:rsid w:val="003254C4"/>
    <w:rsid w:val="003254D7"/>
    <w:rsid w:val="00325666"/>
    <w:rsid w:val="00325714"/>
    <w:rsid w:val="00325833"/>
    <w:rsid w:val="00325A8A"/>
    <w:rsid w:val="00325C30"/>
    <w:rsid w:val="00325D28"/>
    <w:rsid w:val="00325DFF"/>
    <w:rsid w:val="00325E06"/>
    <w:rsid w:val="00325F50"/>
    <w:rsid w:val="00325F6A"/>
    <w:rsid w:val="00325F73"/>
    <w:rsid w:val="00325FDC"/>
    <w:rsid w:val="0032601B"/>
    <w:rsid w:val="0032615A"/>
    <w:rsid w:val="0032619E"/>
    <w:rsid w:val="00326282"/>
    <w:rsid w:val="003263F6"/>
    <w:rsid w:val="003264AC"/>
    <w:rsid w:val="003264DF"/>
    <w:rsid w:val="00326548"/>
    <w:rsid w:val="0032662B"/>
    <w:rsid w:val="0032666E"/>
    <w:rsid w:val="0032668B"/>
    <w:rsid w:val="003266FF"/>
    <w:rsid w:val="00326A66"/>
    <w:rsid w:val="00326B03"/>
    <w:rsid w:val="00326B09"/>
    <w:rsid w:val="00326C1C"/>
    <w:rsid w:val="00326CCF"/>
    <w:rsid w:val="00326D0D"/>
    <w:rsid w:val="00326EB6"/>
    <w:rsid w:val="003271C9"/>
    <w:rsid w:val="0032724A"/>
    <w:rsid w:val="00327342"/>
    <w:rsid w:val="00327515"/>
    <w:rsid w:val="003275F6"/>
    <w:rsid w:val="003278BF"/>
    <w:rsid w:val="0032794F"/>
    <w:rsid w:val="00327BF1"/>
    <w:rsid w:val="00327DEE"/>
    <w:rsid w:val="00327EB4"/>
    <w:rsid w:val="0033006D"/>
    <w:rsid w:val="003301BE"/>
    <w:rsid w:val="003301C3"/>
    <w:rsid w:val="00330226"/>
    <w:rsid w:val="00330289"/>
    <w:rsid w:val="003303B8"/>
    <w:rsid w:val="003303F7"/>
    <w:rsid w:val="00330597"/>
    <w:rsid w:val="0033059B"/>
    <w:rsid w:val="003305F7"/>
    <w:rsid w:val="0033068F"/>
    <w:rsid w:val="00330704"/>
    <w:rsid w:val="0033071D"/>
    <w:rsid w:val="0033088B"/>
    <w:rsid w:val="00330941"/>
    <w:rsid w:val="00330A5D"/>
    <w:rsid w:val="00330F17"/>
    <w:rsid w:val="00330F3E"/>
    <w:rsid w:val="00330F7B"/>
    <w:rsid w:val="00330F97"/>
    <w:rsid w:val="0033101D"/>
    <w:rsid w:val="00331033"/>
    <w:rsid w:val="0033109A"/>
    <w:rsid w:val="00331100"/>
    <w:rsid w:val="0033125B"/>
    <w:rsid w:val="003313AF"/>
    <w:rsid w:val="003313C3"/>
    <w:rsid w:val="003313DF"/>
    <w:rsid w:val="003313FC"/>
    <w:rsid w:val="00331448"/>
    <w:rsid w:val="00331552"/>
    <w:rsid w:val="00331577"/>
    <w:rsid w:val="003315FE"/>
    <w:rsid w:val="00331639"/>
    <w:rsid w:val="00331744"/>
    <w:rsid w:val="003317DB"/>
    <w:rsid w:val="003318B0"/>
    <w:rsid w:val="003318B9"/>
    <w:rsid w:val="003319D1"/>
    <w:rsid w:val="00331B0D"/>
    <w:rsid w:val="00331B12"/>
    <w:rsid w:val="00331C2E"/>
    <w:rsid w:val="00331DC7"/>
    <w:rsid w:val="00331EFE"/>
    <w:rsid w:val="00331FDD"/>
    <w:rsid w:val="00332419"/>
    <w:rsid w:val="00332469"/>
    <w:rsid w:val="0033255D"/>
    <w:rsid w:val="003327CE"/>
    <w:rsid w:val="003327EC"/>
    <w:rsid w:val="00332867"/>
    <w:rsid w:val="0033296C"/>
    <w:rsid w:val="003329EF"/>
    <w:rsid w:val="0033308A"/>
    <w:rsid w:val="00333118"/>
    <w:rsid w:val="00333164"/>
    <w:rsid w:val="00333769"/>
    <w:rsid w:val="003337F4"/>
    <w:rsid w:val="003338B1"/>
    <w:rsid w:val="0033394E"/>
    <w:rsid w:val="00333A68"/>
    <w:rsid w:val="00333AAE"/>
    <w:rsid w:val="00333ACC"/>
    <w:rsid w:val="00333AF7"/>
    <w:rsid w:val="00333CAB"/>
    <w:rsid w:val="00333E44"/>
    <w:rsid w:val="00333F4E"/>
    <w:rsid w:val="00334056"/>
    <w:rsid w:val="0033408E"/>
    <w:rsid w:val="003340FD"/>
    <w:rsid w:val="003341DE"/>
    <w:rsid w:val="0033431F"/>
    <w:rsid w:val="0033435C"/>
    <w:rsid w:val="003343D5"/>
    <w:rsid w:val="003344CF"/>
    <w:rsid w:val="003344FA"/>
    <w:rsid w:val="00334530"/>
    <w:rsid w:val="0033468D"/>
    <w:rsid w:val="003346E4"/>
    <w:rsid w:val="00334810"/>
    <w:rsid w:val="00334AAD"/>
    <w:rsid w:val="00334D23"/>
    <w:rsid w:val="00334FDF"/>
    <w:rsid w:val="003350AA"/>
    <w:rsid w:val="003350CC"/>
    <w:rsid w:val="0033529A"/>
    <w:rsid w:val="0033537D"/>
    <w:rsid w:val="00335406"/>
    <w:rsid w:val="00335456"/>
    <w:rsid w:val="003354B6"/>
    <w:rsid w:val="003355D9"/>
    <w:rsid w:val="00335731"/>
    <w:rsid w:val="0033584C"/>
    <w:rsid w:val="003359F1"/>
    <w:rsid w:val="00335A03"/>
    <w:rsid w:val="00335A4B"/>
    <w:rsid w:val="00335B14"/>
    <w:rsid w:val="00335BED"/>
    <w:rsid w:val="00335D2B"/>
    <w:rsid w:val="00335D64"/>
    <w:rsid w:val="00335E32"/>
    <w:rsid w:val="00335F48"/>
    <w:rsid w:val="00335FEC"/>
    <w:rsid w:val="00335FFB"/>
    <w:rsid w:val="00336136"/>
    <w:rsid w:val="003363FA"/>
    <w:rsid w:val="00336413"/>
    <w:rsid w:val="00336571"/>
    <w:rsid w:val="00336867"/>
    <w:rsid w:val="00336890"/>
    <w:rsid w:val="00336A54"/>
    <w:rsid w:val="00336A8C"/>
    <w:rsid w:val="00336B97"/>
    <w:rsid w:val="00336D3E"/>
    <w:rsid w:val="00336D6F"/>
    <w:rsid w:val="00337365"/>
    <w:rsid w:val="003374CD"/>
    <w:rsid w:val="00337571"/>
    <w:rsid w:val="0033775C"/>
    <w:rsid w:val="00337878"/>
    <w:rsid w:val="00337A48"/>
    <w:rsid w:val="00337A7B"/>
    <w:rsid w:val="00337AC1"/>
    <w:rsid w:val="00337B1E"/>
    <w:rsid w:val="00337B24"/>
    <w:rsid w:val="00337B31"/>
    <w:rsid w:val="00337B52"/>
    <w:rsid w:val="00337D9E"/>
    <w:rsid w:val="00337DBB"/>
    <w:rsid w:val="00337FED"/>
    <w:rsid w:val="0034003F"/>
    <w:rsid w:val="0034024E"/>
    <w:rsid w:val="003402B0"/>
    <w:rsid w:val="00340441"/>
    <w:rsid w:val="00340598"/>
    <w:rsid w:val="00340602"/>
    <w:rsid w:val="00340691"/>
    <w:rsid w:val="003406E1"/>
    <w:rsid w:val="0034097E"/>
    <w:rsid w:val="00340A0B"/>
    <w:rsid w:val="00340D41"/>
    <w:rsid w:val="00340E73"/>
    <w:rsid w:val="00340E9E"/>
    <w:rsid w:val="00340F0F"/>
    <w:rsid w:val="00340F37"/>
    <w:rsid w:val="00341253"/>
    <w:rsid w:val="003412E2"/>
    <w:rsid w:val="0034135C"/>
    <w:rsid w:val="0034158B"/>
    <w:rsid w:val="003415C6"/>
    <w:rsid w:val="00341A98"/>
    <w:rsid w:val="00341B17"/>
    <w:rsid w:val="00341BB0"/>
    <w:rsid w:val="00341D59"/>
    <w:rsid w:val="00341FE5"/>
    <w:rsid w:val="003420D7"/>
    <w:rsid w:val="003421A3"/>
    <w:rsid w:val="00342252"/>
    <w:rsid w:val="003424AF"/>
    <w:rsid w:val="003425E1"/>
    <w:rsid w:val="0034292E"/>
    <w:rsid w:val="00342A76"/>
    <w:rsid w:val="00342B66"/>
    <w:rsid w:val="00342C51"/>
    <w:rsid w:val="00342E13"/>
    <w:rsid w:val="003431BA"/>
    <w:rsid w:val="00343284"/>
    <w:rsid w:val="00343327"/>
    <w:rsid w:val="00343619"/>
    <w:rsid w:val="00343973"/>
    <w:rsid w:val="003439C1"/>
    <w:rsid w:val="00343A12"/>
    <w:rsid w:val="00343A43"/>
    <w:rsid w:val="00343AF7"/>
    <w:rsid w:val="00343D06"/>
    <w:rsid w:val="00343D4E"/>
    <w:rsid w:val="00343F15"/>
    <w:rsid w:val="00343F1C"/>
    <w:rsid w:val="00343FAC"/>
    <w:rsid w:val="003440EE"/>
    <w:rsid w:val="00344117"/>
    <w:rsid w:val="003441A5"/>
    <w:rsid w:val="00344236"/>
    <w:rsid w:val="00344284"/>
    <w:rsid w:val="003445E3"/>
    <w:rsid w:val="00344675"/>
    <w:rsid w:val="00344B1E"/>
    <w:rsid w:val="00344B8D"/>
    <w:rsid w:val="00344ED8"/>
    <w:rsid w:val="00344F23"/>
    <w:rsid w:val="00344F3F"/>
    <w:rsid w:val="00344F6F"/>
    <w:rsid w:val="003450AD"/>
    <w:rsid w:val="00345136"/>
    <w:rsid w:val="0034515C"/>
    <w:rsid w:val="00345189"/>
    <w:rsid w:val="0034537E"/>
    <w:rsid w:val="003453B8"/>
    <w:rsid w:val="00345477"/>
    <w:rsid w:val="00345C47"/>
    <w:rsid w:val="00345C48"/>
    <w:rsid w:val="00345CD8"/>
    <w:rsid w:val="00345D4D"/>
    <w:rsid w:val="00345E0F"/>
    <w:rsid w:val="00345F53"/>
    <w:rsid w:val="00345FBA"/>
    <w:rsid w:val="00346212"/>
    <w:rsid w:val="0034630E"/>
    <w:rsid w:val="0034632B"/>
    <w:rsid w:val="00346541"/>
    <w:rsid w:val="003466C2"/>
    <w:rsid w:val="00346901"/>
    <w:rsid w:val="0034694B"/>
    <w:rsid w:val="00346A1A"/>
    <w:rsid w:val="00346BBB"/>
    <w:rsid w:val="00346D57"/>
    <w:rsid w:val="00346D99"/>
    <w:rsid w:val="00346DC9"/>
    <w:rsid w:val="00347159"/>
    <w:rsid w:val="003471D0"/>
    <w:rsid w:val="003471EE"/>
    <w:rsid w:val="003472CD"/>
    <w:rsid w:val="00347319"/>
    <w:rsid w:val="0034741D"/>
    <w:rsid w:val="00347488"/>
    <w:rsid w:val="00347543"/>
    <w:rsid w:val="00347728"/>
    <w:rsid w:val="0034772C"/>
    <w:rsid w:val="00347730"/>
    <w:rsid w:val="00347781"/>
    <w:rsid w:val="00347968"/>
    <w:rsid w:val="00347A00"/>
    <w:rsid w:val="00347A9C"/>
    <w:rsid w:val="00347AF9"/>
    <w:rsid w:val="00347B4E"/>
    <w:rsid w:val="00347D55"/>
    <w:rsid w:val="00347E2C"/>
    <w:rsid w:val="00347EBC"/>
    <w:rsid w:val="00350180"/>
    <w:rsid w:val="003501D0"/>
    <w:rsid w:val="003503A6"/>
    <w:rsid w:val="00350424"/>
    <w:rsid w:val="0035048D"/>
    <w:rsid w:val="00350494"/>
    <w:rsid w:val="003504AC"/>
    <w:rsid w:val="003506C9"/>
    <w:rsid w:val="00350857"/>
    <w:rsid w:val="00350A3C"/>
    <w:rsid w:val="00350E05"/>
    <w:rsid w:val="00350FDE"/>
    <w:rsid w:val="0035103A"/>
    <w:rsid w:val="003510A2"/>
    <w:rsid w:val="00351376"/>
    <w:rsid w:val="003515DB"/>
    <w:rsid w:val="0035163A"/>
    <w:rsid w:val="0035165C"/>
    <w:rsid w:val="00351660"/>
    <w:rsid w:val="003516B6"/>
    <w:rsid w:val="00351B32"/>
    <w:rsid w:val="00352030"/>
    <w:rsid w:val="0035215D"/>
    <w:rsid w:val="003521CA"/>
    <w:rsid w:val="0035225C"/>
    <w:rsid w:val="003522F6"/>
    <w:rsid w:val="0035235A"/>
    <w:rsid w:val="00352415"/>
    <w:rsid w:val="00352512"/>
    <w:rsid w:val="0035277E"/>
    <w:rsid w:val="00352832"/>
    <w:rsid w:val="003528EC"/>
    <w:rsid w:val="0035290B"/>
    <w:rsid w:val="00352B91"/>
    <w:rsid w:val="00352C50"/>
    <w:rsid w:val="00352E0C"/>
    <w:rsid w:val="00352E70"/>
    <w:rsid w:val="00352E75"/>
    <w:rsid w:val="003530D8"/>
    <w:rsid w:val="00353190"/>
    <w:rsid w:val="003532FE"/>
    <w:rsid w:val="00353362"/>
    <w:rsid w:val="00353367"/>
    <w:rsid w:val="00353767"/>
    <w:rsid w:val="003538BC"/>
    <w:rsid w:val="00353AA9"/>
    <w:rsid w:val="00353ACE"/>
    <w:rsid w:val="00353B6A"/>
    <w:rsid w:val="00353BAC"/>
    <w:rsid w:val="00353D21"/>
    <w:rsid w:val="00353D49"/>
    <w:rsid w:val="003541D9"/>
    <w:rsid w:val="003542A2"/>
    <w:rsid w:val="00354411"/>
    <w:rsid w:val="00354482"/>
    <w:rsid w:val="00354546"/>
    <w:rsid w:val="003547D7"/>
    <w:rsid w:val="00354842"/>
    <w:rsid w:val="0035487A"/>
    <w:rsid w:val="003549A8"/>
    <w:rsid w:val="00354A1E"/>
    <w:rsid w:val="00354A1F"/>
    <w:rsid w:val="00354BA1"/>
    <w:rsid w:val="00354BA8"/>
    <w:rsid w:val="00354CB7"/>
    <w:rsid w:val="00354D57"/>
    <w:rsid w:val="00354F5D"/>
    <w:rsid w:val="00354FE3"/>
    <w:rsid w:val="0035507A"/>
    <w:rsid w:val="003551AC"/>
    <w:rsid w:val="0035520C"/>
    <w:rsid w:val="0035523A"/>
    <w:rsid w:val="003553FA"/>
    <w:rsid w:val="0035549E"/>
    <w:rsid w:val="003554F4"/>
    <w:rsid w:val="0035576B"/>
    <w:rsid w:val="0035581A"/>
    <w:rsid w:val="00355A98"/>
    <w:rsid w:val="00355FE6"/>
    <w:rsid w:val="0035609E"/>
    <w:rsid w:val="003560CB"/>
    <w:rsid w:val="00356428"/>
    <w:rsid w:val="003564D0"/>
    <w:rsid w:val="003564E3"/>
    <w:rsid w:val="003565BD"/>
    <w:rsid w:val="0035663B"/>
    <w:rsid w:val="0035669F"/>
    <w:rsid w:val="0035677D"/>
    <w:rsid w:val="0035687E"/>
    <w:rsid w:val="00356ADE"/>
    <w:rsid w:val="00356AFA"/>
    <w:rsid w:val="00356D24"/>
    <w:rsid w:val="00356E0A"/>
    <w:rsid w:val="00356E69"/>
    <w:rsid w:val="00356F64"/>
    <w:rsid w:val="003572B2"/>
    <w:rsid w:val="00357539"/>
    <w:rsid w:val="00357969"/>
    <w:rsid w:val="00357A71"/>
    <w:rsid w:val="00357F8F"/>
    <w:rsid w:val="0035953C"/>
    <w:rsid w:val="003600C9"/>
    <w:rsid w:val="003600DB"/>
    <w:rsid w:val="00360220"/>
    <w:rsid w:val="0036037E"/>
    <w:rsid w:val="003605F1"/>
    <w:rsid w:val="003606DF"/>
    <w:rsid w:val="00360814"/>
    <w:rsid w:val="00360AB3"/>
    <w:rsid w:val="00360CA4"/>
    <w:rsid w:val="00360CEB"/>
    <w:rsid w:val="00360D2B"/>
    <w:rsid w:val="00360DA8"/>
    <w:rsid w:val="0036100B"/>
    <w:rsid w:val="003610C6"/>
    <w:rsid w:val="003611E8"/>
    <w:rsid w:val="00361247"/>
    <w:rsid w:val="0036152E"/>
    <w:rsid w:val="00361737"/>
    <w:rsid w:val="00361A47"/>
    <w:rsid w:val="00361ED5"/>
    <w:rsid w:val="00361F00"/>
    <w:rsid w:val="0036229F"/>
    <w:rsid w:val="003622D3"/>
    <w:rsid w:val="0036241B"/>
    <w:rsid w:val="0036254B"/>
    <w:rsid w:val="0036259C"/>
    <w:rsid w:val="003625AC"/>
    <w:rsid w:val="003625E7"/>
    <w:rsid w:val="0036261C"/>
    <w:rsid w:val="00362737"/>
    <w:rsid w:val="003628EA"/>
    <w:rsid w:val="00362B78"/>
    <w:rsid w:val="00362C03"/>
    <w:rsid w:val="00362CDC"/>
    <w:rsid w:val="00363204"/>
    <w:rsid w:val="0036335C"/>
    <w:rsid w:val="00363481"/>
    <w:rsid w:val="00363490"/>
    <w:rsid w:val="003637AB"/>
    <w:rsid w:val="003637FC"/>
    <w:rsid w:val="00363832"/>
    <w:rsid w:val="003638AF"/>
    <w:rsid w:val="00363BB0"/>
    <w:rsid w:val="00363CFF"/>
    <w:rsid w:val="00363D4E"/>
    <w:rsid w:val="00363D76"/>
    <w:rsid w:val="00363D8E"/>
    <w:rsid w:val="00363F03"/>
    <w:rsid w:val="0036405E"/>
    <w:rsid w:val="003643BE"/>
    <w:rsid w:val="003645E4"/>
    <w:rsid w:val="00364AD4"/>
    <w:rsid w:val="00364AEB"/>
    <w:rsid w:val="00364C59"/>
    <w:rsid w:val="00364CF9"/>
    <w:rsid w:val="00364FD5"/>
    <w:rsid w:val="003652F4"/>
    <w:rsid w:val="00365500"/>
    <w:rsid w:val="003658E0"/>
    <w:rsid w:val="003658E7"/>
    <w:rsid w:val="00365E39"/>
    <w:rsid w:val="00365EF2"/>
    <w:rsid w:val="003662BC"/>
    <w:rsid w:val="003664BF"/>
    <w:rsid w:val="00366590"/>
    <w:rsid w:val="00366615"/>
    <w:rsid w:val="003668AB"/>
    <w:rsid w:val="00366A98"/>
    <w:rsid w:val="00366E94"/>
    <w:rsid w:val="00366F87"/>
    <w:rsid w:val="00367144"/>
    <w:rsid w:val="0036739D"/>
    <w:rsid w:val="00367598"/>
    <w:rsid w:val="003675E1"/>
    <w:rsid w:val="003675EA"/>
    <w:rsid w:val="00367D09"/>
    <w:rsid w:val="00367F23"/>
    <w:rsid w:val="00367F38"/>
    <w:rsid w:val="00367FF6"/>
    <w:rsid w:val="0037015E"/>
    <w:rsid w:val="003702FE"/>
    <w:rsid w:val="00370465"/>
    <w:rsid w:val="00370490"/>
    <w:rsid w:val="003704AF"/>
    <w:rsid w:val="003707F7"/>
    <w:rsid w:val="00370847"/>
    <w:rsid w:val="003709C4"/>
    <w:rsid w:val="00370BA4"/>
    <w:rsid w:val="00370EB8"/>
    <w:rsid w:val="0037101E"/>
    <w:rsid w:val="003710BB"/>
    <w:rsid w:val="0037110C"/>
    <w:rsid w:val="00371191"/>
    <w:rsid w:val="003711C0"/>
    <w:rsid w:val="00371252"/>
    <w:rsid w:val="00371294"/>
    <w:rsid w:val="0037151A"/>
    <w:rsid w:val="0037163E"/>
    <w:rsid w:val="0037165B"/>
    <w:rsid w:val="00371AAC"/>
    <w:rsid w:val="00371C23"/>
    <w:rsid w:val="00371CF4"/>
    <w:rsid w:val="00371D77"/>
    <w:rsid w:val="00371FF7"/>
    <w:rsid w:val="00372362"/>
    <w:rsid w:val="0037254C"/>
    <w:rsid w:val="0037266F"/>
    <w:rsid w:val="00372683"/>
    <w:rsid w:val="00372721"/>
    <w:rsid w:val="0037275D"/>
    <w:rsid w:val="003729ED"/>
    <w:rsid w:val="00372AE4"/>
    <w:rsid w:val="00372B1F"/>
    <w:rsid w:val="00372CA6"/>
    <w:rsid w:val="00372D15"/>
    <w:rsid w:val="00372DDB"/>
    <w:rsid w:val="00372E2F"/>
    <w:rsid w:val="00372EB6"/>
    <w:rsid w:val="00373315"/>
    <w:rsid w:val="003736C7"/>
    <w:rsid w:val="003737E7"/>
    <w:rsid w:val="00373829"/>
    <w:rsid w:val="00373930"/>
    <w:rsid w:val="00373B62"/>
    <w:rsid w:val="00373B6C"/>
    <w:rsid w:val="00373E01"/>
    <w:rsid w:val="00373EA9"/>
    <w:rsid w:val="00373F70"/>
    <w:rsid w:val="00373F73"/>
    <w:rsid w:val="00374045"/>
    <w:rsid w:val="0037416B"/>
    <w:rsid w:val="003741CD"/>
    <w:rsid w:val="0037420A"/>
    <w:rsid w:val="00374371"/>
    <w:rsid w:val="0037440C"/>
    <w:rsid w:val="0037448A"/>
    <w:rsid w:val="00374766"/>
    <w:rsid w:val="003749C1"/>
    <w:rsid w:val="00374A54"/>
    <w:rsid w:val="00374AE2"/>
    <w:rsid w:val="00374E1A"/>
    <w:rsid w:val="00374E5B"/>
    <w:rsid w:val="00375012"/>
    <w:rsid w:val="003751ED"/>
    <w:rsid w:val="00375404"/>
    <w:rsid w:val="0037551F"/>
    <w:rsid w:val="0037552D"/>
    <w:rsid w:val="00375562"/>
    <w:rsid w:val="003757C7"/>
    <w:rsid w:val="00375AAD"/>
    <w:rsid w:val="00375AC1"/>
    <w:rsid w:val="00375C66"/>
    <w:rsid w:val="00375E6C"/>
    <w:rsid w:val="00375E6F"/>
    <w:rsid w:val="00375E8B"/>
    <w:rsid w:val="0037603C"/>
    <w:rsid w:val="00376045"/>
    <w:rsid w:val="00376075"/>
    <w:rsid w:val="00376090"/>
    <w:rsid w:val="00376264"/>
    <w:rsid w:val="00376314"/>
    <w:rsid w:val="0037643A"/>
    <w:rsid w:val="00376447"/>
    <w:rsid w:val="003765C4"/>
    <w:rsid w:val="00376779"/>
    <w:rsid w:val="0037677A"/>
    <w:rsid w:val="00376809"/>
    <w:rsid w:val="003769F7"/>
    <w:rsid w:val="00376ADF"/>
    <w:rsid w:val="00376C34"/>
    <w:rsid w:val="00376D19"/>
    <w:rsid w:val="00376E03"/>
    <w:rsid w:val="00376EB0"/>
    <w:rsid w:val="00377193"/>
    <w:rsid w:val="0037722E"/>
    <w:rsid w:val="003772E6"/>
    <w:rsid w:val="003773BD"/>
    <w:rsid w:val="0037741E"/>
    <w:rsid w:val="0037753B"/>
    <w:rsid w:val="003775E3"/>
    <w:rsid w:val="00377681"/>
    <w:rsid w:val="00377694"/>
    <w:rsid w:val="003777E2"/>
    <w:rsid w:val="003778B4"/>
    <w:rsid w:val="0037794B"/>
    <w:rsid w:val="00377AA0"/>
    <w:rsid w:val="00377B6D"/>
    <w:rsid w:val="00377B8E"/>
    <w:rsid w:val="00377BEC"/>
    <w:rsid w:val="00377D64"/>
    <w:rsid w:val="00377D93"/>
    <w:rsid w:val="00380186"/>
    <w:rsid w:val="003801BF"/>
    <w:rsid w:val="00380351"/>
    <w:rsid w:val="00380359"/>
    <w:rsid w:val="00380399"/>
    <w:rsid w:val="003805FF"/>
    <w:rsid w:val="0038092A"/>
    <w:rsid w:val="00380CB9"/>
    <w:rsid w:val="00380CFC"/>
    <w:rsid w:val="00380D57"/>
    <w:rsid w:val="00380D72"/>
    <w:rsid w:val="00380E71"/>
    <w:rsid w:val="003810EF"/>
    <w:rsid w:val="003812AE"/>
    <w:rsid w:val="0038136A"/>
    <w:rsid w:val="0038144D"/>
    <w:rsid w:val="003815FE"/>
    <w:rsid w:val="00381852"/>
    <w:rsid w:val="003819A5"/>
    <w:rsid w:val="00381B03"/>
    <w:rsid w:val="00381B0C"/>
    <w:rsid w:val="00381B60"/>
    <w:rsid w:val="00381B68"/>
    <w:rsid w:val="00381E0E"/>
    <w:rsid w:val="0038236D"/>
    <w:rsid w:val="003824CD"/>
    <w:rsid w:val="00382945"/>
    <w:rsid w:val="003829AC"/>
    <w:rsid w:val="003829E0"/>
    <w:rsid w:val="00382BA2"/>
    <w:rsid w:val="00383128"/>
    <w:rsid w:val="003832B2"/>
    <w:rsid w:val="003835F0"/>
    <w:rsid w:val="003836C4"/>
    <w:rsid w:val="00383769"/>
    <w:rsid w:val="00383937"/>
    <w:rsid w:val="003839D4"/>
    <w:rsid w:val="00383A38"/>
    <w:rsid w:val="00383A39"/>
    <w:rsid w:val="00383CFE"/>
    <w:rsid w:val="00383DA5"/>
    <w:rsid w:val="003840C9"/>
    <w:rsid w:val="0038422F"/>
    <w:rsid w:val="0038424C"/>
    <w:rsid w:val="00384266"/>
    <w:rsid w:val="003843EC"/>
    <w:rsid w:val="0038447B"/>
    <w:rsid w:val="00384733"/>
    <w:rsid w:val="00384971"/>
    <w:rsid w:val="00384B7B"/>
    <w:rsid w:val="00384BAB"/>
    <w:rsid w:val="00384DFD"/>
    <w:rsid w:val="0038569C"/>
    <w:rsid w:val="003856A5"/>
    <w:rsid w:val="003859BC"/>
    <w:rsid w:val="00385C5C"/>
    <w:rsid w:val="00385DD1"/>
    <w:rsid w:val="00385E83"/>
    <w:rsid w:val="00385F13"/>
    <w:rsid w:val="00386030"/>
    <w:rsid w:val="00386318"/>
    <w:rsid w:val="003864AA"/>
    <w:rsid w:val="003864B4"/>
    <w:rsid w:val="00386690"/>
    <w:rsid w:val="003866A9"/>
    <w:rsid w:val="00386790"/>
    <w:rsid w:val="003867DC"/>
    <w:rsid w:val="0038689F"/>
    <w:rsid w:val="00386B65"/>
    <w:rsid w:val="00386BAC"/>
    <w:rsid w:val="00386BE2"/>
    <w:rsid w:val="00386BE8"/>
    <w:rsid w:val="00386E65"/>
    <w:rsid w:val="00386FB6"/>
    <w:rsid w:val="00386FD7"/>
    <w:rsid w:val="00386FDF"/>
    <w:rsid w:val="003873FA"/>
    <w:rsid w:val="00387423"/>
    <w:rsid w:val="00387426"/>
    <w:rsid w:val="003874F2"/>
    <w:rsid w:val="003875B3"/>
    <w:rsid w:val="0038775E"/>
    <w:rsid w:val="00387DA7"/>
    <w:rsid w:val="0039003C"/>
    <w:rsid w:val="0039025F"/>
    <w:rsid w:val="003903EB"/>
    <w:rsid w:val="00390551"/>
    <w:rsid w:val="003907C1"/>
    <w:rsid w:val="0039087C"/>
    <w:rsid w:val="00390B5E"/>
    <w:rsid w:val="00390BB2"/>
    <w:rsid w:val="00390D26"/>
    <w:rsid w:val="00390EB3"/>
    <w:rsid w:val="00390F41"/>
    <w:rsid w:val="00391153"/>
    <w:rsid w:val="003914DF"/>
    <w:rsid w:val="00391691"/>
    <w:rsid w:val="003916E6"/>
    <w:rsid w:val="0039174B"/>
    <w:rsid w:val="00391BC6"/>
    <w:rsid w:val="00391E24"/>
    <w:rsid w:val="00391F0B"/>
    <w:rsid w:val="00392142"/>
    <w:rsid w:val="003924E0"/>
    <w:rsid w:val="003924E6"/>
    <w:rsid w:val="003924F3"/>
    <w:rsid w:val="0039252C"/>
    <w:rsid w:val="0039260F"/>
    <w:rsid w:val="00392898"/>
    <w:rsid w:val="00392BC3"/>
    <w:rsid w:val="00392C29"/>
    <w:rsid w:val="00392D26"/>
    <w:rsid w:val="00392E87"/>
    <w:rsid w:val="0039305C"/>
    <w:rsid w:val="00393087"/>
    <w:rsid w:val="003931BE"/>
    <w:rsid w:val="003931D8"/>
    <w:rsid w:val="00393314"/>
    <w:rsid w:val="00393354"/>
    <w:rsid w:val="0039336B"/>
    <w:rsid w:val="00393423"/>
    <w:rsid w:val="00393529"/>
    <w:rsid w:val="003935FB"/>
    <w:rsid w:val="00393B47"/>
    <w:rsid w:val="00393D73"/>
    <w:rsid w:val="00393DDD"/>
    <w:rsid w:val="003940F4"/>
    <w:rsid w:val="0039421A"/>
    <w:rsid w:val="003943FE"/>
    <w:rsid w:val="00394404"/>
    <w:rsid w:val="00394651"/>
    <w:rsid w:val="00394835"/>
    <w:rsid w:val="003949B8"/>
    <w:rsid w:val="00394A72"/>
    <w:rsid w:val="00394AD9"/>
    <w:rsid w:val="00394BD0"/>
    <w:rsid w:val="00394C4C"/>
    <w:rsid w:val="00394D17"/>
    <w:rsid w:val="003951E9"/>
    <w:rsid w:val="0039526D"/>
    <w:rsid w:val="003953F6"/>
    <w:rsid w:val="003954C6"/>
    <w:rsid w:val="00395CA5"/>
    <w:rsid w:val="00395EE2"/>
    <w:rsid w:val="00395F77"/>
    <w:rsid w:val="00396192"/>
    <w:rsid w:val="003961CB"/>
    <w:rsid w:val="00396446"/>
    <w:rsid w:val="00396599"/>
    <w:rsid w:val="003968FE"/>
    <w:rsid w:val="00396902"/>
    <w:rsid w:val="00396C22"/>
    <w:rsid w:val="00396E4F"/>
    <w:rsid w:val="00396F5E"/>
    <w:rsid w:val="00396F71"/>
    <w:rsid w:val="00396F8C"/>
    <w:rsid w:val="00397000"/>
    <w:rsid w:val="0039720C"/>
    <w:rsid w:val="003973FB"/>
    <w:rsid w:val="00397417"/>
    <w:rsid w:val="00397547"/>
    <w:rsid w:val="003976FE"/>
    <w:rsid w:val="00397797"/>
    <w:rsid w:val="00397851"/>
    <w:rsid w:val="003978A0"/>
    <w:rsid w:val="003978C3"/>
    <w:rsid w:val="00397ACE"/>
    <w:rsid w:val="00397B6F"/>
    <w:rsid w:val="00397DB9"/>
    <w:rsid w:val="0039FF09"/>
    <w:rsid w:val="003A0125"/>
    <w:rsid w:val="003A0287"/>
    <w:rsid w:val="003A05F4"/>
    <w:rsid w:val="003A0675"/>
    <w:rsid w:val="003A06D2"/>
    <w:rsid w:val="003A09E1"/>
    <w:rsid w:val="003A0A98"/>
    <w:rsid w:val="003A0AC7"/>
    <w:rsid w:val="003A0CA8"/>
    <w:rsid w:val="003A0EAD"/>
    <w:rsid w:val="003A10F4"/>
    <w:rsid w:val="003A11BD"/>
    <w:rsid w:val="003A1273"/>
    <w:rsid w:val="003A12EB"/>
    <w:rsid w:val="003A13CC"/>
    <w:rsid w:val="003A13D8"/>
    <w:rsid w:val="003A1497"/>
    <w:rsid w:val="003A1521"/>
    <w:rsid w:val="003A164C"/>
    <w:rsid w:val="003A16A0"/>
    <w:rsid w:val="003A177E"/>
    <w:rsid w:val="003A1974"/>
    <w:rsid w:val="003A19A7"/>
    <w:rsid w:val="003A1A40"/>
    <w:rsid w:val="003A1A9C"/>
    <w:rsid w:val="003A1CA0"/>
    <w:rsid w:val="003A209E"/>
    <w:rsid w:val="003A22F4"/>
    <w:rsid w:val="003A248B"/>
    <w:rsid w:val="003A2847"/>
    <w:rsid w:val="003A291B"/>
    <w:rsid w:val="003A2ADF"/>
    <w:rsid w:val="003A2C28"/>
    <w:rsid w:val="003A2DFF"/>
    <w:rsid w:val="003A2F41"/>
    <w:rsid w:val="003A2FCE"/>
    <w:rsid w:val="003A2FE7"/>
    <w:rsid w:val="003A3040"/>
    <w:rsid w:val="003A3057"/>
    <w:rsid w:val="003A317B"/>
    <w:rsid w:val="003A3241"/>
    <w:rsid w:val="003A3273"/>
    <w:rsid w:val="003A33C3"/>
    <w:rsid w:val="003A342E"/>
    <w:rsid w:val="003A3457"/>
    <w:rsid w:val="003A353F"/>
    <w:rsid w:val="003A35E2"/>
    <w:rsid w:val="003A36AE"/>
    <w:rsid w:val="003A378C"/>
    <w:rsid w:val="003A37E8"/>
    <w:rsid w:val="003A39B8"/>
    <w:rsid w:val="003A3BF4"/>
    <w:rsid w:val="003A3CC8"/>
    <w:rsid w:val="003A3D7C"/>
    <w:rsid w:val="003A3DDB"/>
    <w:rsid w:val="003A4124"/>
    <w:rsid w:val="003A4435"/>
    <w:rsid w:val="003A468E"/>
    <w:rsid w:val="003A4692"/>
    <w:rsid w:val="003A4750"/>
    <w:rsid w:val="003A483E"/>
    <w:rsid w:val="003A492C"/>
    <w:rsid w:val="003A4B4D"/>
    <w:rsid w:val="003A4C32"/>
    <w:rsid w:val="003A4C6D"/>
    <w:rsid w:val="003A4D93"/>
    <w:rsid w:val="003A4DBD"/>
    <w:rsid w:val="003A4E0D"/>
    <w:rsid w:val="003A4E1B"/>
    <w:rsid w:val="003A4E2D"/>
    <w:rsid w:val="003A4FFF"/>
    <w:rsid w:val="003A5079"/>
    <w:rsid w:val="003A50AF"/>
    <w:rsid w:val="003A519C"/>
    <w:rsid w:val="003A525E"/>
    <w:rsid w:val="003A54EA"/>
    <w:rsid w:val="003A5617"/>
    <w:rsid w:val="003A5739"/>
    <w:rsid w:val="003A5769"/>
    <w:rsid w:val="003A586A"/>
    <w:rsid w:val="003A5C08"/>
    <w:rsid w:val="003A5EB1"/>
    <w:rsid w:val="003A5F3F"/>
    <w:rsid w:val="003A6114"/>
    <w:rsid w:val="003A616E"/>
    <w:rsid w:val="003A6451"/>
    <w:rsid w:val="003A647D"/>
    <w:rsid w:val="003A64C7"/>
    <w:rsid w:val="003A654C"/>
    <w:rsid w:val="003A65A3"/>
    <w:rsid w:val="003A662C"/>
    <w:rsid w:val="003A69FD"/>
    <w:rsid w:val="003A6BCB"/>
    <w:rsid w:val="003A6F6A"/>
    <w:rsid w:val="003A706B"/>
    <w:rsid w:val="003A70C9"/>
    <w:rsid w:val="003A70E7"/>
    <w:rsid w:val="003A7274"/>
    <w:rsid w:val="003A72BA"/>
    <w:rsid w:val="003A7629"/>
    <w:rsid w:val="003A7646"/>
    <w:rsid w:val="003A76FA"/>
    <w:rsid w:val="003A777A"/>
    <w:rsid w:val="003A7A32"/>
    <w:rsid w:val="003A7A78"/>
    <w:rsid w:val="003A7BB5"/>
    <w:rsid w:val="003A7D6A"/>
    <w:rsid w:val="003A7E2E"/>
    <w:rsid w:val="003AAC3B"/>
    <w:rsid w:val="003B0047"/>
    <w:rsid w:val="003B006B"/>
    <w:rsid w:val="003B00DD"/>
    <w:rsid w:val="003B0402"/>
    <w:rsid w:val="003B0403"/>
    <w:rsid w:val="003B0597"/>
    <w:rsid w:val="003B06AE"/>
    <w:rsid w:val="003B07FA"/>
    <w:rsid w:val="003B0913"/>
    <w:rsid w:val="003B091B"/>
    <w:rsid w:val="003B0996"/>
    <w:rsid w:val="003B0BF3"/>
    <w:rsid w:val="003B0C9A"/>
    <w:rsid w:val="003B0F0C"/>
    <w:rsid w:val="003B0F72"/>
    <w:rsid w:val="003B1008"/>
    <w:rsid w:val="003B114D"/>
    <w:rsid w:val="003B117F"/>
    <w:rsid w:val="003B13B8"/>
    <w:rsid w:val="003B13BB"/>
    <w:rsid w:val="003B1507"/>
    <w:rsid w:val="003B1539"/>
    <w:rsid w:val="003B1650"/>
    <w:rsid w:val="003B1670"/>
    <w:rsid w:val="003B1754"/>
    <w:rsid w:val="003B1776"/>
    <w:rsid w:val="003B1CED"/>
    <w:rsid w:val="003B1D96"/>
    <w:rsid w:val="003B1E1E"/>
    <w:rsid w:val="003B2214"/>
    <w:rsid w:val="003B2317"/>
    <w:rsid w:val="003B24C5"/>
    <w:rsid w:val="003B2650"/>
    <w:rsid w:val="003B29F8"/>
    <w:rsid w:val="003B2A48"/>
    <w:rsid w:val="003B2A70"/>
    <w:rsid w:val="003B2A95"/>
    <w:rsid w:val="003B2BD9"/>
    <w:rsid w:val="003B2BE8"/>
    <w:rsid w:val="003B2C0E"/>
    <w:rsid w:val="003B2C2F"/>
    <w:rsid w:val="003B3007"/>
    <w:rsid w:val="003B329C"/>
    <w:rsid w:val="003B33BB"/>
    <w:rsid w:val="003B384D"/>
    <w:rsid w:val="003B388F"/>
    <w:rsid w:val="003B3983"/>
    <w:rsid w:val="003B39F4"/>
    <w:rsid w:val="003B3BB1"/>
    <w:rsid w:val="003B3BF2"/>
    <w:rsid w:val="003B3D72"/>
    <w:rsid w:val="003B3EA3"/>
    <w:rsid w:val="003B3FAC"/>
    <w:rsid w:val="003B4168"/>
    <w:rsid w:val="003B41D1"/>
    <w:rsid w:val="003B4355"/>
    <w:rsid w:val="003B43E0"/>
    <w:rsid w:val="003B4405"/>
    <w:rsid w:val="003B449B"/>
    <w:rsid w:val="003B44CE"/>
    <w:rsid w:val="003B4766"/>
    <w:rsid w:val="003B47DE"/>
    <w:rsid w:val="003B4820"/>
    <w:rsid w:val="003B4AEF"/>
    <w:rsid w:val="003B4D7F"/>
    <w:rsid w:val="003B4DA4"/>
    <w:rsid w:val="003B4DD9"/>
    <w:rsid w:val="003B4EEA"/>
    <w:rsid w:val="003B4FD4"/>
    <w:rsid w:val="003B509E"/>
    <w:rsid w:val="003B536C"/>
    <w:rsid w:val="003B53E5"/>
    <w:rsid w:val="003B551B"/>
    <w:rsid w:val="003B5645"/>
    <w:rsid w:val="003B572F"/>
    <w:rsid w:val="003B5793"/>
    <w:rsid w:val="003B5923"/>
    <w:rsid w:val="003B5A3C"/>
    <w:rsid w:val="003B5AC5"/>
    <w:rsid w:val="003B5B60"/>
    <w:rsid w:val="003B5D02"/>
    <w:rsid w:val="003B5F1B"/>
    <w:rsid w:val="003B5F2B"/>
    <w:rsid w:val="003B5F86"/>
    <w:rsid w:val="003B6031"/>
    <w:rsid w:val="003B61E2"/>
    <w:rsid w:val="003B61E5"/>
    <w:rsid w:val="003B62AD"/>
    <w:rsid w:val="003B62C4"/>
    <w:rsid w:val="003B6441"/>
    <w:rsid w:val="003B649D"/>
    <w:rsid w:val="003B64B8"/>
    <w:rsid w:val="003B6542"/>
    <w:rsid w:val="003B6633"/>
    <w:rsid w:val="003B68EB"/>
    <w:rsid w:val="003B6921"/>
    <w:rsid w:val="003B69C5"/>
    <w:rsid w:val="003B6AC8"/>
    <w:rsid w:val="003B6B2B"/>
    <w:rsid w:val="003B6CC0"/>
    <w:rsid w:val="003B6D2B"/>
    <w:rsid w:val="003B6EF8"/>
    <w:rsid w:val="003B6F12"/>
    <w:rsid w:val="003B7047"/>
    <w:rsid w:val="003B733E"/>
    <w:rsid w:val="003B74E1"/>
    <w:rsid w:val="003B751A"/>
    <w:rsid w:val="003B7574"/>
    <w:rsid w:val="003B75F9"/>
    <w:rsid w:val="003B7632"/>
    <w:rsid w:val="003B77E0"/>
    <w:rsid w:val="003B78B9"/>
    <w:rsid w:val="003B79DD"/>
    <w:rsid w:val="003B7BF7"/>
    <w:rsid w:val="003B7C10"/>
    <w:rsid w:val="003B7CDA"/>
    <w:rsid w:val="003B7EBC"/>
    <w:rsid w:val="003B7F75"/>
    <w:rsid w:val="003C087D"/>
    <w:rsid w:val="003C0A1F"/>
    <w:rsid w:val="003C0A34"/>
    <w:rsid w:val="003C0AE2"/>
    <w:rsid w:val="003C0B1D"/>
    <w:rsid w:val="003C0BD0"/>
    <w:rsid w:val="003C0CA9"/>
    <w:rsid w:val="003C0D0A"/>
    <w:rsid w:val="003C0E94"/>
    <w:rsid w:val="003C0F03"/>
    <w:rsid w:val="003C0F78"/>
    <w:rsid w:val="003C1047"/>
    <w:rsid w:val="003C105C"/>
    <w:rsid w:val="003C109F"/>
    <w:rsid w:val="003C113F"/>
    <w:rsid w:val="003C14D8"/>
    <w:rsid w:val="003C1621"/>
    <w:rsid w:val="003C1714"/>
    <w:rsid w:val="003C1731"/>
    <w:rsid w:val="003C18D6"/>
    <w:rsid w:val="003C196D"/>
    <w:rsid w:val="003C1B1B"/>
    <w:rsid w:val="003C1C3E"/>
    <w:rsid w:val="003C1E23"/>
    <w:rsid w:val="003C1F23"/>
    <w:rsid w:val="003C205F"/>
    <w:rsid w:val="003C21BD"/>
    <w:rsid w:val="003C220C"/>
    <w:rsid w:val="003C22E5"/>
    <w:rsid w:val="003C241A"/>
    <w:rsid w:val="003C241B"/>
    <w:rsid w:val="003C25E0"/>
    <w:rsid w:val="003C2718"/>
    <w:rsid w:val="003C278B"/>
    <w:rsid w:val="003C2822"/>
    <w:rsid w:val="003C2855"/>
    <w:rsid w:val="003C289F"/>
    <w:rsid w:val="003C28AF"/>
    <w:rsid w:val="003C2FE0"/>
    <w:rsid w:val="003C3286"/>
    <w:rsid w:val="003C32B3"/>
    <w:rsid w:val="003C32B5"/>
    <w:rsid w:val="003C3348"/>
    <w:rsid w:val="003C3786"/>
    <w:rsid w:val="003C37AF"/>
    <w:rsid w:val="003C39B9"/>
    <w:rsid w:val="003C3C4D"/>
    <w:rsid w:val="003C3C56"/>
    <w:rsid w:val="003C3C87"/>
    <w:rsid w:val="003C3CF1"/>
    <w:rsid w:val="003C3CF3"/>
    <w:rsid w:val="003C3EA3"/>
    <w:rsid w:val="003C3EFE"/>
    <w:rsid w:val="003C3F12"/>
    <w:rsid w:val="003C40F1"/>
    <w:rsid w:val="003C431B"/>
    <w:rsid w:val="003C4601"/>
    <w:rsid w:val="003C47AE"/>
    <w:rsid w:val="003C4C8A"/>
    <w:rsid w:val="003C4E6C"/>
    <w:rsid w:val="003C4EEE"/>
    <w:rsid w:val="003C4F53"/>
    <w:rsid w:val="003C4FFE"/>
    <w:rsid w:val="003C50E8"/>
    <w:rsid w:val="003C524B"/>
    <w:rsid w:val="003C55C5"/>
    <w:rsid w:val="003C568E"/>
    <w:rsid w:val="003C5713"/>
    <w:rsid w:val="003C5748"/>
    <w:rsid w:val="003C5E32"/>
    <w:rsid w:val="003C5F77"/>
    <w:rsid w:val="003C615A"/>
    <w:rsid w:val="003C63EF"/>
    <w:rsid w:val="003C6555"/>
    <w:rsid w:val="003C6577"/>
    <w:rsid w:val="003C6700"/>
    <w:rsid w:val="003C690A"/>
    <w:rsid w:val="003C6A76"/>
    <w:rsid w:val="003C6B6F"/>
    <w:rsid w:val="003C6BBC"/>
    <w:rsid w:val="003C6C3F"/>
    <w:rsid w:val="003C6E16"/>
    <w:rsid w:val="003C6E7D"/>
    <w:rsid w:val="003C6EAA"/>
    <w:rsid w:val="003C71C4"/>
    <w:rsid w:val="003C71FC"/>
    <w:rsid w:val="003C742B"/>
    <w:rsid w:val="003C74A2"/>
    <w:rsid w:val="003C7933"/>
    <w:rsid w:val="003C795A"/>
    <w:rsid w:val="003C7976"/>
    <w:rsid w:val="003C79D9"/>
    <w:rsid w:val="003C7DD2"/>
    <w:rsid w:val="003C7E3D"/>
    <w:rsid w:val="003D0126"/>
    <w:rsid w:val="003D014D"/>
    <w:rsid w:val="003D01DC"/>
    <w:rsid w:val="003D03F3"/>
    <w:rsid w:val="003D0550"/>
    <w:rsid w:val="003D0581"/>
    <w:rsid w:val="003D05C8"/>
    <w:rsid w:val="003D07B8"/>
    <w:rsid w:val="003D0897"/>
    <w:rsid w:val="003D099F"/>
    <w:rsid w:val="003D0C93"/>
    <w:rsid w:val="003D0E15"/>
    <w:rsid w:val="003D0E31"/>
    <w:rsid w:val="003D0E8D"/>
    <w:rsid w:val="003D1421"/>
    <w:rsid w:val="003D14C0"/>
    <w:rsid w:val="003D1589"/>
    <w:rsid w:val="003D168B"/>
    <w:rsid w:val="003D1918"/>
    <w:rsid w:val="003D192B"/>
    <w:rsid w:val="003D1B43"/>
    <w:rsid w:val="003D1B87"/>
    <w:rsid w:val="003D1F98"/>
    <w:rsid w:val="003D20F3"/>
    <w:rsid w:val="003D2225"/>
    <w:rsid w:val="003D246F"/>
    <w:rsid w:val="003D26B2"/>
    <w:rsid w:val="003D27B5"/>
    <w:rsid w:val="003D2818"/>
    <w:rsid w:val="003D29D0"/>
    <w:rsid w:val="003D29E2"/>
    <w:rsid w:val="003D2C1D"/>
    <w:rsid w:val="003D2F0E"/>
    <w:rsid w:val="003D2FEC"/>
    <w:rsid w:val="003D3068"/>
    <w:rsid w:val="003D332D"/>
    <w:rsid w:val="003D33AE"/>
    <w:rsid w:val="003D3523"/>
    <w:rsid w:val="003D36B9"/>
    <w:rsid w:val="003D3AC3"/>
    <w:rsid w:val="003D3ACA"/>
    <w:rsid w:val="003D3C96"/>
    <w:rsid w:val="003D3D5A"/>
    <w:rsid w:val="003D4223"/>
    <w:rsid w:val="003D4329"/>
    <w:rsid w:val="003D43E9"/>
    <w:rsid w:val="003D4458"/>
    <w:rsid w:val="003D4797"/>
    <w:rsid w:val="003D4847"/>
    <w:rsid w:val="003D492F"/>
    <w:rsid w:val="003D4A92"/>
    <w:rsid w:val="003D4C4B"/>
    <w:rsid w:val="003D4F56"/>
    <w:rsid w:val="003D4F9B"/>
    <w:rsid w:val="003D50A6"/>
    <w:rsid w:val="003D51AF"/>
    <w:rsid w:val="003D521F"/>
    <w:rsid w:val="003D53D5"/>
    <w:rsid w:val="003D53F7"/>
    <w:rsid w:val="003D5A27"/>
    <w:rsid w:val="003D5CC6"/>
    <w:rsid w:val="003D5DE0"/>
    <w:rsid w:val="003D5E21"/>
    <w:rsid w:val="003D5EB2"/>
    <w:rsid w:val="003D5F66"/>
    <w:rsid w:val="003D6078"/>
    <w:rsid w:val="003D6080"/>
    <w:rsid w:val="003D612D"/>
    <w:rsid w:val="003D6144"/>
    <w:rsid w:val="003D629B"/>
    <w:rsid w:val="003D62FD"/>
    <w:rsid w:val="003D6319"/>
    <w:rsid w:val="003D633B"/>
    <w:rsid w:val="003D648F"/>
    <w:rsid w:val="003D64A8"/>
    <w:rsid w:val="003D6529"/>
    <w:rsid w:val="003D6572"/>
    <w:rsid w:val="003D65F1"/>
    <w:rsid w:val="003D6715"/>
    <w:rsid w:val="003D6B0A"/>
    <w:rsid w:val="003D6B5F"/>
    <w:rsid w:val="003D6BC9"/>
    <w:rsid w:val="003D6E7E"/>
    <w:rsid w:val="003D71F8"/>
    <w:rsid w:val="003D7383"/>
    <w:rsid w:val="003D744E"/>
    <w:rsid w:val="003D75CE"/>
    <w:rsid w:val="003D7602"/>
    <w:rsid w:val="003D76B6"/>
    <w:rsid w:val="003D76DE"/>
    <w:rsid w:val="003D77B0"/>
    <w:rsid w:val="003D77E9"/>
    <w:rsid w:val="003D7837"/>
    <w:rsid w:val="003D78A9"/>
    <w:rsid w:val="003D7A9A"/>
    <w:rsid w:val="003D7B7B"/>
    <w:rsid w:val="003D7C84"/>
    <w:rsid w:val="003D7DE9"/>
    <w:rsid w:val="003D7F6D"/>
    <w:rsid w:val="003E00A5"/>
    <w:rsid w:val="003E0150"/>
    <w:rsid w:val="003E01BA"/>
    <w:rsid w:val="003E04A3"/>
    <w:rsid w:val="003E056C"/>
    <w:rsid w:val="003E078B"/>
    <w:rsid w:val="003E07C9"/>
    <w:rsid w:val="003E092A"/>
    <w:rsid w:val="003E0B57"/>
    <w:rsid w:val="003E0E7B"/>
    <w:rsid w:val="003E10FE"/>
    <w:rsid w:val="003E12B6"/>
    <w:rsid w:val="003E15B8"/>
    <w:rsid w:val="003E1713"/>
    <w:rsid w:val="003E182A"/>
    <w:rsid w:val="003E18D0"/>
    <w:rsid w:val="003E1933"/>
    <w:rsid w:val="003E19E3"/>
    <w:rsid w:val="003E1A52"/>
    <w:rsid w:val="003E1C0B"/>
    <w:rsid w:val="003E1C57"/>
    <w:rsid w:val="003E1CE3"/>
    <w:rsid w:val="003E1D67"/>
    <w:rsid w:val="003E2033"/>
    <w:rsid w:val="003E203B"/>
    <w:rsid w:val="003E219C"/>
    <w:rsid w:val="003E242C"/>
    <w:rsid w:val="003E244D"/>
    <w:rsid w:val="003E24AA"/>
    <w:rsid w:val="003E2599"/>
    <w:rsid w:val="003E2682"/>
    <w:rsid w:val="003E286C"/>
    <w:rsid w:val="003E2971"/>
    <w:rsid w:val="003E297C"/>
    <w:rsid w:val="003E29FD"/>
    <w:rsid w:val="003E2A71"/>
    <w:rsid w:val="003E2C0D"/>
    <w:rsid w:val="003E2C96"/>
    <w:rsid w:val="003E2E38"/>
    <w:rsid w:val="003E2EFE"/>
    <w:rsid w:val="003E2FB3"/>
    <w:rsid w:val="003E3048"/>
    <w:rsid w:val="003E32F2"/>
    <w:rsid w:val="003E3382"/>
    <w:rsid w:val="003E33E9"/>
    <w:rsid w:val="003E347A"/>
    <w:rsid w:val="003E3542"/>
    <w:rsid w:val="003E354E"/>
    <w:rsid w:val="003E39D5"/>
    <w:rsid w:val="003E3A7A"/>
    <w:rsid w:val="003E3B26"/>
    <w:rsid w:val="003E3DBA"/>
    <w:rsid w:val="003E3EA6"/>
    <w:rsid w:val="003E3FA1"/>
    <w:rsid w:val="003E4006"/>
    <w:rsid w:val="003E401D"/>
    <w:rsid w:val="003E409D"/>
    <w:rsid w:val="003E40CE"/>
    <w:rsid w:val="003E4521"/>
    <w:rsid w:val="003E4603"/>
    <w:rsid w:val="003E4639"/>
    <w:rsid w:val="003E46A7"/>
    <w:rsid w:val="003E46CB"/>
    <w:rsid w:val="003E4755"/>
    <w:rsid w:val="003E48A2"/>
    <w:rsid w:val="003E4900"/>
    <w:rsid w:val="003E49E1"/>
    <w:rsid w:val="003E4A0E"/>
    <w:rsid w:val="003E4A42"/>
    <w:rsid w:val="003E4A69"/>
    <w:rsid w:val="003E4B50"/>
    <w:rsid w:val="003E4BA3"/>
    <w:rsid w:val="003E4BAE"/>
    <w:rsid w:val="003E4CBB"/>
    <w:rsid w:val="003E4F1E"/>
    <w:rsid w:val="003E4FF0"/>
    <w:rsid w:val="003E5112"/>
    <w:rsid w:val="003E514D"/>
    <w:rsid w:val="003E5327"/>
    <w:rsid w:val="003E5412"/>
    <w:rsid w:val="003E5634"/>
    <w:rsid w:val="003E5643"/>
    <w:rsid w:val="003E572A"/>
    <w:rsid w:val="003E5B7F"/>
    <w:rsid w:val="003E61CA"/>
    <w:rsid w:val="003E622E"/>
    <w:rsid w:val="003E6387"/>
    <w:rsid w:val="003E6534"/>
    <w:rsid w:val="003E6573"/>
    <w:rsid w:val="003E6715"/>
    <w:rsid w:val="003E6963"/>
    <w:rsid w:val="003E6ACE"/>
    <w:rsid w:val="003E6C65"/>
    <w:rsid w:val="003E6CB3"/>
    <w:rsid w:val="003E6FC8"/>
    <w:rsid w:val="003E71C6"/>
    <w:rsid w:val="003E74BF"/>
    <w:rsid w:val="003E7515"/>
    <w:rsid w:val="003E77D0"/>
    <w:rsid w:val="003E7886"/>
    <w:rsid w:val="003E7B28"/>
    <w:rsid w:val="003E7B6D"/>
    <w:rsid w:val="003E7C4C"/>
    <w:rsid w:val="003E7D09"/>
    <w:rsid w:val="003E7DE0"/>
    <w:rsid w:val="003E7E97"/>
    <w:rsid w:val="003E7FD3"/>
    <w:rsid w:val="003F05C6"/>
    <w:rsid w:val="003F076D"/>
    <w:rsid w:val="003F095F"/>
    <w:rsid w:val="003F0AD8"/>
    <w:rsid w:val="003F0AF4"/>
    <w:rsid w:val="003F0B04"/>
    <w:rsid w:val="003F0B05"/>
    <w:rsid w:val="003F0CFF"/>
    <w:rsid w:val="003F0E5E"/>
    <w:rsid w:val="003F107E"/>
    <w:rsid w:val="003F1179"/>
    <w:rsid w:val="003F11BE"/>
    <w:rsid w:val="003F12D7"/>
    <w:rsid w:val="003F1378"/>
    <w:rsid w:val="003F1393"/>
    <w:rsid w:val="003F146B"/>
    <w:rsid w:val="003F1627"/>
    <w:rsid w:val="003F16A0"/>
    <w:rsid w:val="003F171F"/>
    <w:rsid w:val="003F1747"/>
    <w:rsid w:val="003F175F"/>
    <w:rsid w:val="003F17F9"/>
    <w:rsid w:val="003F1851"/>
    <w:rsid w:val="003F189F"/>
    <w:rsid w:val="003F18B6"/>
    <w:rsid w:val="003F18D5"/>
    <w:rsid w:val="003F18E1"/>
    <w:rsid w:val="003F197A"/>
    <w:rsid w:val="003F1F5F"/>
    <w:rsid w:val="003F202B"/>
    <w:rsid w:val="003F2236"/>
    <w:rsid w:val="003F23A7"/>
    <w:rsid w:val="003F23FF"/>
    <w:rsid w:val="003F245F"/>
    <w:rsid w:val="003F2508"/>
    <w:rsid w:val="003F2617"/>
    <w:rsid w:val="003F2619"/>
    <w:rsid w:val="003F281F"/>
    <w:rsid w:val="003F2C3D"/>
    <w:rsid w:val="003F2CC1"/>
    <w:rsid w:val="003F2D4F"/>
    <w:rsid w:val="003F2F36"/>
    <w:rsid w:val="003F306F"/>
    <w:rsid w:val="003F3408"/>
    <w:rsid w:val="003F34AA"/>
    <w:rsid w:val="003F3A85"/>
    <w:rsid w:val="003F3E68"/>
    <w:rsid w:val="003F3EA5"/>
    <w:rsid w:val="003F4019"/>
    <w:rsid w:val="003F4083"/>
    <w:rsid w:val="003F40C6"/>
    <w:rsid w:val="003F40EE"/>
    <w:rsid w:val="003F4152"/>
    <w:rsid w:val="003F415D"/>
    <w:rsid w:val="003F427F"/>
    <w:rsid w:val="003F4617"/>
    <w:rsid w:val="003F47C2"/>
    <w:rsid w:val="003F48E3"/>
    <w:rsid w:val="003F49E8"/>
    <w:rsid w:val="003F49F8"/>
    <w:rsid w:val="003F4A92"/>
    <w:rsid w:val="003F4B18"/>
    <w:rsid w:val="003F4CB4"/>
    <w:rsid w:val="003F4D1D"/>
    <w:rsid w:val="003F4DE7"/>
    <w:rsid w:val="003F4F11"/>
    <w:rsid w:val="003F4F2C"/>
    <w:rsid w:val="003F5055"/>
    <w:rsid w:val="003F52A7"/>
    <w:rsid w:val="003F54E3"/>
    <w:rsid w:val="003F5586"/>
    <w:rsid w:val="003F57F6"/>
    <w:rsid w:val="003F591A"/>
    <w:rsid w:val="003F5AA5"/>
    <w:rsid w:val="003F5CBC"/>
    <w:rsid w:val="003F5D67"/>
    <w:rsid w:val="003F5F09"/>
    <w:rsid w:val="003F6341"/>
    <w:rsid w:val="003F64C7"/>
    <w:rsid w:val="003F66C8"/>
    <w:rsid w:val="003F66CB"/>
    <w:rsid w:val="003F66D7"/>
    <w:rsid w:val="003F6721"/>
    <w:rsid w:val="003F68C8"/>
    <w:rsid w:val="003F6918"/>
    <w:rsid w:val="003F6C8D"/>
    <w:rsid w:val="003F6DB0"/>
    <w:rsid w:val="003F6DDD"/>
    <w:rsid w:val="003F7079"/>
    <w:rsid w:val="003F714E"/>
    <w:rsid w:val="003F72FF"/>
    <w:rsid w:val="003F766C"/>
    <w:rsid w:val="003F78BF"/>
    <w:rsid w:val="003F79A6"/>
    <w:rsid w:val="003F7BCD"/>
    <w:rsid w:val="003F7D42"/>
    <w:rsid w:val="003F7D68"/>
    <w:rsid w:val="003F7D96"/>
    <w:rsid w:val="003F7DD5"/>
    <w:rsid w:val="003F7F5B"/>
    <w:rsid w:val="003F7F93"/>
    <w:rsid w:val="00400246"/>
    <w:rsid w:val="004002CB"/>
    <w:rsid w:val="00400403"/>
    <w:rsid w:val="00400476"/>
    <w:rsid w:val="004005DD"/>
    <w:rsid w:val="004006C4"/>
    <w:rsid w:val="004006F0"/>
    <w:rsid w:val="00400978"/>
    <w:rsid w:val="00400A2C"/>
    <w:rsid w:val="00400BB3"/>
    <w:rsid w:val="00400C89"/>
    <w:rsid w:val="00400DAE"/>
    <w:rsid w:val="004010BD"/>
    <w:rsid w:val="0040118F"/>
    <w:rsid w:val="004011CF"/>
    <w:rsid w:val="004011E6"/>
    <w:rsid w:val="00401240"/>
    <w:rsid w:val="00401318"/>
    <w:rsid w:val="0040158F"/>
    <w:rsid w:val="00401719"/>
    <w:rsid w:val="004017F8"/>
    <w:rsid w:val="00401883"/>
    <w:rsid w:val="00401C7A"/>
    <w:rsid w:val="00401D29"/>
    <w:rsid w:val="00401E28"/>
    <w:rsid w:val="00401E97"/>
    <w:rsid w:val="00401ED5"/>
    <w:rsid w:val="00401F45"/>
    <w:rsid w:val="0040203E"/>
    <w:rsid w:val="00402354"/>
    <w:rsid w:val="00402384"/>
    <w:rsid w:val="00402529"/>
    <w:rsid w:val="00402732"/>
    <w:rsid w:val="004027F0"/>
    <w:rsid w:val="00402993"/>
    <w:rsid w:val="00402B34"/>
    <w:rsid w:val="00402FF7"/>
    <w:rsid w:val="004030F4"/>
    <w:rsid w:val="0040313F"/>
    <w:rsid w:val="0040323D"/>
    <w:rsid w:val="004033A5"/>
    <w:rsid w:val="0040356E"/>
    <w:rsid w:val="00403755"/>
    <w:rsid w:val="00403985"/>
    <w:rsid w:val="00403AAF"/>
    <w:rsid w:val="00403AF3"/>
    <w:rsid w:val="00403B57"/>
    <w:rsid w:val="00403DF2"/>
    <w:rsid w:val="00403E77"/>
    <w:rsid w:val="00403F45"/>
    <w:rsid w:val="00404079"/>
    <w:rsid w:val="004040A3"/>
    <w:rsid w:val="004041BA"/>
    <w:rsid w:val="004043B6"/>
    <w:rsid w:val="004045BE"/>
    <w:rsid w:val="0040460D"/>
    <w:rsid w:val="00404682"/>
    <w:rsid w:val="00404791"/>
    <w:rsid w:val="0040479A"/>
    <w:rsid w:val="004047BF"/>
    <w:rsid w:val="0040486D"/>
    <w:rsid w:val="00404922"/>
    <w:rsid w:val="00404987"/>
    <w:rsid w:val="00404A17"/>
    <w:rsid w:val="00404A4C"/>
    <w:rsid w:val="00404B7B"/>
    <w:rsid w:val="00404D33"/>
    <w:rsid w:val="00404E4B"/>
    <w:rsid w:val="00405132"/>
    <w:rsid w:val="004052D7"/>
    <w:rsid w:val="00405378"/>
    <w:rsid w:val="004054D0"/>
    <w:rsid w:val="0040559D"/>
    <w:rsid w:val="004055F2"/>
    <w:rsid w:val="004058DE"/>
    <w:rsid w:val="00405996"/>
    <w:rsid w:val="00405A08"/>
    <w:rsid w:val="00405A25"/>
    <w:rsid w:val="00405B2A"/>
    <w:rsid w:val="00406225"/>
    <w:rsid w:val="0040623A"/>
    <w:rsid w:val="004064A9"/>
    <w:rsid w:val="004064BA"/>
    <w:rsid w:val="00406685"/>
    <w:rsid w:val="004067FB"/>
    <w:rsid w:val="00406929"/>
    <w:rsid w:val="00406BD3"/>
    <w:rsid w:val="00406BE5"/>
    <w:rsid w:val="00406D38"/>
    <w:rsid w:val="00406ED9"/>
    <w:rsid w:val="00406F6A"/>
    <w:rsid w:val="00406FA8"/>
    <w:rsid w:val="0040701F"/>
    <w:rsid w:val="00407070"/>
    <w:rsid w:val="00407124"/>
    <w:rsid w:val="0040713C"/>
    <w:rsid w:val="004071AB"/>
    <w:rsid w:val="004072A1"/>
    <w:rsid w:val="00407484"/>
    <w:rsid w:val="0040748B"/>
    <w:rsid w:val="00407515"/>
    <w:rsid w:val="004076DD"/>
    <w:rsid w:val="00407782"/>
    <w:rsid w:val="00407991"/>
    <w:rsid w:val="00407B97"/>
    <w:rsid w:val="00407C90"/>
    <w:rsid w:val="00407DF9"/>
    <w:rsid w:val="00407F24"/>
    <w:rsid w:val="004101F4"/>
    <w:rsid w:val="004103EB"/>
    <w:rsid w:val="004104B9"/>
    <w:rsid w:val="00410713"/>
    <w:rsid w:val="004107F1"/>
    <w:rsid w:val="004108D0"/>
    <w:rsid w:val="004108D5"/>
    <w:rsid w:val="00410CF5"/>
    <w:rsid w:val="00410CFE"/>
    <w:rsid w:val="00410D57"/>
    <w:rsid w:val="00410E55"/>
    <w:rsid w:val="0041101F"/>
    <w:rsid w:val="00411067"/>
    <w:rsid w:val="004110E1"/>
    <w:rsid w:val="00411163"/>
    <w:rsid w:val="0041140A"/>
    <w:rsid w:val="00411440"/>
    <w:rsid w:val="004114CB"/>
    <w:rsid w:val="0041160A"/>
    <w:rsid w:val="00411849"/>
    <w:rsid w:val="00411894"/>
    <w:rsid w:val="00411C12"/>
    <w:rsid w:val="00411D82"/>
    <w:rsid w:val="00411D88"/>
    <w:rsid w:val="00412205"/>
    <w:rsid w:val="004122EB"/>
    <w:rsid w:val="00412657"/>
    <w:rsid w:val="00412694"/>
    <w:rsid w:val="00412695"/>
    <w:rsid w:val="00412C94"/>
    <w:rsid w:val="00412D43"/>
    <w:rsid w:val="00412D67"/>
    <w:rsid w:val="00413023"/>
    <w:rsid w:val="004130AF"/>
    <w:rsid w:val="00413943"/>
    <w:rsid w:val="00413A6A"/>
    <w:rsid w:val="00413D1C"/>
    <w:rsid w:val="00413F88"/>
    <w:rsid w:val="00413FC0"/>
    <w:rsid w:val="004140EC"/>
    <w:rsid w:val="0041428D"/>
    <w:rsid w:val="0041452B"/>
    <w:rsid w:val="00414775"/>
    <w:rsid w:val="00414785"/>
    <w:rsid w:val="00414796"/>
    <w:rsid w:val="00414964"/>
    <w:rsid w:val="00414B22"/>
    <w:rsid w:val="00414C90"/>
    <w:rsid w:val="00414D5A"/>
    <w:rsid w:val="00414D9C"/>
    <w:rsid w:val="00414ECA"/>
    <w:rsid w:val="00415354"/>
    <w:rsid w:val="00415369"/>
    <w:rsid w:val="00415558"/>
    <w:rsid w:val="0041585D"/>
    <w:rsid w:val="00415B70"/>
    <w:rsid w:val="00415C17"/>
    <w:rsid w:val="00415C1C"/>
    <w:rsid w:val="00415CA1"/>
    <w:rsid w:val="00415DF1"/>
    <w:rsid w:val="00415E94"/>
    <w:rsid w:val="00415F3F"/>
    <w:rsid w:val="004160B1"/>
    <w:rsid w:val="004161C2"/>
    <w:rsid w:val="004161C8"/>
    <w:rsid w:val="00416650"/>
    <w:rsid w:val="00416666"/>
    <w:rsid w:val="004166E0"/>
    <w:rsid w:val="004166E4"/>
    <w:rsid w:val="004167AC"/>
    <w:rsid w:val="004167E5"/>
    <w:rsid w:val="004169BB"/>
    <w:rsid w:val="00416B2D"/>
    <w:rsid w:val="00416D18"/>
    <w:rsid w:val="00416D75"/>
    <w:rsid w:val="00417074"/>
    <w:rsid w:val="004174F6"/>
    <w:rsid w:val="0041767E"/>
    <w:rsid w:val="004177D6"/>
    <w:rsid w:val="004177DC"/>
    <w:rsid w:val="00417AC4"/>
    <w:rsid w:val="00417BAD"/>
    <w:rsid w:val="00417D61"/>
    <w:rsid w:val="004203E1"/>
    <w:rsid w:val="004205B0"/>
    <w:rsid w:val="004206E0"/>
    <w:rsid w:val="00420757"/>
    <w:rsid w:val="00420864"/>
    <w:rsid w:val="00420968"/>
    <w:rsid w:val="00420A66"/>
    <w:rsid w:val="00420A73"/>
    <w:rsid w:val="00420D63"/>
    <w:rsid w:val="00420D7D"/>
    <w:rsid w:val="0042124D"/>
    <w:rsid w:val="004213A0"/>
    <w:rsid w:val="00421615"/>
    <w:rsid w:val="004216F5"/>
    <w:rsid w:val="0042193F"/>
    <w:rsid w:val="004219A8"/>
    <w:rsid w:val="00421BE8"/>
    <w:rsid w:val="00421DAE"/>
    <w:rsid w:val="00421EA7"/>
    <w:rsid w:val="00421FF1"/>
    <w:rsid w:val="0042212E"/>
    <w:rsid w:val="004221DC"/>
    <w:rsid w:val="0042228D"/>
    <w:rsid w:val="00422452"/>
    <w:rsid w:val="00422494"/>
    <w:rsid w:val="0042260C"/>
    <w:rsid w:val="004227F8"/>
    <w:rsid w:val="00422840"/>
    <w:rsid w:val="00422948"/>
    <w:rsid w:val="00422A4B"/>
    <w:rsid w:val="00422A53"/>
    <w:rsid w:val="00422B42"/>
    <w:rsid w:val="00422D96"/>
    <w:rsid w:val="00422DC1"/>
    <w:rsid w:val="0042316B"/>
    <w:rsid w:val="00423383"/>
    <w:rsid w:val="00423528"/>
    <w:rsid w:val="004235A4"/>
    <w:rsid w:val="004238FD"/>
    <w:rsid w:val="0042395E"/>
    <w:rsid w:val="004239BC"/>
    <w:rsid w:val="00423A01"/>
    <w:rsid w:val="00423A95"/>
    <w:rsid w:val="00423D16"/>
    <w:rsid w:val="00423D21"/>
    <w:rsid w:val="00423D7A"/>
    <w:rsid w:val="00423E10"/>
    <w:rsid w:val="00423E99"/>
    <w:rsid w:val="0042415B"/>
    <w:rsid w:val="004245BC"/>
    <w:rsid w:val="004246DA"/>
    <w:rsid w:val="004247BF"/>
    <w:rsid w:val="00424A32"/>
    <w:rsid w:val="00424CA4"/>
    <w:rsid w:val="00424CCF"/>
    <w:rsid w:val="00424CEA"/>
    <w:rsid w:val="00424D9D"/>
    <w:rsid w:val="00424EC9"/>
    <w:rsid w:val="0042533E"/>
    <w:rsid w:val="00425631"/>
    <w:rsid w:val="004256F4"/>
    <w:rsid w:val="0042573B"/>
    <w:rsid w:val="004258B2"/>
    <w:rsid w:val="0042596A"/>
    <w:rsid w:val="00425B15"/>
    <w:rsid w:val="00425C6A"/>
    <w:rsid w:val="00425C76"/>
    <w:rsid w:val="00425CAF"/>
    <w:rsid w:val="00425D69"/>
    <w:rsid w:val="00425D74"/>
    <w:rsid w:val="00425E7C"/>
    <w:rsid w:val="00425F28"/>
    <w:rsid w:val="00426021"/>
    <w:rsid w:val="004260CC"/>
    <w:rsid w:val="00426142"/>
    <w:rsid w:val="00426213"/>
    <w:rsid w:val="00426377"/>
    <w:rsid w:val="00426385"/>
    <w:rsid w:val="0042663B"/>
    <w:rsid w:val="00426668"/>
    <w:rsid w:val="004266A8"/>
    <w:rsid w:val="004266AF"/>
    <w:rsid w:val="004267D9"/>
    <w:rsid w:val="004269DC"/>
    <w:rsid w:val="00426A53"/>
    <w:rsid w:val="00426E79"/>
    <w:rsid w:val="00427123"/>
    <w:rsid w:val="004274AF"/>
    <w:rsid w:val="004279DF"/>
    <w:rsid w:val="00427A8B"/>
    <w:rsid w:val="00427BAD"/>
    <w:rsid w:val="00427EF2"/>
    <w:rsid w:val="00427FB5"/>
    <w:rsid w:val="00427FEB"/>
    <w:rsid w:val="0043000F"/>
    <w:rsid w:val="00430074"/>
    <w:rsid w:val="0043008D"/>
    <w:rsid w:val="00430098"/>
    <w:rsid w:val="004300E1"/>
    <w:rsid w:val="00430172"/>
    <w:rsid w:val="004301EC"/>
    <w:rsid w:val="00430208"/>
    <w:rsid w:val="00430238"/>
    <w:rsid w:val="00430291"/>
    <w:rsid w:val="00430323"/>
    <w:rsid w:val="00430357"/>
    <w:rsid w:val="00430469"/>
    <w:rsid w:val="004305E7"/>
    <w:rsid w:val="004306A5"/>
    <w:rsid w:val="004308A6"/>
    <w:rsid w:val="00430BD6"/>
    <w:rsid w:val="00430C1C"/>
    <w:rsid w:val="00430D0B"/>
    <w:rsid w:val="00430D0D"/>
    <w:rsid w:val="00430FCA"/>
    <w:rsid w:val="00431015"/>
    <w:rsid w:val="00431073"/>
    <w:rsid w:val="004310A9"/>
    <w:rsid w:val="0043124B"/>
    <w:rsid w:val="004312D7"/>
    <w:rsid w:val="0043132F"/>
    <w:rsid w:val="00431816"/>
    <w:rsid w:val="0043189E"/>
    <w:rsid w:val="00431D70"/>
    <w:rsid w:val="00431E78"/>
    <w:rsid w:val="00431F97"/>
    <w:rsid w:val="00432194"/>
    <w:rsid w:val="004321EF"/>
    <w:rsid w:val="00432205"/>
    <w:rsid w:val="004323AB"/>
    <w:rsid w:val="00432417"/>
    <w:rsid w:val="0043248F"/>
    <w:rsid w:val="00432570"/>
    <w:rsid w:val="00432687"/>
    <w:rsid w:val="00432704"/>
    <w:rsid w:val="00432780"/>
    <w:rsid w:val="004327D4"/>
    <w:rsid w:val="00432800"/>
    <w:rsid w:val="00432958"/>
    <w:rsid w:val="00432C04"/>
    <w:rsid w:val="00432D9E"/>
    <w:rsid w:val="00432E3B"/>
    <w:rsid w:val="00432EB0"/>
    <w:rsid w:val="00432F71"/>
    <w:rsid w:val="00432FCB"/>
    <w:rsid w:val="00433110"/>
    <w:rsid w:val="0043318D"/>
    <w:rsid w:val="0043319D"/>
    <w:rsid w:val="00433404"/>
    <w:rsid w:val="0043345B"/>
    <w:rsid w:val="00433476"/>
    <w:rsid w:val="00433533"/>
    <w:rsid w:val="0043377B"/>
    <w:rsid w:val="004338D0"/>
    <w:rsid w:val="004339E2"/>
    <w:rsid w:val="00433A47"/>
    <w:rsid w:val="00433B70"/>
    <w:rsid w:val="00433BFD"/>
    <w:rsid w:val="00433C3D"/>
    <w:rsid w:val="00433C59"/>
    <w:rsid w:val="00433CAC"/>
    <w:rsid w:val="00433E4F"/>
    <w:rsid w:val="00433E76"/>
    <w:rsid w:val="00433E9C"/>
    <w:rsid w:val="0043401D"/>
    <w:rsid w:val="0043418D"/>
    <w:rsid w:val="004342C6"/>
    <w:rsid w:val="004344C4"/>
    <w:rsid w:val="00434529"/>
    <w:rsid w:val="00434588"/>
    <w:rsid w:val="004347C4"/>
    <w:rsid w:val="00434AF0"/>
    <w:rsid w:val="00434AF9"/>
    <w:rsid w:val="00434B4A"/>
    <w:rsid w:val="00434C6C"/>
    <w:rsid w:val="00434E4F"/>
    <w:rsid w:val="00435223"/>
    <w:rsid w:val="0043524B"/>
    <w:rsid w:val="004352D1"/>
    <w:rsid w:val="004357C2"/>
    <w:rsid w:val="004357FF"/>
    <w:rsid w:val="00435881"/>
    <w:rsid w:val="00435A4D"/>
    <w:rsid w:val="00435AB9"/>
    <w:rsid w:val="00435AC5"/>
    <w:rsid w:val="00435DCA"/>
    <w:rsid w:val="004360EF"/>
    <w:rsid w:val="0043611C"/>
    <w:rsid w:val="004361B2"/>
    <w:rsid w:val="0043635D"/>
    <w:rsid w:val="00436536"/>
    <w:rsid w:val="0043656C"/>
    <w:rsid w:val="00436585"/>
    <w:rsid w:val="0043680D"/>
    <w:rsid w:val="00436A25"/>
    <w:rsid w:val="00436A4F"/>
    <w:rsid w:val="00436AA0"/>
    <w:rsid w:val="00436CF3"/>
    <w:rsid w:val="00436D9D"/>
    <w:rsid w:val="00436F5F"/>
    <w:rsid w:val="00436FFB"/>
    <w:rsid w:val="00437071"/>
    <w:rsid w:val="0043707D"/>
    <w:rsid w:val="00437117"/>
    <w:rsid w:val="0043746C"/>
    <w:rsid w:val="0043753C"/>
    <w:rsid w:val="004375DD"/>
    <w:rsid w:val="00437784"/>
    <w:rsid w:val="004377B9"/>
    <w:rsid w:val="004377D7"/>
    <w:rsid w:val="004378AD"/>
    <w:rsid w:val="004378CA"/>
    <w:rsid w:val="00437945"/>
    <w:rsid w:val="00437A3F"/>
    <w:rsid w:val="00437B47"/>
    <w:rsid w:val="00437D0D"/>
    <w:rsid w:val="00437E50"/>
    <w:rsid w:val="00437EF8"/>
    <w:rsid w:val="004400B2"/>
    <w:rsid w:val="00440163"/>
    <w:rsid w:val="0044032C"/>
    <w:rsid w:val="004403C5"/>
    <w:rsid w:val="0044081B"/>
    <w:rsid w:val="0044082D"/>
    <w:rsid w:val="0044082F"/>
    <w:rsid w:val="00440C31"/>
    <w:rsid w:val="00440C7F"/>
    <w:rsid w:val="00440C97"/>
    <w:rsid w:val="00440D8B"/>
    <w:rsid w:val="00440F8F"/>
    <w:rsid w:val="004410D7"/>
    <w:rsid w:val="00441240"/>
    <w:rsid w:val="00441456"/>
    <w:rsid w:val="0044157D"/>
    <w:rsid w:val="0044169B"/>
    <w:rsid w:val="00441D07"/>
    <w:rsid w:val="00441D7D"/>
    <w:rsid w:val="00441DFA"/>
    <w:rsid w:val="00442075"/>
    <w:rsid w:val="0044216D"/>
    <w:rsid w:val="00442476"/>
    <w:rsid w:val="004425B3"/>
    <w:rsid w:val="004426EE"/>
    <w:rsid w:val="00442738"/>
    <w:rsid w:val="00442903"/>
    <w:rsid w:val="00442DE0"/>
    <w:rsid w:val="00442EBC"/>
    <w:rsid w:val="00443023"/>
    <w:rsid w:val="00443177"/>
    <w:rsid w:val="00443189"/>
    <w:rsid w:val="004431B3"/>
    <w:rsid w:val="004432BD"/>
    <w:rsid w:val="004432D4"/>
    <w:rsid w:val="00443389"/>
    <w:rsid w:val="00443392"/>
    <w:rsid w:val="00443405"/>
    <w:rsid w:val="00443417"/>
    <w:rsid w:val="00443461"/>
    <w:rsid w:val="004434E1"/>
    <w:rsid w:val="004435A8"/>
    <w:rsid w:val="00443687"/>
    <w:rsid w:val="0044389E"/>
    <w:rsid w:val="00443A39"/>
    <w:rsid w:val="00443B71"/>
    <w:rsid w:val="00443BA2"/>
    <w:rsid w:val="00443D61"/>
    <w:rsid w:val="00443DA3"/>
    <w:rsid w:val="00443DA6"/>
    <w:rsid w:val="00443E43"/>
    <w:rsid w:val="00443EE0"/>
    <w:rsid w:val="00444620"/>
    <w:rsid w:val="0044471F"/>
    <w:rsid w:val="0044475B"/>
    <w:rsid w:val="00444849"/>
    <w:rsid w:val="0044487F"/>
    <w:rsid w:val="0044491F"/>
    <w:rsid w:val="00444AEF"/>
    <w:rsid w:val="00444AFF"/>
    <w:rsid w:val="00444C50"/>
    <w:rsid w:val="00444D09"/>
    <w:rsid w:val="00444D3C"/>
    <w:rsid w:val="00444D69"/>
    <w:rsid w:val="00444DAE"/>
    <w:rsid w:val="00444F74"/>
    <w:rsid w:val="00445107"/>
    <w:rsid w:val="00445136"/>
    <w:rsid w:val="0044515B"/>
    <w:rsid w:val="00445325"/>
    <w:rsid w:val="004453DE"/>
    <w:rsid w:val="0044561F"/>
    <w:rsid w:val="00445771"/>
    <w:rsid w:val="00445D4B"/>
    <w:rsid w:val="00445F1A"/>
    <w:rsid w:val="0044610C"/>
    <w:rsid w:val="004461D9"/>
    <w:rsid w:val="00446227"/>
    <w:rsid w:val="00446240"/>
    <w:rsid w:val="00446341"/>
    <w:rsid w:val="00446422"/>
    <w:rsid w:val="00446632"/>
    <w:rsid w:val="004466E6"/>
    <w:rsid w:val="004467F8"/>
    <w:rsid w:val="00446A3F"/>
    <w:rsid w:val="00446AF2"/>
    <w:rsid w:val="00446B46"/>
    <w:rsid w:val="00446FBF"/>
    <w:rsid w:val="00447011"/>
    <w:rsid w:val="004470C0"/>
    <w:rsid w:val="00447304"/>
    <w:rsid w:val="004475FF"/>
    <w:rsid w:val="00447733"/>
    <w:rsid w:val="00447B21"/>
    <w:rsid w:val="00447BF6"/>
    <w:rsid w:val="00447E52"/>
    <w:rsid w:val="004500D1"/>
    <w:rsid w:val="00450167"/>
    <w:rsid w:val="004502F7"/>
    <w:rsid w:val="00450371"/>
    <w:rsid w:val="004503B3"/>
    <w:rsid w:val="0045048C"/>
    <w:rsid w:val="004508DB"/>
    <w:rsid w:val="0045091D"/>
    <w:rsid w:val="00450A12"/>
    <w:rsid w:val="00450B7C"/>
    <w:rsid w:val="00450BE3"/>
    <w:rsid w:val="00450C46"/>
    <w:rsid w:val="00450CB8"/>
    <w:rsid w:val="00450D6E"/>
    <w:rsid w:val="00450DF1"/>
    <w:rsid w:val="00450F06"/>
    <w:rsid w:val="00450FA3"/>
    <w:rsid w:val="00451035"/>
    <w:rsid w:val="0045106B"/>
    <w:rsid w:val="00451136"/>
    <w:rsid w:val="0045116C"/>
    <w:rsid w:val="004511E6"/>
    <w:rsid w:val="0045146E"/>
    <w:rsid w:val="00451776"/>
    <w:rsid w:val="0045187B"/>
    <w:rsid w:val="004518DC"/>
    <w:rsid w:val="004518EC"/>
    <w:rsid w:val="004518F4"/>
    <w:rsid w:val="004518FE"/>
    <w:rsid w:val="00451B6D"/>
    <w:rsid w:val="00451BDD"/>
    <w:rsid w:val="00451CF9"/>
    <w:rsid w:val="00451D38"/>
    <w:rsid w:val="00451EFA"/>
    <w:rsid w:val="00451F01"/>
    <w:rsid w:val="00451F96"/>
    <w:rsid w:val="004520F2"/>
    <w:rsid w:val="00452264"/>
    <w:rsid w:val="004524D0"/>
    <w:rsid w:val="00452743"/>
    <w:rsid w:val="0045287C"/>
    <w:rsid w:val="0045288A"/>
    <w:rsid w:val="00452B4A"/>
    <w:rsid w:val="00452C99"/>
    <w:rsid w:val="00452CD9"/>
    <w:rsid w:val="00452EE5"/>
    <w:rsid w:val="004531F0"/>
    <w:rsid w:val="0045342C"/>
    <w:rsid w:val="004534CF"/>
    <w:rsid w:val="004535C8"/>
    <w:rsid w:val="004536C6"/>
    <w:rsid w:val="004537E7"/>
    <w:rsid w:val="00453822"/>
    <w:rsid w:val="004538B4"/>
    <w:rsid w:val="004538D6"/>
    <w:rsid w:val="00453AC4"/>
    <w:rsid w:val="00453B4C"/>
    <w:rsid w:val="00453CB0"/>
    <w:rsid w:val="00453E7C"/>
    <w:rsid w:val="00453EDF"/>
    <w:rsid w:val="004540D1"/>
    <w:rsid w:val="0045411B"/>
    <w:rsid w:val="0045418D"/>
    <w:rsid w:val="00454434"/>
    <w:rsid w:val="0045443B"/>
    <w:rsid w:val="00454468"/>
    <w:rsid w:val="0045447F"/>
    <w:rsid w:val="00454538"/>
    <w:rsid w:val="00454624"/>
    <w:rsid w:val="004548D8"/>
    <w:rsid w:val="00454920"/>
    <w:rsid w:val="00454931"/>
    <w:rsid w:val="004549C0"/>
    <w:rsid w:val="00454A25"/>
    <w:rsid w:val="00454BFF"/>
    <w:rsid w:val="00454C37"/>
    <w:rsid w:val="00454CA4"/>
    <w:rsid w:val="00454E7D"/>
    <w:rsid w:val="00454FAD"/>
    <w:rsid w:val="004551C2"/>
    <w:rsid w:val="004552D4"/>
    <w:rsid w:val="00455344"/>
    <w:rsid w:val="004555CD"/>
    <w:rsid w:val="00455722"/>
    <w:rsid w:val="00455799"/>
    <w:rsid w:val="0045593E"/>
    <w:rsid w:val="00455B2B"/>
    <w:rsid w:val="00455B3F"/>
    <w:rsid w:val="00455ECA"/>
    <w:rsid w:val="00455ED2"/>
    <w:rsid w:val="00456061"/>
    <w:rsid w:val="004565D9"/>
    <w:rsid w:val="00456716"/>
    <w:rsid w:val="00456743"/>
    <w:rsid w:val="00456801"/>
    <w:rsid w:val="0045683F"/>
    <w:rsid w:val="004568C0"/>
    <w:rsid w:val="00456A0B"/>
    <w:rsid w:val="00456A2A"/>
    <w:rsid w:val="00456A6C"/>
    <w:rsid w:val="00456B01"/>
    <w:rsid w:val="00456B99"/>
    <w:rsid w:val="00456CF8"/>
    <w:rsid w:val="00456E86"/>
    <w:rsid w:val="00456EC9"/>
    <w:rsid w:val="00456F13"/>
    <w:rsid w:val="00456F1A"/>
    <w:rsid w:val="00456F98"/>
    <w:rsid w:val="004570C6"/>
    <w:rsid w:val="004571D8"/>
    <w:rsid w:val="004572B9"/>
    <w:rsid w:val="00457537"/>
    <w:rsid w:val="00457584"/>
    <w:rsid w:val="004576F8"/>
    <w:rsid w:val="00457770"/>
    <w:rsid w:val="00457979"/>
    <w:rsid w:val="00457A25"/>
    <w:rsid w:val="00457AD5"/>
    <w:rsid w:val="00457BA2"/>
    <w:rsid w:val="00457BFC"/>
    <w:rsid w:val="00457DCC"/>
    <w:rsid w:val="00457EC7"/>
    <w:rsid w:val="00460094"/>
    <w:rsid w:val="004601ED"/>
    <w:rsid w:val="004602DE"/>
    <w:rsid w:val="0046054F"/>
    <w:rsid w:val="00460595"/>
    <w:rsid w:val="004605A8"/>
    <w:rsid w:val="0046065A"/>
    <w:rsid w:val="0046068F"/>
    <w:rsid w:val="00460864"/>
    <w:rsid w:val="004609D1"/>
    <w:rsid w:val="004609D7"/>
    <w:rsid w:val="00460ACA"/>
    <w:rsid w:val="00460BDE"/>
    <w:rsid w:val="00460E21"/>
    <w:rsid w:val="00461482"/>
    <w:rsid w:val="00461596"/>
    <w:rsid w:val="004617E1"/>
    <w:rsid w:val="00461870"/>
    <w:rsid w:val="00461986"/>
    <w:rsid w:val="00461FE6"/>
    <w:rsid w:val="0046223A"/>
    <w:rsid w:val="0046228A"/>
    <w:rsid w:val="0046236A"/>
    <w:rsid w:val="0046245A"/>
    <w:rsid w:val="004624B8"/>
    <w:rsid w:val="004625A0"/>
    <w:rsid w:val="004625B0"/>
    <w:rsid w:val="0046275D"/>
    <w:rsid w:val="00462966"/>
    <w:rsid w:val="004629BF"/>
    <w:rsid w:val="00462B1A"/>
    <w:rsid w:val="00462C8A"/>
    <w:rsid w:val="00462D23"/>
    <w:rsid w:val="00462DC6"/>
    <w:rsid w:val="00462E55"/>
    <w:rsid w:val="00462E70"/>
    <w:rsid w:val="00462EB3"/>
    <w:rsid w:val="004630F4"/>
    <w:rsid w:val="00463400"/>
    <w:rsid w:val="004635AC"/>
    <w:rsid w:val="0046389C"/>
    <w:rsid w:val="00463992"/>
    <w:rsid w:val="00463AEB"/>
    <w:rsid w:val="00463C7B"/>
    <w:rsid w:val="00463CD3"/>
    <w:rsid w:val="00463DD0"/>
    <w:rsid w:val="00463F24"/>
    <w:rsid w:val="00463FB6"/>
    <w:rsid w:val="004640D0"/>
    <w:rsid w:val="0046414D"/>
    <w:rsid w:val="004643F4"/>
    <w:rsid w:val="00464630"/>
    <w:rsid w:val="0046472A"/>
    <w:rsid w:val="00464862"/>
    <w:rsid w:val="00464890"/>
    <w:rsid w:val="0046490E"/>
    <w:rsid w:val="004649D9"/>
    <w:rsid w:val="00464C87"/>
    <w:rsid w:val="00464CC1"/>
    <w:rsid w:val="00464CD4"/>
    <w:rsid w:val="00464E31"/>
    <w:rsid w:val="00464F96"/>
    <w:rsid w:val="00464FC0"/>
    <w:rsid w:val="004651CF"/>
    <w:rsid w:val="0046534F"/>
    <w:rsid w:val="0046541C"/>
    <w:rsid w:val="00465457"/>
    <w:rsid w:val="004655C3"/>
    <w:rsid w:val="0046573D"/>
    <w:rsid w:val="00465867"/>
    <w:rsid w:val="00465BD8"/>
    <w:rsid w:val="00465C4A"/>
    <w:rsid w:val="00465CE9"/>
    <w:rsid w:val="00465D59"/>
    <w:rsid w:val="00465D6A"/>
    <w:rsid w:val="00465E11"/>
    <w:rsid w:val="0046611A"/>
    <w:rsid w:val="00466121"/>
    <w:rsid w:val="004664A1"/>
    <w:rsid w:val="00466807"/>
    <w:rsid w:val="0046694B"/>
    <w:rsid w:val="00466B1E"/>
    <w:rsid w:val="00466D35"/>
    <w:rsid w:val="00466E11"/>
    <w:rsid w:val="00467053"/>
    <w:rsid w:val="0046711B"/>
    <w:rsid w:val="00467275"/>
    <w:rsid w:val="00467317"/>
    <w:rsid w:val="004677AC"/>
    <w:rsid w:val="004677DF"/>
    <w:rsid w:val="004678DF"/>
    <w:rsid w:val="00467A23"/>
    <w:rsid w:val="00467A4F"/>
    <w:rsid w:val="00467AA9"/>
    <w:rsid w:val="00467B83"/>
    <w:rsid w:val="00467CB3"/>
    <w:rsid w:val="00467E39"/>
    <w:rsid w:val="00467E5E"/>
    <w:rsid w:val="0047001C"/>
    <w:rsid w:val="00470092"/>
    <w:rsid w:val="004700FA"/>
    <w:rsid w:val="00470408"/>
    <w:rsid w:val="004704EF"/>
    <w:rsid w:val="004704F4"/>
    <w:rsid w:val="0047058C"/>
    <w:rsid w:val="004708A1"/>
    <w:rsid w:val="004708E5"/>
    <w:rsid w:val="004708F1"/>
    <w:rsid w:val="004709E6"/>
    <w:rsid w:val="00470A98"/>
    <w:rsid w:val="00470AB5"/>
    <w:rsid w:val="00470E8E"/>
    <w:rsid w:val="00470F38"/>
    <w:rsid w:val="00470F6C"/>
    <w:rsid w:val="00471007"/>
    <w:rsid w:val="0047109B"/>
    <w:rsid w:val="0047116E"/>
    <w:rsid w:val="00471202"/>
    <w:rsid w:val="0047122C"/>
    <w:rsid w:val="004713EF"/>
    <w:rsid w:val="0047142C"/>
    <w:rsid w:val="00471588"/>
    <w:rsid w:val="00471685"/>
    <w:rsid w:val="00471869"/>
    <w:rsid w:val="00471968"/>
    <w:rsid w:val="004719F2"/>
    <w:rsid w:val="00471B35"/>
    <w:rsid w:val="00471B74"/>
    <w:rsid w:val="00471C27"/>
    <w:rsid w:val="00471E3B"/>
    <w:rsid w:val="00471EFC"/>
    <w:rsid w:val="00471F3C"/>
    <w:rsid w:val="00471FE2"/>
    <w:rsid w:val="00471FEE"/>
    <w:rsid w:val="0047202A"/>
    <w:rsid w:val="00472070"/>
    <w:rsid w:val="004722D6"/>
    <w:rsid w:val="00472482"/>
    <w:rsid w:val="00472653"/>
    <w:rsid w:val="0047274F"/>
    <w:rsid w:val="0047281E"/>
    <w:rsid w:val="00472956"/>
    <w:rsid w:val="00472BC1"/>
    <w:rsid w:val="00472D6B"/>
    <w:rsid w:val="004731BB"/>
    <w:rsid w:val="00473330"/>
    <w:rsid w:val="00473404"/>
    <w:rsid w:val="0047341C"/>
    <w:rsid w:val="00473719"/>
    <w:rsid w:val="004737F3"/>
    <w:rsid w:val="004738F4"/>
    <w:rsid w:val="00473A02"/>
    <w:rsid w:val="00473B65"/>
    <w:rsid w:val="00473DBA"/>
    <w:rsid w:val="00473DE6"/>
    <w:rsid w:val="00473E1E"/>
    <w:rsid w:val="00473EB4"/>
    <w:rsid w:val="00473F3E"/>
    <w:rsid w:val="00474140"/>
    <w:rsid w:val="00474340"/>
    <w:rsid w:val="0047438C"/>
    <w:rsid w:val="0047445F"/>
    <w:rsid w:val="00474564"/>
    <w:rsid w:val="004748D7"/>
    <w:rsid w:val="00474B81"/>
    <w:rsid w:val="00474B9B"/>
    <w:rsid w:val="00474C3E"/>
    <w:rsid w:val="00474C74"/>
    <w:rsid w:val="00474E66"/>
    <w:rsid w:val="00474E89"/>
    <w:rsid w:val="00474F8A"/>
    <w:rsid w:val="00475262"/>
    <w:rsid w:val="0047529F"/>
    <w:rsid w:val="004755CC"/>
    <w:rsid w:val="00475683"/>
    <w:rsid w:val="00475765"/>
    <w:rsid w:val="00475A26"/>
    <w:rsid w:val="00475B9A"/>
    <w:rsid w:val="00475C79"/>
    <w:rsid w:val="00475CA1"/>
    <w:rsid w:val="00475CFA"/>
    <w:rsid w:val="0047608D"/>
    <w:rsid w:val="00476322"/>
    <w:rsid w:val="00476438"/>
    <w:rsid w:val="00476587"/>
    <w:rsid w:val="00476686"/>
    <w:rsid w:val="004767BC"/>
    <w:rsid w:val="00476920"/>
    <w:rsid w:val="00476A96"/>
    <w:rsid w:val="00476C39"/>
    <w:rsid w:val="00476CDF"/>
    <w:rsid w:val="00476CF5"/>
    <w:rsid w:val="00476E2C"/>
    <w:rsid w:val="00476E67"/>
    <w:rsid w:val="00477076"/>
    <w:rsid w:val="0047738A"/>
    <w:rsid w:val="0047739B"/>
    <w:rsid w:val="0047746D"/>
    <w:rsid w:val="0047749A"/>
    <w:rsid w:val="004774EA"/>
    <w:rsid w:val="0047755A"/>
    <w:rsid w:val="0047782E"/>
    <w:rsid w:val="00477A51"/>
    <w:rsid w:val="00477B6E"/>
    <w:rsid w:val="00477BE8"/>
    <w:rsid w:val="00477C00"/>
    <w:rsid w:val="00477C9A"/>
    <w:rsid w:val="00477D61"/>
    <w:rsid w:val="0048007E"/>
    <w:rsid w:val="004802C3"/>
    <w:rsid w:val="00480503"/>
    <w:rsid w:val="00480593"/>
    <w:rsid w:val="00480599"/>
    <w:rsid w:val="004805DB"/>
    <w:rsid w:val="004806C5"/>
    <w:rsid w:val="004806D4"/>
    <w:rsid w:val="004808D2"/>
    <w:rsid w:val="004809A0"/>
    <w:rsid w:val="004809C9"/>
    <w:rsid w:val="00480A2D"/>
    <w:rsid w:val="00481260"/>
    <w:rsid w:val="0048126E"/>
    <w:rsid w:val="0048133D"/>
    <w:rsid w:val="004813A3"/>
    <w:rsid w:val="0048164A"/>
    <w:rsid w:val="0048185A"/>
    <w:rsid w:val="0048197D"/>
    <w:rsid w:val="00481B56"/>
    <w:rsid w:val="00481DC3"/>
    <w:rsid w:val="00481F44"/>
    <w:rsid w:val="00481F4B"/>
    <w:rsid w:val="00481F94"/>
    <w:rsid w:val="004820A3"/>
    <w:rsid w:val="0048212C"/>
    <w:rsid w:val="00482155"/>
    <w:rsid w:val="00482183"/>
    <w:rsid w:val="0048222A"/>
    <w:rsid w:val="00482464"/>
    <w:rsid w:val="00482602"/>
    <w:rsid w:val="00482621"/>
    <w:rsid w:val="00482761"/>
    <w:rsid w:val="004827E1"/>
    <w:rsid w:val="004828AF"/>
    <w:rsid w:val="004829B0"/>
    <w:rsid w:val="00482A66"/>
    <w:rsid w:val="00482A80"/>
    <w:rsid w:val="00482A95"/>
    <w:rsid w:val="00482C41"/>
    <w:rsid w:val="00482CBA"/>
    <w:rsid w:val="00482DC1"/>
    <w:rsid w:val="00482E55"/>
    <w:rsid w:val="00482F2F"/>
    <w:rsid w:val="00483132"/>
    <w:rsid w:val="004832CB"/>
    <w:rsid w:val="004834C4"/>
    <w:rsid w:val="00483626"/>
    <w:rsid w:val="004837CE"/>
    <w:rsid w:val="004838B7"/>
    <w:rsid w:val="00483B7B"/>
    <w:rsid w:val="00483D34"/>
    <w:rsid w:val="00483D43"/>
    <w:rsid w:val="00483D53"/>
    <w:rsid w:val="00483F23"/>
    <w:rsid w:val="00483F32"/>
    <w:rsid w:val="00484093"/>
    <w:rsid w:val="0048414B"/>
    <w:rsid w:val="00484233"/>
    <w:rsid w:val="004844EE"/>
    <w:rsid w:val="0048458E"/>
    <w:rsid w:val="00484680"/>
    <w:rsid w:val="004846A5"/>
    <w:rsid w:val="0048482B"/>
    <w:rsid w:val="00484989"/>
    <w:rsid w:val="004849EF"/>
    <w:rsid w:val="00484AC0"/>
    <w:rsid w:val="00484C0A"/>
    <w:rsid w:val="00484C93"/>
    <w:rsid w:val="00484E5E"/>
    <w:rsid w:val="00484EAB"/>
    <w:rsid w:val="00484F78"/>
    <w:rsid w:val="004853BA"/>
    <w:rsid w:val="00485443"/>
    <w:rsid w:val="00485502"/>
    <w:rsid w:val="00485577"/>
    <w:rsid w:val="004855A4"/>
    <w:rsid w:val="0048569E"/>
    <w:rsid w:val="00485758"/>
    <w:rsid w:val="00485796"/>
    <w:rsid w:val="004857A2"/>
    <w:rsid w:val="00485983"/>
    <w:rsid w:val="00485A01"/>
    <w:rsid w:val="00485CB2"/>
    <w:rsid w:val="00485CC9"/>
    <w:rsid w:val="00485D4F"/>
    <w:rsid w:val="00485ECB"/>
    <w:rsid w:val="00485EE1"/>
    <w:rsid w:val="00485FA9"/>
    <w:rsid w:val="00486081"/>
    <w:rsid w:val="0048623D"/>
    <w:rsid w:val="00486299"/>
    <w:rsid w:val="00486416"/>
    <w:rsid w:val="004864B2"/>
    <w:rsid w:val="0048679A"/>
    <w:rsid w:val="00486BFB"/>
    <w:rsid w:val="00486CB4"/>
    <w:rsid w:val="00486DFB"/>
    <w:rsid w:val="00486F0D"/>
    <w:rsid w:val="004871C3"/>
    <w:rsid w:val="0048724B"/>
    <w:rsid w:val="0048728E"/>
    <w:rsid w:val="004872BD"/>
    <w:rsid w:val="00487478"/>
    <w:rsid w:val="00487660"/>
    <w:rsid w:val="00487836"/>
    <w:rsid w:val="004879DB"/>
    <w:rsid w:val="00487A7C"/>
    <w:rsid w:val="00487BE0"/>
    <w:rsid w:val="00487CDD"/>
    <w:rsid w:val="00487E9A"/>
    <w:rsid w:val="00487F12"/>
    <w:rsid w:val="00487F6D"/>
    <w:rsid w:val="00490088"/>
    <w:rsid w:val="004900BD"/>
    <w:rsid w:val="0049022C"/>
    <w:rsid w:val="004904E7"/>
    <w:rsid w:val="00490690"/>
    <w:rsid w:val="0049071D"/>
    <w:rsid w:val="00490824"/>
    <w:rsid w:val="004908C7"/>
    <w:rsid w:val="00490923"/>
    <w:rsid w:val="00490A53"/>
    <w:rsid w:val="00490BCC"/>
    <w:rsid w:val="00490DA0"/>
    <w:rsid w:val="00490DC6"/>
    <w:rsid w:val="00490DF1"/>
    <w:rsid w:val="00490E45"/>
    <w:rsid w:val="00490ECA"/>
    <w:rsid w:val="00490FD7"/>
    <w:rsid w:val="0049132A"/>
    <w:rsid w:val="00491330"/>
    <w:rsid w:val="004914BD"/>
    <w:rsid w:val="004915F0"/>
    <w:rsid w:val="004915F2"/>
    <w:rsid w:val="0049162D"/>
    <w:rsid w:val="004918BA"/>
    <w:rsid w:val="00491945"/>
    <w:rsid w:val="00491B53"/>
    <w:rsid w:val="00491B99"/>
    <w:rsid w:val="00491C63"/>
    <w:rsid w:val="00491C8D"/>
    <w:rsid w:val="00491D1D"/>
    <w:rsid w:val="00491DFD"/>
    <w:rsid w:val="00491E3C"/>
    <w:rsid w:val="004920AB"/>
    <w:rsid w:val="004920F3"/>
    <w:rsid w:val="004921BA"/>
    <w:rsid w:val="00492371"/>
    <w:rsid w:val="0049282D"/>
    <w:rsid w:val="004928FC"/>
    <w:rsid w:val="0049290B"/>
    <w:rsid w:val="00492917"/>
    <w:rsid w:val="0049293D"/>
    <w:rsid w:val="004929E2"/>
    <w:rsid w:val="00492A24"/>
    <w:rsid w:val="00492B25"/>
    <w:rsid w:val="00492C31"/>
    <w:rsid w:val="00492E5A"/>
    <w:rsid w:val="00492E9D"/>
    <w:rsid w:val="0049303F"/>
    <w:rsid w:val="00493054"/>
    <w:rsid w:val="0049320C"/>
    <w:rsid w:val="004932A6"/>
    <w:rsid w:val="0049334E"/>
    <w:rsid w:val="004933FD"/>
    <w:rsid w:val="0049356A"/>
    <w:rsid w:val="00493644"/>
    <w:rsid w:val="00493692"/>
    <w:rsid w:val="004936BF"/>
    <w:rsid w:val="0049376D"/>
    <w:rsid w:val="00493BF3"/>
    <w:rsid w:val="00493D02"/>
    <w:rsid w:val="00493DEC"/>
    <w:rsid w:val="00493E76"/>
    <w:rsid w:val="0049496A"/>
    <w:rsid w:val="00494A7D"/>
    <w:rsid w:val="00494AD0"/>
    <w:rsid w:val="00494C31"/>
    <w:rsid w:val="00494E7A"/>
    <w:rsid w:val="00494F24"/>
    <w:rsid w:val="00494F74"/>
    <w:rsid w:val="0049506A"/>
    <w:rsid w:val="0049526D"/>
    <w:rsid w:val="004952A4"/>
    <w:rsid w:val="00495545"/>
    <w:rsid w:val="00495614"/>
    <w:rsid w:val="0049570F"/>
    <w:rsid w:val="004957FE"/>
    <w:rsid w:val="00495B92"/>
    <w:rsid w:val="00495C60"/>
    <w:rsid w:val="00495DAB"/>
    <w:rsid w:val="00495E52"/>
    <w:rsid w:val="00496051"/>
    <w:rsid w:val="0049607C"/>
    <w:rsid w:val="004960B5"/>
    <w:rsid w:val="00496530"/>
    <w:rsid w:val="004965E9"/>
    <w:rsid w:val="00496650"/>
    <w:rsid w:val="0049665E"/>
    <w:rsid w:val="0049672E"/>
    <w:rsid w:val="004969C8"/>
    <w:rsid w:val="00496B04"/>
    <w:rsid w:val="00496BD3"/>
    <w:rsid w:val="00496C49"/>
    <w:rsid w:val="00496C62"/>
    <w:rsid w:val="00496D18"/>
    <w:rsid w:val="00496DE0"/>
    <w:rsid w:val="00496F0C"/>
    <w:rsid w:val="00496F0F"/>
    <w:rsid w:val="0049701A"/>
    <w:rsid w:val="004970EE"/>
    <w:rsid w:val="0049710F"/>
    <w:rsid w:val="00497176"/>
    <w:rsid w:val="004971F4"/>
    <w:rsid w:val="00497340"/>
    <w:rsid w:val="004973E2"/>
    <w:rsid w:val="004974F3"/>
    <w:rsid w:val="00497589"/>
    <w:rsid w:val="004978A6"/>
    <w:rsid w:val="004979AA"/>
    <w:rsid w:val="00497A04"/>
    <w:rsid w:val="00497AC0"/>
    <w:rsid w:val="00497DE5"/>
    <w:rsid w:val="004A00B6"/>
    <w:rsid w:val="004A04CF"/>
    <w:rsid w:val="004A0601"/>
    <w:rsid w:val="004A06D5"/>
    <w:rsid w:val="004A0757"/>
    <w:rsid w:val="004A0781"/>
    <w:rsid w:val="004A09B0"/>
    <w:rsid w:val="004A09FF"/>
    <w:rsid w:val="004A0A55"/>
    <w:rsid w:val="004A0A60"/>
    <w:rsid w:val="004A0F4B"/>
    <w:rsid w:val="004A11A3"/>
    <w:rsid w:val="004A125C"/>
    <w:rsid w:val="004A127D"/>
    <w:rsid w:val="004A1311"/>
    <w:rsid w:val="004A13CA"/>
    <w:rsid w:val="004A13F1"/>
    <w:rsid w:val="004A1467"/>
    <w:rsid w:val="004A1479"/>
    <w:rsid w:val="004A17A4"/>
    <w:rsid w:val="004A180A"/>
    <w:rsid w:val="004A190F"/>
    <w:rsid w:val="004A1992"/>
    <w:rsid w:val="004A1D42"/>
    <w:rsid w:val="004A1F06"/>
    <w:rsid w:val="004A1F0B"/>
    <w:rsid w:val="004A1F4D"/>
    <w:rsid w:val="004A1F8B"/>
    <w:rsid w:val="004A21FA"/>
    <w:rsid w:val="004A2385"/>
    <w:rsid w:val="004A240C"/>
    <w:rsid w:val="004A2493"/>
    <w:rsid w:val="004A2978"/>
    <w:rsid w:val="004A29E4"/>
    <w:rsid w:val="004A2BD7"/>
    <w:rsid w:val="004A2E0B"/>
    <w:rsid w:val="004A2E44"/>
    <w:rsid w:val="004A2F2E"/>
    <w:rsid w:val="004A331B"/>
    <w:rsid w:val="004A33AC"/>
    <w:rsid w:val="004A3493"/>
    <w:rsid w:val="004A3A49"/>
    <w:rsid w:val="004A3A71"/>
    <w:rsid w:val="004A3AFD"/>
    <w:rsid w:val="004A3BA3"/>
    <w:rsid w:val="004A3BD7"/>
    <w:rsid w:val="004A3CD0"/>
    <w:rsid w:val="004A3E7C"/>
    <w:rsid w:val="004A417E"/>
    <w:rsid w:val="004A42FE"/>
    <w:rsid w:val="004A4351"/>
    <w:rsid w:val="004A452E"/>
    <w:rsid w:val="004A4A99"/>
    <w:rsid w:val="004A4D7B"/>
    <w:rsid w:val="004A4DF5"/>
    <w:rsid w:val="004A4E8B"/>
    <w:rsid w:val="004A4F61"/>
    <w:rsid w:val="004A4FC8"/>
    <w:rsid w:val="004A4FFF"/>
    <w:rsid w:val="004A500B"/>
    <w:rsid w:val="004A5144"/>
    <w:rsid w:val="004A554A"/>
    <w:rsid w:val="004A56AA"/>
    <w:rsid w:val="004A5713"/>
    <w:rsid w:val="004A5810"/>
    <w:rsid w:val="004A589D"/>
    <w:rsid w:val="004A58E1"/>
    <w:rsid w:val="004A5B25"/>
    <w:rsid w:val="004A5B74"/>
    <w:rsid w:val="004A5C3C"/>
    <w:rsid w:val="004A5CB0"/>
    <w:rsid w:val="004A5EF9"/>
    <w:rsid w:val="004A5EFC"/>
    <w:rsid w:val="004A612E"/>
    <w:rsid w:val="004A629D"/>
    <w:rsid w:val="004A6467"/>
    <w:rsid w:val="004A65A0"/>
    <w:rsid w:val="004A65AF"/>
    <w:rsid w:val="004A67EA"/>
    <w:rsid w:val="004A683C"/>
    <w:rsid w:val="004A6988"/>
    <w:rsid w:val="004A69B3"/>
    <w:rsid w:val="004A6DD4"/>
    <w:rsid w:val="004A7171"/>
    <w:rsid w:val="004A7399"/>
    <w:rsid w:val="004A77DD"/>
    <w:rsid w:val="004A7810"/>
    <w:rsid w:val="004A794C"/>
    <w:rsid w:val="004A79A2"/>
    <w:rsid w:val="004A79C8"/>
    <w:rsid w:val="004A7BDD"/>
    <w:rsid w:val="004A7C1C"/>
    <w:rsid w:val="004A7C27"/>
    <w:rsid w:val="004A7CA6"/>
    <w:rsid w:val="004A7CB3"/>
    <w:rsid w:val="004A7DBB"/>
    <w:rsid w:val="004A7E20"/>
    <w:rsid w:val="004A7F5A"/>
    <w:rsid w:val="004A7FAE"/>
    <w:rsid w:val="004A7FC1"/>
    <w:rsid w:val="004B00AF"/>
    <w:rsid w:val="004B02B7"/>
    <w:rsid w:val="004B0656"/>
    <w:rsid w:val="004B07DB"/>
    <w:rsid w:val="004B08C9"/>
    <w:rsid w:val="004B09D8"/>
    <w:rsid w:val="004B0B0D"/>
    <w:rsid w:val="004B0BDF"/>
    <w:rsid w:val="004B0FAC"/>
    <w:rsid w:val="004B104B"/>
    <w:rsid w:val="004B1119"/>
    <w:rsid w:val="004B14A7"/>
    <w:rsid w:val="004B1703"/>
    <w:rsid w:val="004B1A67"/>
    <w:rsid w:val="004B1B89"/>
    <w:rsid w:val="004B1C7E"/>
    <w:rsid w:val="004B1D8E"/>
    <w:rsid w:val="004B1DCE"/>
    <w:rsid w:val="004B1F18"/>
    <w:rsid w:val="004B203B"/>
    <w:rsid w:val="004B20BE"/>
    <w:rsid w:val="004B21CF"/>
    <w:rsid w:val="004B22FD"/>
    <w:rsid w:val="004B2678"/>
    <w:rsid w:val="004B2850"/>
    <w:rsid w:val="004B2E31"/>
    <w:rsid w:val="004B2E76"/>
    <w:rsid w:val="004B2F0B"/>
    <w:rsid w:val="004B2F92"/>
    <w:rsid w:val="004B302B"/>
    <w:rsid w:val="004B3126"/>
    <w:rsid w:val="004B32BB"/>
    <w:rsid w:val="004B3625"/>
    <w:rsid w:val="004B3668"/>
    <w:rsid w:val="004B3803"/>
    <w:rsid w:val="004B3807"/>
    <w:rsid w:val="004B383A"/>
    <w:rsid w:val="004B38A1"/>
    <w:rsid w:val="004B3913"/>
    <w:rsid w:val="004B3D81"/>
    <w:rsid w:val="004B3F6E"/>
    <w:rsid w:val="004B404B"/>
    <w:rsid w:val="004B41AC"/>
    <w:rsid w:val="004B42BC"/>
    <w:rsid w:val="004B42BE"/>
    <w:rsid w:val="004B4760"/>
    <w:rsid w:val="004B487E"/>
    <w:rsid w:val="004B488A"/>
    <w:rsid w:val="004B4892"/>
    <w:rsid w:val="004B4AC3"/>
    <w:rsid w:val="004B4CD8"/>
    <w:rsid w:val="004B4DDB"/>
    <w:rsid w:val="004B4F1D"/>
    <w:rsid w:val="004B505A"/>
    <w:rsid w:val="004B516A"/>
    <w:rsid w:val="004B5246"/>
    <w:rsid w:val="004B5297"/>
    <w:rsid w:val="004B5341"/>
    <w:rsid w:val="004B5434"/>
    <w:rsid w:val="004B5500"/>
    <w:rsid w:val="004B5554"/>
    <w:rsid w:val="004B5766"/>
    <w:rsid w:val="004B5931"/>
    <w:rsid w:val="004B596B"/>
    <w:rsid w:val="004B5974"/>
    <w:rsid w:val="004B5DAE"/>
    <w:rsid w:val="004B5F0A"/>
    <w:rsid w:val="004B5F37"/>
    <w:rsid w:val="004B5F4F"/>
    <w:rsid w:val="004B602D"/>
    <w:rsid w:val="004B62B9"/>
    <w:rsid w:val="004B62D1"/>
    <w:rsid w:val="004B64F8"/>
    <w:rsid w:val="004B6529"/>
    <w:rsid w:val="004B65F6"/>
    <w:rsid w:val="004B6658"/>
    <w:rsid w:val="004B66B4"/>
    <w:rsid w:val="004B698F"/>
    <w:rsid w:val="004B6AC2"/>
    <w:rsid w:val="004B6C98"/>
    <w:rsid w:val="004B7053"/>
    <w:rsid w:val="004B7080"/>
    <w:rsid w:val="004B7098"/>
    <w:rsid w:val="004B71F2"/>
    <w:rsid w:val="004B7208"/>
    <w:rsid w:val="004B7280"/>
    <w:rsid w:val="004B748F"/>
    <w:rsid w:val="004B7522"/>
    <w:rsid w:val="004B7722"/>
    <w:rsid w:val="004B775D"/>
    <w:rsid w:val="004B7A72"/>
    <w:rsid w:val="004B7ADD"/>
    <w:rsid w:val="004B7B93"/>
    <w:rsid w:val="004B7E93"/>
    <w:rsid w:val="004B7EA3"/>
    <w:rsid w:val="004B7ECA"/>
    <w:rsid w:val="004B7ED6"/>
    <w:rsid w:val="004B7F18"/>
    <w:rsid w:val="004C009B"/>
    <w:rsid w:val="004C02C4"/>
    <w:rsid w:val="004C03EC"/>
    <w:rsid w:val="004C079A"/>
    <w:rsid w:val="004C079B"/>
    <w:rsid w:val="004C08B6"/>
    <w:rsid w:val="004C0A89"/>
    <w:rsid w:val="004C0B60"/>
    <w:rsid w:val="004C0B9C"/>
    <w:rsid w:val="004C0E13"/>
    <w:rsid w:val="004C0E9B"/>
    <w:rsid w:val="004C10AE"/>
    <w:rsid w:val="004C1150"/>
    <w:rsid w:val="004C14B6"/>
    <w:rsid w:val="004C14BD"/>
    <w:rsid w:val="004C1615"/>
    <w:rsid w:val="004C1630"/>
    <w:rsid w:val="004C1708"/>
    <w:rsid w:val="004C1747"/>
    <w:rsid w:val="004C1899"/>
    <w:rsid w:val="004C189B"/>
    <w:rsid w:val="004C18D8"/>
    <w:rsid w:val="004C195A"/>
    <w:rsid w:val="004C1A75"/>
    <w:rsid w:val="004C1A85"/>
    <w:rsid w:val="004C1C5E"/>
    <w:rsid w:val="004C1D69"/>
    <w:rsid w:val="004C1F28"/>
    <w:rsid w:val="004C1F47"/>
    <w:rsid w:val="004C209D"/>
    <w:rsid w:val="004C227F"/>
    <w:rsid w:val="004C233B"/>
    <w:rsid w:val="004C24C1"/>
    <w:rsid w:val="004C266A"/>
    <w:rsid w:val="004C26A7"/>
    <w:rsid w:val="004C28B8"/>
    <w:rsid w:val="004C28EF"/>
    <w:rsid w:val="004C295F"/>
    <w:rsid w:val="004C2B7A"/>
    <w:rsid w:val="004C2BB3"/>
    <w:rsid w:val="004C2C65"/>
    <w:rsid w:val="004C2DBF"/>
    <w:rsid w:val="004C2E7C"/>
    <w:rsid w:val="004C3014"/>
    <w:rsid w:val="004C303E"/>
    <w:rsid w:val="004C30E6"/>
    <w:rsid w:val="004C3184"/>
    <w:rsid w:val="004C3195"/>
    <w:rsid w:val="004C31D7"/>
    <w:rsid w:val="004C31FE"/>
    <w:rsid w:val="004C3256"/>
    <w:rsid w:val="004C32A9"/>
    <w:rsid w:val="004C32F4"/>
    <w:rsid w:val="004C346F"/>
    <w:rsid w:val="004C3509"/>
    <w:rsid w:val="004C3704"/>
    <w:rsid w:val="004C3775"/>
    <w:rsid w:val="004C3B7E"/>
    <w:rsid w:val="004C3B8E"/>
    <w:rsid w:val="004C3BD1"/>
    <w:rsid w:val="004C3D28"/>
    <w:rsid w:val="004C3F96"/>
    <w:rsid w:val="004C4048"/>
    <w:rsid w:val="004C419A"/>
    <w:rsid w:val="004C41A6"/>
    <w:rsid w:val="004C4231"/>
    <w:rsid w:val="004C42E2"/>
    <w:rsid w:val="004C433C"/>
    <w:rsid w:val="004C43D4"/>
    <w:rsid w:val="004C4646"/>
    <w:rsid w:val="004C4763"/>
    <w:rsid w:val="004C4820"/>
    <w:rsid w:val="004C48A6"/>
    <w:rsid w:val="004C48EB"/>
    <w:rsid w:val="004C4961"/>
    <w:rsid w:val="004C496F"/>
    <w:rsid w:val="004C4B6F"/>
    <w:rsid w:val="004C4BF6"/>
    <w:rsid w:val="004C4EA7"/>
    <w:rsid w:val="004C4F3E"/>
    <w:rsid w:val="004C4F92"/>
    <w:rsid w:val="004C5071"/>
    <w:rsid w:val="004C5198"/>
    <w:rsid w:val="004C52B3"/>
    <w:rsid w:val="004C5526"/>
    <w:rsid w:val="004C55A1"/>
    <w:rsid w:val="004C5606"/>
    <w:rsid w:val="004C5748"/>
    <w:rsid w:val="004C5848"/>
    <w:rsid w:val="004C590C"/>
    <w:rsid w:val="004C5BC9"/>
    <w:rsid w:val="004C5D36"/>
    <w:rsid w:val="004C5D42"/>
    <w:rsid w:val="004C5E2B"/>
    <w:rsid w:val="004C5E66"/>
    <w:rsid w:val="004C5E92"/>
    <w:rsid w:val="004C6142"/>
    <w:rsid w:val="004C61E7"/>
    <w:rsid w:val="004C61F4"/>
    <w:rsid w:val="004C624F"/>
    <w:rsid w:val="004C6630"/>
    <w:rsid w:val="004C6638"/>
    <w:rsid w:val="004C665E"/>
    <w:rsid w:val="004C6765"/>
    <w:rsid w:val="004C676B"/>
    <w:rsid w:val="004C68F3"/>
    <w:rsid w:val="004C698B"/>
    <w:rsid w:val="004C6A5B"/>
    <w:rsid w:val="004C6A83"/>
    <w:rsid w:val="004C6BFA"/>
    <w:rsid w:val="004C6C7D"/>
    <w:rsid w:val="004C6EA5"/>
    <w:rsid w:val="004C701D"/>
    <w:rsid w:val="004C7077"/>
    <w:rsid w:val="004C71E9"/>
    <w:rsid w:val="004C72D5"/>
    <w:rsid w:val="004C736E"/>
    <w:rsid w:val="004C75AA"/>
    <w:rsid w:val="004C75E6"/>
    <w:rsid w:val="004C76F0"/>
    <w:rsid w:val="004C77AF"/>
    <w:rsid w:val="004C7BDE"/>
    <w:rsid w:val="004C7D64"/>
    <w:rsid w:val="004D0204"/>
    <w:rsid w:val="004D02B3"/>
    <w:rsid w:val="004D037F"/>
    <w:rsid w:val="004D03BA"/>
    <w:rsid w:val="004D0877"/>
    <w:rsid w:val="004D09A5"/>
    <w:rsid w:val="004D09B2"/>
    <w:rsid w:val="004D0A7A"/>
    <w:rsid w:val="004D0C5B"/>
    <w:rsid w:val="004D0CCB"/>
    <w:rsid w:val="004D0CF1"/>
    <w:rsid w:val="004D0DEE"/>
    <w:rsid w:val="004D0FA1"/>
    <w:rsid w:val="004D1644"/>
    <w:rsid w:val="004D164C"/>
    <w:rsid w:val="004D16C5"/>
    <w:rsid w:val="004D17CC"/>
    <w:rsid w:val="004D1997"/>
    <w:rsid w:val="004D1A32"/>
    <w:rsid w:val="004D1BA4"/>
    <w:rsid w:val="004D1CEE"/>
    <w:rsid w:val="004D1FE1"/>
    <w:rsid w:val="004D2271"/>
    <w:rsid w:val="004D22E3"/>
    <w:rsid w:val="004D2369"/>
    <w:rsid w:val="004D2569"/>
    <w:rsid w:val="004D2646"/>
    <w:rsid w:val="004D26EC"/>
    <w:rsid w:val="004D2809"/>
    <w:rsid w:val="004D282E"/>
    <w:rsid w:val="004D29FB"/>
    <w:rsid w:val="004D2A35"/>
    <w:rsid w:val="004D2A5D"/>
    <w:rsid w:val="004D2BDA"/>
    <w:rsid w:val="004D2CE6"/>
    <w:rsid w:val="004D2E6A"/>
    <w:rsid w:val="004D2F7F"/>
    <w:rsid w:val="004D2FA8"/>
    <w:rsid w:val="004D2FD1"/>
    <w:rsid w:val="004D30FD"/>
    <w:rsid w:val="004D32CD"/>
    <w:rsid w:val="004D32F3"/>
    <w:rsid w:val="004D34CE"/>
    <w:rsid w:val="004D3603"/>
    <w:rsid w:val="004D366D"/>
    <w:rsid w:val="004D3880"/>
    <w:rsid w:val="004D38E8"/>
    <w:rsid w:val="004D393E"/>
    <w:rsid w:val="004D3944"/>
    <w:rsid w:val="004D39C7"/>
    <w:rsid w:val="004D39F0"/>
    <w:rsid w:val="004D3B2F"/>
    <w:rsid w:val="004D3B6E"/>
    <w:rsid w:val="004D3D48"/>
    <w:rsid w:val="004D3D86"/>
    <w:rsid w:val="004D3E9E"/>
    <w:rsid w:val="004D3F5D"/>
    <w:rsid w:val="004D4041"/>
    <w:rsid w:val="004D420E"/>
    <w:rsid w:val="004D44D1"/>
    <w:rsid w:val="004D47FE"/>
    <w:rsid w:val="004D4A03"/>
    <w:rsid w:val="004D4AE6"/>
    <w:rsid w:val="004D4C56"/>
    <w:rsid w:val="004D4D01"/>
    <w:rsid w:val="004D4D70"/>
    <w:rsid w:val="004D4DBC"/>
    <w:rsid w:val="004D5002"/>
    <w:rsid w:val="004D50F2"/>
    <w:rsid w:val="004D5217"/>
    <w:rsid w:val="004D54D0"/>
    <w:rsid w:val="004D5551"/>
    <w:rsid w:val="004D56DC"/>
    <w:rsid w:val="004D5E07"/>
    <w:rsid w:val="004D5E83"/>
    <w:rsid w:val="004D5ED3"/>
    <w:rsid w:val="004D5FD5"/>
    <w:rsid w:val="004D62C7"/>
    <w:rsid w:val="004D630A"/>
    <w:rsid w:val="004D632B"/>
    <w:rsid w:val="004D6400"/>
    <w:rsid w:val="004D647B"/>
    <w:rsid w:val="004D64F8"/>
    <w:rsid w:val="004D6605"/>
    <w:rsid w:val="004D6620"/>
    <w:rsid w:val="004D6A32"/>
    <w:rsid w:val="004D6A50"/>
    <w:rsid w:val="004D6AFF"/>
    <w:rsid w:val="004D6B98"/>
    <w:rsid w:val="004D6F03"/>
    <w:rsid w:val="004D6F3C"/>
    <w:rsid w:val="004D71A3"/>
    <w:rsid w:val="004D7253"/>
    <w:rsid w:val="004D74E3"/>
    <w:rsid w:val="004D760E"/>
    <w:rsid w:val="004D7839"/>
    <w:rsid w:val="004D7904"/>
    <w:rsid w:val="004D79A4"/>
    <w:rsid w:val="004D79C2"/>
    <w:rsid w:val="004D7B00"/>
    <w:rsid w:val="004D7BC6"/>
    <w:rsid w:val="004D7C4A"/>
    <w:rsid w:val="004D7C9F"/>
    <w:rsid w:val="004D7EEE"/>
    <w:rsid w:val="004E0208"/>
    <w:rsid w:val="004E027C"/>
    <w:rsid w:val="004E040E"/>
    <w:rsid w:val="004E044C"/>
    <w:rsid w:val="004E0722"/>
    <w:rsid w:val="004E076F"/>
    <w:rsid w:val="004E0ACB"/>
    <w:rsid w:val="004E0BDD"/>
    <w:rsid w:val="004E0D79"/>
    <w:rsid w:val="004E0E07"/>
    <w:rsid w:val="004E11A3"/>
    <w:rsid w:val="004E122A"/>
    <w:rsid w:val="004E13D2"/>
    <w:rsid w:val="004E14A8"/>
    <w:rsid w:val="004E15FD"/>
    <w:rsid w:val="004E16CC"/>
    <w:rsid w:val="004E182B"/>
    <w:rsid w:val="004E18C2"/>
    <w:rsid w:val="004E1943"/>
    <w:rsid w:val="004E1A71"/>
    <w:rsid w:val="004E1AB7"/>
    <w:rsid w:val="004E1B7E"/>
    <w:rsid w:val="004E1B84"/>
    <w:rsid w:val="004E1BAF"/>
    <w:rsid w:val="004E1DF7"/>
    <w:rsid w:val="004E1F00"/>
    <w:rsid w:val="004E1F30"/>
    <w:rsid w:val="004E211E"/>
    <w:rsid w:val="004E2124"/>
    <w:rsid w:val="004E21BF"/>
    <w:rsid w:val="004E23AB"/>
    <w:rsid w:val="004E23B3"/>
    <w:rsid w:val="004E24FA"/>
    <w:rsid w:val="004E2564"/>
    <w:rsid w:val="004E26F2"/>
    <w:rsid w:val="004E2926"/>
    <w:rsid w:val="004E2953"/>
    <w:rsid w:val="004E2C25"/>
    <w:rsid w:val="004E2C72"/>
    <w:rsid w:val="004E2D18"/>
    <w:rsid w:val="004E2DD8"/>
    <w:rsid w:val="004E2DDE"/>
    <w:rsid w:val="004E2DFC"/>
    <w:rsid w:val="004E2E32"/>
    <w:rsid w:val="004E2E7E"/>
    <w:rsid w:val="004E2FAF"/>
    <w:rsid w:val="004E32F0"/>
    <w:rsid w:val="004E33C7"/>
    <w:rsid w:val="004E36F6"/>
    <w:rsid w:val="004E3937"/>
    <w:rsid w:val="004E3B8A"/>
    <w:rsid w:val="004E3BBE"/>
    <w:rsid w:val="004E3D3D"/>
    <w:rsid w:val="004E3DBB"/>
    <w:rsid w:val="004E3DF0"/>
    <w:rsid w:val="004E4254"/>
    <w:rsid w:val="004E4320"/>
    <w:rsid w:val="004E4430"/>
    <w:rsid w:val="004E45D5"/>
    <w:rsid w:val="004E4744"/>
    <w:rsid w:val="004E48E6"/>
    <w:rsid w:val="004E4C23"/>
    <w:rsid w:val="004E4ECC"/>
    <w:rsid w:val="004E4F00"/>
    <w:rsid w:val="004E4F85"/>
    <w:rsid w:val="004E511D"/>
    <w:rsid w:val="004E546E"/>
    <w:rsid w:val="004E54CD"/>
    <w:rsid w:val="004E54E1"/>
    <w:rsid w:val="004E5709"/>
    <w:rsid w:val="004E5733"/>
    <w:rsid w:val="004E57B5"/>
    <w:rsid w:val="004E57D8"/>
    <w:rsid w:val="004E57F3"/>
    <w:rsid w:val="004E581D"/>
    <w:rsid w:val="004E5A1F"/>
    <w:rsid w:val="004E5BF4"/>
    <w:rsid w:val="004E5C63"/>
    <w:rsid w:val="004E5DF8"/>
    <w:rsid w:val="004E5F66"/>
    <w:rsid w:val="004E6186"/>
    <w:rsid w:val="004E61F7"/>
    <w:rsid w:val="004E6284"/>
    <w:rsid w:val="004E631A"/>
    <w:rsid w:val="004E631D"/>
    <w:rsid w:val="004E638B"/>
    <w:rsid w:val="004E63A8"/>
    <w:rsid w:val="004E6421"/>
    <w:rsid w:val="004E65D4"/>
    <w:rsid w:val="004E673F"/>
    <w:rsid w:val="004E6917"/>
    <w:rsid w:val="004E6B66"/>
    <w:rsid w:val="004E6D26"/>
    <w:rsid w:val="004E732D"/>
    <w:rsid w:val="004E735B"/>
    <w:rsid w:val="004E77DC"/>
    <w:rsid w:val="004E77DD"/>
    <w:rsid w:val="004E78A6"/>
    <w:rsid w:val="004E78CA"/>
    <w:rsid w:val="004E7AC9"/>
    <w:rsid w:val="004E7AE5"/>
    <w:rsid w:val="004E7BF8"/>
    <w:rsid w:val="004E7DB3"/>
    <w:rsid w:val="004E7E39"/>
    <w:rsid w:val="004E7E5C"/>
    <w:rsid w:val="004E7FC3"/>
    <w:rsid w:val="004F027C"/>
    <w:rsid w:val="004F034A"/>
    <w:rsid w:val="004F037B"/>
    <w:rsid w:val="004F06D0"/>
    <w:rsid w:val="004F0704"/>
    <w:rsid w:val="004F0717"/>
    <w:rsid w:val="004F076C"/>
    <w:rsid w:val="004F07CE"/>
    <w:rsid w:val="004F0814"/>
    <w:rsid w:val="004F0843"/>
    <w:rsid w:val="004F0CFA"/>
    <w:rsid w:val="004F14A3"/>
    <w:rsid w:val="004F16D5"/>
    <w:rsid w:val="004F17FC"/>
    <w:rsid w:val="004F186D"/>
    <w:rsid w:val="004F19CE"/>
    <w:rsid w:val="004F1A67"/>
    <w:rsid w:val="004F1A85"/>
    <w:rsid w:val="004F1ADE"/>
    <w:rsid w:val="004F1B12"/>
    <w:rsid w:val="004F1F05"/>
    <w:rsid w:val="004F2088"/>
    <w:rsid w:val="004F22C2"/>
    <w:rsid w:val="004F2313"/>
    <w:rsid w:val="004F2512"/>
    <w:rsid w:val="004F26BA"/>
    <w:rsid w:val="004F283C"/>
    <w:rsid w:val="004F2916"/>
    <w:rsid w:val="004F292D"/>
    <w:rsid w:val="004F2939"/>
    <w:rsid w:val="004F29AB"/>
    <w:rsid w:val="004F2AA8"/>
    <w:rsid w:val="004F2B63"/>
    <w:rsid w:val="004F2CED"/>
    <w:rsid w:val="004F2D34"/>
    <w:rsid w:val="004F2D43"/>
    <w:rsid w:val="004F2D8D"/>
    <w:rsid w:val="004F2E2A"/>
    <w:rsid w:val="004F302A"/>
    <w:rsid w:val="004F305F"/>
    <w:rsid w:val="004F30A9"/>
    <w:rsid w:val="004F311E"/>
    <w:rsid w:val="004F324C"/>
    <w:rsid w:val="004F32AE"/>
    <w:rsid w:val="004F3B35"/>
    <w:rsid w:val="004F3B4E"/>
    <w:rsid w:val="004F3B75"/>
    <w:rsid w:val="004F3BB6"/>
    <w:rsid w:val="004F3CD9"/>
    <w:rsid w:val="004F3D31"/>
    <w:rsid w:val="004F4212"/>
    <w:rsid w:val="004F42C8"/>
    <w:rsid w:val="004F4316"/>
    <w:rsid w:val="004F4471"/>
    <w:rsid w:val="004F476C"/>
    <w:rsid w:val="004F4D3B"/>
    <w:rsid w:val="004F50EE"/>
    <w:rsid w:val="004F5111"/>
    <w:rsid w:val="004F517A"/>
    <w:rsid w:val="004F51B2"/>
    <w:rsid w:val="004F541C"/>
    <w:rsid w:val="004F568D"/>
    <w:rsid w:val="004F5909"/>
    <w:rsid w:val="004F5967"/>
    <w:rsid w:val="004F5A46"/>
    <w:rsid w:val="004F5AB3"/>
    <w:rsid w:val="004F5CA6"/>
    <w:rsid w:val="004F5D7F"/>
    <w:rsid w:val="004F5DD5"/>
    <w:rsid w:val="004F5DE6"/>
    <w:rsid w:val="004F5E27"/>
    <w:rsid w:val="004F5E72"/>
    <w:rsid w:val="004F5ECB"/>
    <w:rsid w:val="004F5F7B"/>
    <w:rsid w:val="004F6147"/>
    <w:rsid w:val="004F629B"/>
    <w:rsid w:val="004F6401"/>
    <w:rsid w:val="004F64FD"/>
    <w:rsid w:val="004F659F"/>
    <w:rsid w:val="004F675D"/>
    <w:rsid w:val="004F6780"/>
    <w:rsid w:val="004F68D3"/>
    <w:rsid w:val="004F68D9"/>
    <w:rsid w:val="004F69A7"/>
    <w:rsid w:val="004F6A65"/>
    <w:rsid w:val="004F6B2B"/>
    <w:rsid w:val="004F6B37"/>
    <w:rsid w:val="004F6BF5"/>
    <w:rsid w:val="004F6C0B"/>
    <w:rsid w:val="004F6E5B"/>
    <w:rsid w:val="004F7171"/>
    <w:rsid w:val="004F72A3"/>
    <w:rsid w:val="004F72D3"/>
    <w:rsid w:val="004F743E"/>
    <w:rsid w:val="004F7670"/>
    <w:rsid w:val="004F780D"/>
    <w:rsid w:val="004F781F"/>
    <w:rsid w:val="004F788D"/>
    <w:rsid w:val="004F78B9"/>
    <w:rsid w:val="004F7C02"/>
    <w:rsid w:val="004F7D07"/>
    <w:rsid w:val="004F7D63"/>
    <w:rsid w:val="00500088"/>
    <w:rsid w:val="00500104"/>
    <w:rsid w:val="005001CD"/>
    <w:rsid w:val="00500245"/>
    <w:rsid w:val="005002A9"/>
    <w:rsid w:val="00500428"/>
    <w:rsid w:val="0050043D"/>
    <w:rsid w:val="005006B0"/>
    <w:rsid w:val="00500A76"/>
    <w:rsid w:val="00500BEB"/>
    <w:rsid w:val="00500DB4"/>
    <w:rsid w:val="005010F4"/>
    <w:rsid w:val="00501296"/>
    <w:rsid w:val="005014E1"/>
    <w:rsid w:val="005015F5"/>
    <w:rsid w:val="0050191D"/>
    <w:rsid w:val="0050194C"/>
    <w:rsid w:val="00501A3E"/>
    <w:rsid w:val="00501BEA"/>
    <w:rsid w:val="00501C78"/>
    <w:rsid w:val="00502223"/>
    <w:rsid w:val="00502341"/>
    <w:rsid w:val="00502377"/>
    <w:rsid w:val="005024C2"/>
    <w:rsid w:val="005026E8"/>
    <w:rsid w:val="00502B1E"/>
    <w:rsid w:val="00502B7A"/>
    <w:rsid w:val="00502D6C"/>
    <w:rsid w:val="00502EB5"/>
    <w:rsid w:val="00502EC9"/>
    <w:rsid w:val="00503060"/>
    <w:rsid w:val="0050316E"/>
    <w:rsid w:val="00503412"/>
    <w:rsid w:val="005035D6"/>
    <w:rsid w:val="0050365C"/>
    <w:rsid w:val="00503672"/>
    <w:rsid w:val="00503697"/>
    <w:rsid w:val="005036FF"/>
    <w:rsid w:val="00503896"/>
    <w:rsid w:val="005038A5"/>
    <w:rsid w:val="00503901"/>
    <w:rsid w:val="005039BB"/>
    <w:rsid w:val="00503C48"/>
    <w:rsid w:val="00503DBE"/>
    <w:rsid w:val="00503DFF"/>
    <w:rsid w:val="00503FA2"/>
    <w:rsid w:val="00503FE2"/>
    <w:rsid w:val="005041F7"/>
    <w:rsid w:val="0050458C"/>
    <w:rsid w:val="0050463F"/>
    <w:rsid w:val="00504645"/>
    <w:rsid w:val="00504981"/>
    <w:rsid w:val="00504A7D"/>
    <w:rsid w:val="00504C32"/>
    <w:rsid w:val="00504E8F"/>
    <w:rsid w:val="00505085"/>
    <w:rsid w:val="00505343"/>
    <w:rsid w:val="00505347"/>
    <w:rsid w:val="005053C2"/>
    <w:rsid w:val="00505400"/>
    <w:rsid w:val="0050544B"/>
    <w:rsid w:val="005055CE"/>
    <w:rsid w:val="00505642"/>
    <w:rsid w:val="00505665"/>
    <w:rsid w:val="0050593D"/>
    <w:rsid w:val="00505A1B"/>
    <w:rsid w:val="00505B05"/>
    <w:rsid w:val="00505C00"/>
    <w:rsid w:val="00505D72"/>
    <w:rsid w:val="00505E55"/>
    <w:rsid w:val="00506119"/>
    <w:rsid w:val="00506291"/>
    <w:rsid w:val="005062C2"/>
    <w:rsid w:val="005063B6"/>
    <w:rsid w:val="0050656D"/>
    <w:rsid w:val="0050677A"/>
    <w:rsid w:val="005067AC"/>
    <w:rsid w:val="005067E7"/>
    <w:rsid w:val="0050680B"/>
    <w:rsid w:val="00506872"/>
    <w:rsid w:val="00506B26"/>
    <w:rsid w:val="00506BBD"/>
    <w:rsid w:val="00506BC1"/>
    <w:rsid w:val="00506F52"/>
    <w:rsid w:val="00506F61"/>
    <w:rsid w:val="005071AD"/>
    <w:rsid w:val="005073C3"/>
    <w:rsid w:val="0050740D"/>
    <w:rsid w:val="005075CF"/>
    <w:rsid w:val="005077B8"/>
    <w:rsid w:val="0050787D"/>
    <w:rsid w:val="0050791E"/>
    <w:rsid w:val="0050796F"/>
    <w:rsid w:val="00507A31"/>
    <w:rsid w:val="00507E28"/>
    <w:rsid w:val="00507E90"/>
    <w:rsid w:val="005103C2"/>
    <w:rsid w:val="00510416"/>
    <w:rsid w:val="00510486"/>
    <w:rsid w:val="0051055E"/>
    <w:rsid w:val="005106E9"/>
    <w:rsid w:val="00510832"/>
    <w:rsid w:val="005109D0"/>
    <w:rsid w:val="00510ADF"/>
    <w:rsid w:val="00510B03"/>
    <w:rsid w:val="00510BA4"/>
    <w:rsid w:val="00510C7B"/>
    <w:rsid w:val="00510D2E"/>
    <w:rsid w:val="00510DEA"/>
    <w:rsid w:val="005110A0"/>
    <w:rsid w:val="005110E1"/>
    <w:rsid w:val="005111AC"/>
    <w:rsid w:val="0051126B"/>
    <w:rsid w:val="0051135C"/>
    <w:rsid w:val="00511377"/>
    <w:rsid w:val="005113E8"/>
    <w:rsid w:val="005116A3"/>
    <w:rsid w:val="005118DD"/>
    <w:rsid w:val="00511AA2"/>
    <w:rsid w:val="00511C43"/>
    <w:rsid w:val="00511F40"/>
    <w:rsid w:val="00511F4D"/>
    <w:rsid w:val="00511FC1"/>
    <w:rsid w:val="005120D8"/>
    <w:rsid w:val="005120F4"/>
    <w:rsid w:val="00512121"/>
    <w:rsid w:val="00512199"/>
    <w:rsid w:val="005122A8"/>
    <w:rsid w:val="0051234E"/>
    <w:rsid w:val="0051239B"/>
    <w:rsid w:val="00512501"/>
    <w:rsid w:val="0051254A"/>
    <w:rsid w:val="00512737"/>
    <w:rsid w:val="00512934"/>
    <w:rsid w:val="00512A9A"/>
    <w:rsid w:val="00512C87"/>
    <w:rsid w:val="00512CC1"/>
    <w:rsid w:val="00512D32"/>
    <w:rsid w:val="00512E2E"/>
    <w:rsid w:val="00512F06"/>
    <w:rsid w:val="005133BD"/>
    <w:rsid w:val="005133E6"/>
    <w:rsid w:val="00513593"/>
    <w:rsid w:val="005135E9"/>
    <w:rsid w:val="005136BF"/>
    <w:rsid w:val="00513962"/>
    <w:rsid w:val="00513A19"/>
    <w:rsid w:val="00513BB8"/>
    <w:rsid w:val="00513C21"/>
    <w:rsid w:val="00513C66"/>
    <w:rsid w:val="00513C7F"/>
    <w:rsid w:val="00513CCC"/>
    <w:rsid w:val="00513E4D"/>
    <w:rsid w:val="00513EE4"/>
    <w:rsid w:val="005140A3"/>
    <w:rsid w:val="00514584"/>
    <w:rsid w:val="00514657"/>
    <w:rsid w:val="00514665"/>
    <w:rsid w:val="0051470A"/>
    <w:rsid w:val="0051477E"/>
    <w:rsid w:val="0051483B"/>
    <w:rsid w:val="00514883"/>
    <w:rsid w:val="005148BA"/>
    <w:rsid w:val="005148DC"/>
    <w:rsid w:val="00514992"/>
    <w:rsid w:val="00514A0F"/>
    <w:rsid w:val="00514A69"/>
    <w:rsid w:val="00514AA4"/>
    <w:rsid w:val="00514B42"/>
    <w:rsid w:val="00514B78"/>
    <w:rsid w:val="00514BA0"/>
    <w:rsid w:val="00514F5B"/>
    <w:rsid w:val="00514FD2"/>
    <w:rsid w:val="00515200"/>
    <w:rsid w:val="005154BD"/>
    <w:rsid w:val="00515633"/>
    <w:rsid w:val="0051572E"/>
    <w:rsid w:val="00515B2E"/>
    <w:rsid w:val="00515EF9"/>
    <w:rsid w:val="00515FE0"/>
    <w:rsid w:val="0051609D"/>
    <w:rsid w:val="005160BC"/>
    <w:rsid w:val="00516303"/>
    <w:rsid w:val="005164A1"/>
    <w:rsid w:val="005164F5"/>
    <w:rsid w:val="005166CA"/>
    <w:rsid w:val="00516766"/>
    <w:rsid w:val="00516951"/>
    <w:rsid w:val="005169D5"/>
    <w:rsid w:val="00516C82"/>
    <w:rsid w:val="00516E8A"/>
    <w:rsid w:val="005170F7"/>
    <w:rsid w:val="00517379"/>
    <w:rsid w:val="00517413"/>
    <w:rsid w:val="00517614"/>
    <w:rsid w:val="00517739"/>
    <w:rsid w:val="005177AB"/>
    <w:rsid w:val="0051788C"/>
    <w:rsid w:val="00517DCF"/>
    <w:rsid w:val="00517E1B"/>
    <w:rsid w:val="00520161"/>
    <w:rsid w:val="005201A6"/>
    <w:rsid w:val="005207CA"/>
    <w:rsid w:val="0052080A"/>
    <w:rsid w:val="00520A0D"/>
    <w:rsid w:val="00520A3B"/>
    <w:rsid w:val="00520B24"/>
    <w:rsid w:val="00520EC4"/>
    <w:rsid w:val="00520EDC"/>
    <w:rsid w:val="00520F45"/>
    <w:rsid w:val="005211D4"/>
    <w:rsid w:val="00521286"/>
    <w:rsid w:val="00521303"/>
    <w:rsid w:val="0052178C"/>
    <w:rsid w:val="00521989"/>
    <w:rsid w:val="00521A9D"/>
    <w:rsid w:val="00521F11"/>
    <w:rsid w:val="00522356"/>
    <w:rsid w:val="005223B7"/>
    <w:rsid w:val="005224F7"/>
    <w:rsid w:val="00522510"/>
    <w:rsid w:val="00522567"/>
    <w:rsid w:val="00522696"/>
    <w:rsid w:val="00522ADA"/>
    <w:rsid w:val="00522F18"/>
    <w:rsid w:val="00523155"/>
    <w:rsid w:val="005232C3"/>
    <w:rsid w:val="00523309"/>
    <w:rsid w:val="005233C0"/>
    <w:rsid w:val="005233E0"/>
    <w:rsid w:val="005233E2"/>
    <w:rsid w:val="005234C1"/>
    <w:rsid w:val="00523776"/>
    <w:rsid w:val="00523958"/>
    <w:rsid w:val="00523C0C"/>
    <w:rsid w:val="00523D9D"/>
    <w:rsid w:val="00523F3E"/>
    <w:rsid w:val="00523F6A"/>
    <w:rsid w:val="00523FD1"/>
    <w:rsid w:val="0052409C"/>
    <w:rsid w:val="0052409E"/>
    <w:rsid w:val="0052449A"/>
    <w:rsid w:val="005244E5"/>
    <w:rsid w:val="005245D9"/>
    <w:rsid w:val="0052481A"/>
    <w:rsid w:val="00524942"/>
    <w:rsid w:val="00524AF6"/>
    <w:rsid w:val="00524C0F"/>
    <w:rsid w:val="00524E5F"/>
    <w:rsid w:val="00524F84"/>
    <w:rsid w:val="00525041"/>
    <w:rsid w:val="0052514E"/>
    <w:rsid w:val="005251C1"/>
    <w:rsid w:val="00525354"/>
    <w:rsid w:val="0052535A"/>
    <w:rsid w:val="0052539B"/>
    <w:rsid w:val="005254FF"/>
    <w:rsid w:val="0052555C"/>
    <w:rsid w:val="005255EE"/>
    <w:rsid w:val="00525648"/>
    <w:rsid w:val="00525707"/>
    <w:rsid w:val="0052582B"/>
    <w:rsid w:val="00525834"/>
    <w:rsid w:val="005258DF"/>
    <w:rsid w:val="00525EC8"/>
    <w:rsid w:val="00525FEA"/>
    <w:rsid w:val="00526151"/>
    <w:rsid w:val="005261E8"/>
    <w:rsid w:val="005262B9"/>
    <w:rsid w:val="0052640A"/>
    <w:rsid w:val="00526423"/>
    <w:rsid w:val="00526814"/>
    <w:rsid w:val="00526AF4"/>
    <w:rsid w:val="00526CD5"/>
    <w:rsid w:val="00526E7E"/>
    <w:rsid w:val="005270D4"/>
    <w:rsid w:val="005270F9"/>
    <w:rsid w:val="005274EE"/>
    <w:rsid w:val="005275F1"/>
    <w:rsid w:val="0052798B"/>
    <w:rsid w:val="00527991"/>
    <w:rsid w:val="00527CE2"/>
    <w:rsid w:val="00527E3F"/>
    <w:rsid w:val="00527E60"/>
    <w:rsid w:val="0053002D"/>
    <w:rsid w:val="0053010A"/>
    <w:rsid w:val="0053018B"/>
    <w:rsid w:val="005302C7"/>
    <w:rsid w:val="0053069F"/>
    <w:rsid w:val="00530709"/>
    <w:rsid w:val="005307AD"/>
    <w:rsid w:val="005308B3"/>
    <w:rsid w:val="00530B04"/>
    <w:rsid w:val="00530B75"/>
    <w:rsid w:val="00530C7A"/>
    <w:rsid w:val="00530C9F"/>
    <w:rsid w:val="00530CB6"/>
    <w:rsid w:val="00530DEE"/>
    <w:rsid w:val="00530E9D"/>
    <w:rsid w:val="00530F3E"/>
    <w:rsid w:val="00530FC1"/>
    <w:rsid w:val="0053102E"/>
    <w:rsid w:val="005310F8"/>
    <w:rsid w:val="0053166D"/>
    <w:rsid w:val="00531A98"/>
    <w:rsid w:val="00531A9B"/>
    <w:rsid w:val="00531C7E"/>
    <w:rsid w:val="00531DC9"/>
    <w:rsid w:val="00531E2F"/>
    <w:rsid w:val="00531E9D"/>
    <w:rsid w:val="00531EE1"/>
    <w:rsid w:val="00531EE9"/>
    <w:rsid w:val="00531F48"/>
    <w:rsid w:val="00531F59"/>
    <w:rsid w:val="00531FE5"/>
    <w:rsid w:val="00532025"/>
    <w:rsid w:val="0053204B"/>
    <w:rsid w:val="0053226D"/>
    <w:rsid w:val="005323BE"/>
    <w:rsid w:val="005323F8"/>
    <w:rsid w:val="00532549"/>
    <w:rsid w:val="005325C0"/>
    <w:rsid w:val="005325F5"/>
    <w:rsid w:val="005327C2"/>
    <w:rsid w:val="005327EA"/>
    <w:rsid w:val="00532814"/>
    <w:rsid w:val="0053298E"/>
    <w:rsid w:val="00532A20"/>
    <w:rsid w:val="00532A67"/>
    <w:rsid w:val="00532AC5"/>
    <w:rsid w:val="00532B9B"/>
    <w:rsid w:val="00532BC9"/>
    <w:rsid w:val="00532CA6"/>
    <w:rsid w:val="00532CAF"/>
    <w:rsid w:val="00532D6D"/>
    <w:rsid w:val="00532DCD"/>
    <w:rsid w:val="00532FFD"/>
    <w:rsid w:val="0053306B"/>
    <w:rsid w:val="00533108"/>
    <w:rsid w:val="00533253"/>
    <w:rsid w:val="00533511"/>
    <w:rsid w:val="00533580"/>
    <w:rsid w:val="005335C2"/>
    <w:rsid w:val="00533672"/>
    <w:rsid w:val="00533706"/>
    <w:rsid w:val="0053375A"/>
    <w:rsid w:val="0053384E"/>
    <w:rsid w:val="0053386B"/>
    <w:rsid w:val="005339DB"/>
    <w:rsid w:val="00533C85"/>
    <w:rsid w:val="00533D86"/>
    <w:rsid w:val="0053401B"/>
    <w:rsid w:val="005341D8"/>
    <w:rsid w:val="0053458C"/>
    <w:rsid w:val="005345B6"/>
    <w:rsid w:val="0053461C"/>
    <w:rsid w:val="00534674"/>
    <w:rsid w:val="00534682"/>
    <w:rsid w:val="005349B0"/>
    <w:rsid w:val="00534B6E"/>
    <w:rsid w:val="00534C7C"/>
    <w:rsid w:val="00534D72"/>
    <w:rsid w:val="0053535E"/>
    <w:rsid w:val="00535383"/>
    <w:rsid w:val="00535409"/>
    <w:rsid w:val="005357DB"/>
    <w:rsid w:val="00535B74"/>
    <w:rsid w:val="00535CE2"/>
    <w:rsid w:val="00535D55"/>
    <w:rsid w:val="00535EDA"/>
    <w:rsid w:val="0053610B"/>
    <w:rsid w:val="00536313"/>
    <w:rsid w:val="00536417"/>
    <w:rsid w:val="005364B3"/>
    <w:rsid w:val="00536529"/>
    <w:rsid w:val="005365C0"/>
    <w:rsid w:val="005366F4"/>
    <w:rsid w:val="00536715"/>
    <w:rsid w:val="00536AF2"/>
    <w:rsid w:val="00536B13"/>
    <w:rsid w:val="00536B1A"/>
    <w:rsid w:val="00536BC7"/>
    <w:rsid w:val="00536D78"/>
    <w:rsid w:val="00536E2B"/>
    <w:rsid w:val="00536E43"/>
    <w:rsid w:val="00536F9F"/>
    <w:rsid w:val="00537033"/>
    <w:rsid w:val="005370B7"/>
    <w:rsid w:val="00537139"/>
    <w:rsid w:val="00537170"/>
    <w:rsid w:val="0053749D"/>
    <w:rsid w:val="005374CE"/>
    <w:rsid w:val="0053758F"/>
    <w:rsid w:val="0053765B"/>
    <w:rsid w:val="005376C9"/>
    <w:rsid w:val="00537733"/>
    <w:rsid w:val="00537802"/>
    <w:rsid w:val="005378FE"/>
    <w:rsid w:val="00537943"/>
    <w:rsid w:val="0053798A"/>
    <w:rsid w:val="00537AE5"/>
    <w:rsid w:val="00537BE5"/>
    <w:rsid w:val="00537C17"/>
    <w:rsid w:val="00537C33"/>
    <w:rsid w:val="00537F7B"/>
    <w:rsid w:val="00537F93"/>
    <w:rsid w:val="005401AC"/>
    <w:rsid w:val="00540380"/>
    <w:rsid w:val="00540915"/>
    <w:rsid w:val="0054099E"/>
    <w:rsid w:val="00540C76"/>
    <w:rsid w:val="00540D93"/>
    <w:rsid w:val="00540DFA"/>
    <w:rsid w:val="00540E69"/>
    <w:rsid w:val="00540EB4"/>
    <w:rsid w:val="005411BF"/>
    <w:rsid w:val="00541318"/>
    <w:rsid w:val="0054166D"/>
    <w:rsid w:val="005417C5"/>
    <w:rsid w:val="00541940"/>
    <w:rsid w:val="00541953"/>
    <w:rsid w:val="00541C4B"/>
    <w:rsid w:val="00541E36"/>
    <w:rsid w:val="00541EF4"/>
    <w:rsid w:val="00542056"/>
    <w:rsid w:val="00542351"/>
    <w:rsid w:val="005423BD"/>
    <w:rsid w:val="0054248D"/>
    <w:rsid w:val="005427C1"/>
    <w:rsid w:val="00542946"/>
    <w:rsid w:val="00542A07"/>
    <w:rsid w:val="00542C14"/>
    <w:rsid w:val="005431FF"/>
    <w:rsid w:val="005432DD"/>
    <w:rsid w:val="00543336"/>
    <w:rsid w:val="00543573"/>
    <w:rsid w:val="0054357E"/>
    <w:rsid w:val="005435AE"/>
    <w:rsid w:val="0054360E"/>
    <w:rsid w:val="00543792"/>
    <w:rsid w:val="005437B4"/>
    <w:rsid w:val="00543834"/>
    <w:rsid w:val="00543CD3"/>
    <w:rsid w:val="00543D61"/>
    <w:rsid w:val="00543E8C"/>
    <w:rsid w:val="005440B8"/>
    <w:rsid w:val="0054422B"/>
    <w:rsid w:val="005442EA"/>
    <w:rsid w:val="005442ED"/>
    <w:rsid w:val="00544703"/>
    <w:rsid w:val="0054483D"/>
    <w:rsid w:val="00544920"/>
    <w:rsid w:val="00544A0D"/>
    <w:rsid w:val="00544D73"/>
    <w:rsid w:val="00544D79"/>
    <w:rsid w:val="00544DD9"/>
    <w:rsid w:val="00544F62"/>
    <w:rsid w:val="00544FE2"/>
    <w:rsid w:val="005450D0"/>
    <w:rsid w:val="00545296"/>
    <w:rsid w:val="005452F7"/>
    <w:rsid w:val="005453A4"/>
    <w:rsid w:val="00545531"/>
    <w:rsid w:val="005458CD"/>
    <w:rsid w:val="00545D94"/>
    <w:rsid w:val="00545DFF"/>
    <w:rsid w:val="00545E85"/>
    <w:rsid w:val="005460D5"/>
    <w:rsid w:val="00546166"/>
    <w:rsid w:val="0054638F"/>
    <w:rsid w:val="00546393"/>
    <w:rsid w:val="005463A1"/>
    <w:rsid w:val="005463D8"/>
    <w:rsid w:val="00546449"/>
    <w:rsid w:val="00546521"/>
    <w:rsid w:val="005465FD"/>
    <w:rsid w:val="0054669C"/>
    <w:rsid w:val="00546A98"/>
    <w:rsid w:val="00546AFD"/>
    <w:rsid w:val="00546B17"/>
    <w:rsid w:val="00546B1B"/>
    <w:rsid w:val="00546B90"/>
    <w:rsid w:val="00546D7A"/>
    <w:rsid w:val="00546E3B"/>
    <w:rsid w:val="00546FCB"/>
    <w:rsid w:val="00546FD9"/>
    <w:rsid w:val="00547026"/>
    <w:rsid w:val="005471A0"/>
    <w:rsid w:val="005476C5"/>
    <w:rsid w:val="00547850"/>
    <w:rsid w:val="005478CB"/>
    <w:rsid w:val="0054793D"/>
    <w:rsid w:val="00547AE7"/>
    <w:rsid w:val="00547B19"/>
    <w:rsid w:val="00547C3D"/>
    <w:rsid w:val="00547D64"/>
    <w:rsid w:val="00547DE0"/>
    <w:rsid w:val="00547DFE"/>
    <w:rsid w:val="00547E3D"/>
    <w:rsid w:val="00547E69"/>
    <w:rsid w:val="00547F01"/>
    <w:rsid w:val="00547FD3"/>
    <w:rsid w:val="00550285"/>
    <w:rsid w:val="0055038D"/>
    <w:rsid w:val="005504C2"/>
    <w:rsid w:val="005504FB"/>
    <w:rsid w:val="005508D4"/>
    <w:rsid w:val="0055097F"/>
    <w:rsid w:val="00550B0A"/>
    <w:rsid w:val="00550B43"/>
    <w:rsid w:val="00550D40"/>
    <w:rsid w:val="00550F7F"/>
    <w:rsid w:val="005510D1"/>
    <w:rsid w:val="005515DA"/>
    <w:rsid w:val="005517EE"/>
    <w:rsid w:val="005518DD"/>
    <w:rsid w:val="00551924"/>
    <w:rsid w:val="005519B3"/>
    <w:rsid w:val="00551A51"/>
    <w:rsid w:val="00551BCC"/>
    <w:rsid w:val="00551C4A"/>
    <w:rsid w:val="00551CBB"/>
    <w:rsid w:val="00551D02"/>
    <w:rsid w:val="00551EDE"/>
    <w:rsid w:val="0055210D"/>
    <w:rsid w:val="00552228"/>
    <w:rsid w:val="00552606"/>
    <w:rsid w:val="0055273E"/>
    <w:rsid w:val="00552BB7"/>
    <w:rsid w:val="00552C9F"/>
    <w:rsid w:val="00552CAD"/>
    <w:rsid w:val="00552CEE"/>
    <w:rsid w:val="00552CFF"/>
    <w:rsid w:val="00552D66"/>
    <w:rsid w:val="0055347F"/>
    <w:rsid w:val="005534B1"/>
    <w:rsid w:val="00553505"/>
    <w:rsid w:val="0055352E"/>
    <w:rsid w:val="005536D4"/>
    <w:rsid w:val="005538A6"/>
    <w:rsid w:val="0055391C"/>
    <w:rsid w:val="00553A9C"/>
    <w:rsid w:val="00553BA8"/>
    <w:rsid w:val="00553CA1"/>
    <w:rsid w:val="00553E39"/>
    <w:rsid w:val="00553F93"/>
    <w:rsid w:val="00554094"/>
    <w:rsid w:val="0055437A"/>
    <w:rsid w:val="005543F3"/>
    <w:rsid w:val="0055456E"/>
    <w:rsid w:val="00554735"/>
    <w:rsid w:val="00554833"/>
    <w:rsid w:val="00554A58"/>
    <w:rsid w:val="00554D87"/>
    <w:rsid w:val="00554DAC"/>
    <w:rsid w:val="00554DC5"/>
    <w:rsid w:val="00554DEE"/>
    <w:rsid w:val="00554EDE"/>
    <w:rsid w:val="00554EF3"/>
    <w:rsid w:val="00554FDE"/>
    <w:rsid w:val="00554FFD"/>
    <w:rsid w:val="005551D5"/>
    <w:rsid w:val="00555444"/>
    <w:rsid w:val="0055567A"/>
    <w:rsid w:val="00555722"/>
    <w:rsid w:val="00555817"/>
    <w:rsid w:val="0055588A"/>
    <w:rsid w:val="005558AD"/>
    <w:rsid w:val="005558DE"/>
    <w:rsid w:val="00555905"/>
    <w:rsid w:val="005559C3"/>
    <w:rsid w:val="00555BA4"/>
    <w:rsid w:val="00555BCF"/>
    <w:rsid w:val="00555C4D"/>
    <w:rsid w:val="00555CE7"/>
    <w:rsid w:val="00555DD5"/>
    <w:rsid w:val="00555E02"/>
    <w:rsid w:val="00555E55"/>
    <w:rsid w:val="00555E5A"/>
    <w:rsid w:val="00556085"/>
    <w:rsid w:val="0055628E"/>
    <w:rsid w:val="005564AE"/>
    <w:rsid w:val="00556628"/>
    <w:rsid w:val="005567CA"/>
    <w:rsid w:val="005567F4"/>
    <w:rsid w:val="005568D0"/>
    <w:rsid w:val="00556AD2"/>
    <w:rsid w:val="00556B88"/>
    <w:rsid w:val="00556BAD"/>
    <w:rsid w:val="00556C21"/>
    <w:rsid w:val="00556CA9"/>
    <w:rsid w:val="00556CF9"/>
    <w:rsid w:val="00556D52"/>
    <w:rsid w:val="00556DFC"/>
    <w:rsid w:val="00556E04"/>
    <w:rsid w:val="00556E6E"/>
    <w:rsid w:val="00556EC1"/>
    <w:rsid w:val="005571FF"/>
    <w:rsid w:val="00557350"/>
    <w:rsid w:val="005573DF"/>
    <w:rsid w:val="0055753C"/>
    <w:rsid w:val="005575BA"/>
    <w:rsid w:val="00557796"/>
    <w:rsid w:val="00557893"/>
    <w:rsid w:val="005579DE"/>
    <w:rsid w:val="00557AFB"/>
    <w:rsid w:val="00557E8E"/>
    <w:rsid w:val="00557FCE"/>
    <w:rsid w:val="0056001C"/>
    <w:rsid w:val="00560403"/>
    <w:rsid w:val="0056065D"/>
    <w:rsid w:val="0056075A"/>
    <w:rsid w:val="00560A9E"/>
    <w:rsid w:val="00560CAD"/>
    <w:rsid w:val="00560DE3"/>
    <w:rsid w:val="00560E15"/>
    <w:rsid w:val="005611B3"/>
    <w:rsid w:val="005611EB"/>
    <w:rsid w:val="00561215"/>
    <w:rsid w:val="0056151F"/>
    <w:rsid w:val="005615D8"/>
    <w:rsid w:val="00561620"/>
    <w:rsid w:val="0056177D"/>
    <w:rsid w:val="00561803"/>
    <w:rsid w:val="00561852"/>
    <w:rsid w:val="005619C7"/>
    <w:rsid w:val="00561CEE"/>
    <w:rsid w:val="00561D91"/>
    <w:rsid w:val="00561E0D"/>
    <w:rsid w:val="00561E9F"/>
    <w:rsid w:val="00561EF8"/>
    <w:rsid w:val="00562011"/>
    <w:rsid w:val="00562071"/>
    <w:rsid w:val="0056211E"/>
    <w:rsid w:val="005621DA"/>
    <w:rsid w:val="0056223E"/>
    <w:rsid w:val="0056244E"/>
    <w:rsid w:val="0056247A"/>
    <w:rsid w:val="00562642"/>
    <w:rsid w:val="00562770"/>
    <w:rsid w:val="005627E0"/>
    <w:rsid w:val="00562852"/>
    <w:rsid w:val="00562B49"/>
    <w:rsid w:val="00562DA2"/>
    <w:rsid w:val="00562E12"/>
    <w:rsid w:val="00562E16"/>
    <w:rsid w:val="00562E5C"/>
    <w:rsid w:val="00562F48"/>
    <w:rsid w:val="00562F6C"/>
    <w:rsid w:val="00562FB3"/>
    <w:rsid w:val="00563024"/>
    <w:rsid w:val="00563068"/>
    <w:rsid w:val="00563244"/>
    <w:rsid w:val="0056348E"/>
    <w:rsid w:val="00563528"/>
    <w:rsid w:val="005635A6"/>
    <w:rsid w:val="005637C8"/>
    <w:rsid w:val="00563A43"/>
    <w:rsid w:val="00563AFF"/>
    <w:rsid w:val="00563C75"/>
    <w:rsid w:val="00563D65"/>
    <w:rsid w:val="00563DB2"/>
    <w:rsid w:val="00563F5B"/>
    <w:rsid w:val="005640B6"/>
    <w:rsid w:val="005641B5"/>
    <w:rsid w:val="00564219"/>
    <w:rsid w:val="0056440F"/>
    <w:rsid w:val="00564813"/>
    <w:rsid w:val="00564B48"/>
    <w:rsid w:val="00564D5E"/>
    <w:rsid w:val="00564E50"/>
    <w:rsid w:val="00565031"/>
    <w:rsid w:val="005650A5"/>
    <w:rsid w:val="005651FC"/>
    <w:rsid w:val="0056539E"/>
    <w:rsid w:val="00565498"/>
    <w:rsid w:val="00565595"/>
    <w:rsid w:val="00565894"/>
    <w:rsid w:val="00565958"/>
    <w:rsid w:val="00565B1A"/>
    <w:rsid w:val="00565B41"/>
    <w:rsid w:val="00565B96"/>
    <w:rsid w:val="00565C41"/>
    <w:rsid w:val="00565DBA"/>
    <w:rsid w:val="00565F17"/>
    <w:rsid w:val="00565F77"/>
    <w:rsid w:val="005661D8"/>
    <w:rsid w:val="00566475"/>
    <w:rsid w:val="00566756"/>
    <w:rsid w:val="00566943"/>
    <w:rsid w:val="00566982"/>
    <w:rsid w:val="00566984"/>
    <w:rsid w:val="005669EC"/>
    <w:rsid w:val="00566A42"/>
    <w:rsid w:val="00566B0D"/>
    <w:rsid w:val="00566B9B"/>
    <w:rsid w:val="00566C7D"/>
    <w:rsid w:val="00566C96"/>
    <w:rsid w:val="00566F4B"/>
    <w:rsid w:val="005672A9"/>
    <w:rsid w:val="005672FE"/>
    <w:rsid w:val="005675B5"/>
    <w:rsid w:val="00567645"/>
    <w:rsid w:val="00567820"/>
    <w:rsid w:val="00567922"/>
    <w:rsid w:val="00567AC6"/>
    <w:rsid w:val="00567BA3"/>
    <w:rsid w:val="00567C87"/>
    <w:rsid w:val="00567F9A"/>
    <w:rsid w:val="00567FBE"/>
    <w:rsid w:val="0056FD00"/>
    <w:rsid w:val="0057007B"/>
    <w:rsid w:val="00570167"/>
    <w:rsid w:val="0057019A"/>
    <w:rsid w:val="00570219"/>
    <w:rsid w:val="0057030F"/>
    <w:rsid w:val="0057070A"/>
    <w:rsid w:val="00570713"/>
    <w:rsid w:val="00570731"/>
    <w:rsid w:val="00570A3C"/>
    <w:rsid w:val="00570A89"/>
    <w:rsid w:val="00570CDE"/>
    <w:rsid w:val="00570EAB"/>
    <w:rsid w:val="00570F37"/>
    <w:rsid w:val="00570F64"/>
    <w:rsid w:val="0057120F"/>
    <w:rsid w:val="005713C6"/>
    <w:rsid w:val="005713E4"/>
    <w:rsid w:val="00571440"/>
    <w:rsid w:val="005716CB"/>
    <w:rsid w:val="0057176C"/>
    <w:rsid w:val="005717CF"/>
    <w:rsid w:val="005718D4"/>
    <w:rsid w:val="00571AA9"/>
    <w:rsid w:val="00571B2D"/>
    <w:rsid w:val="00571B87"/>
    <w:rsid w:val="00571D40"/>
    <w:rsid w:val="00571D7A"/>
    <w:rsid w:val="00571EDA"/>
    <w:rsid w:val="00571EE5"/>
    <w:rsid w:val="00571F3B"/>
    <w:rsid w:val="00571F61"/>
    <w:rsid w:val="00571F79"/>
    <w:rsid w:val="00571F97"/>
    <w:rsid w:val="00571FA8"/>
    <w:rsid w:val="00571FC1"/>
    <w:rsid w:val="005723A4"/>
    <w:rsid w:val="005723B2"/>
    <w:rsid w:val="0057249A"/>
    <w:rsid w:val="00572545"/>
    <w:rsid w:val="005725F7"/>
    <w:rsid w:val="0057261F"/>
    <w:rsid w:val="005727B0"/>
    <w:rsid w:val="00572816"/>
    <w:rsid w:val="00572855"/>
    <w:rsid w:val="005728EC"/>
    <w:rsid w:val="00572A43"/>
    <w:rsid w:val="00572BB9"/>
    <w:rsid w:val="00572C80"/>
    <w:rsid w:val="00572DB3"/>
    <w:rsid w:val="00572DCD"/>
    <w:rsid w:val="00572F82"/>
    <w:rsid w:val="00572FA5"/>
    <w:rsid w:val="00573014"/>
    <w:rsid w:val="00573092"/>
    <w:rsid w:val="00573173"/>
    <w:rsid w:val="00573399"/>
    <w:rsid w:val="005733F4"/>
    <w:rsid w:val="0057350C"/>
    <w:rsid w:val="00573530"/>
    <w:rsid w:val="005736F0"/>
    <w:rsid w:val="00573764"/>
    <w:rsid w:val="00573767"/>
    <w:rsid w:val="00573BE1"/>
    <w:rsid w:val="00574144"/>
    <w:rsid w:val="00574258"/>
    <w:rsid w:val="00574435"/>
    <w:rsid w:val="0057444B"/>
    <w:rsid w:val="00574570"/>
    <w:rsid w:val="005746A0"/>
    <w:rsid w:val="0057482B"/>
    <w:rsid w:val="00574929"/>
    <w:rsid w:val="0057492E"/>
    <w:rsid w:val="005749FB"/>
    <w:rsid w:val="00574BF5"/>
    <w:rsid w:val="00574E0A"/>
    <w:rsid w:val="00574E41"/>
    <w:rsid w:val="00574E56"/>
    <w:rsid w:val="00574E9A"/>
    <w:rsid w:val="00575485"/>
    <w:rsid w:val="005755E2"/>
    <w:rsid w:val="00575617"/>
    <w:rsid w:val="005759DB"/>
    <w:rsid w:val="00575A3D"/>
    <w:rsid w:val="00575D3C"/>
    <w:rsid w:val="00575F02"/>
    <w:rsid w:val="00575FF9"/>
    <w:rsid w:val="00576438"/>
    <w:rsid w:val="0057651F"/>
    <w:rsid w:val="005765AC"/>
    <w:rsid w:val="0057669A"/>
    <w:rsid w:val="0057669B"/>
    <w:rsid w:val="00576936"/>
    <w:rsid w:val="005769E2"/>
    <w:rsid w:val="00576AD3"/>
    <w:rsid w:val="00576CB8"/>
    <w:rsid w:val="00576D46"/>
    <w:rsid w:val="00576DA5"/>
    <w:rsid w:val="00576E3C"/>
    <w:rsid w:val="00576E4F"/>
    <w:rsid w:val="0057702E"/>
    <w:rsid w:val="0057726D"/>
    <w:rsid w:val="00577429"/>
    <w:rsid w:val="00577938"/>
    <w:rsid w:val="005779A5"/>
    <w:rsid w:val="00577A69"/>
    <w:rsid w:val="00577B2A"/>
    <w:rsid w:val="00577B3E"/>
    <w:rsid w:val="00577BA2"/>
    <w:rsid w:val="00577E02"/>
    <w:rsid w:val="00577E9C"/>
    <w:rsid w:val="0058003C"/>
    <w:rsid w:val="005800E0"/>
    <w:rsid w:val="00580105"/>
    <w:rsid w:val="0058011D"/>
    <w:rsid w:val="00580184"/>
    <w:rsid w:val="005802A3"/>
    <w:rsid w:val="00580487"/>
    <w:rsid w:val="0058053D"/>
    <w:rsid w:val="005805E0"/>
    <w:rsid w:val="00580613"/>
    <w:rsid w:val="0058077E"/>
    <w:rsid w:val="00580914"/>
    <w:rsid w:val="00580922"/>
    <w:rsid w:val="00580977"/>
    <w:rsid w:val="00580B0D"/>
    <w:rsid w:val="00580C5F"/>
    <w:rsid w:val="00580EF7"/>
    <w:rsid w:val="005810D0"/>
    <w:rsid w:val="0058120C"/>
    <w:rsid w:val="00581335"/>
    <w:rsid w:val="00581349"/>
    <w:rsid w:val="005814B4"/>
    <w:rsid w:val="005816D4"/>
    <w:rsid w:val="005816F7"/>
    <w:rsid w:val="005819FE"/>
    <w:rsid w:val="00581AB3"/>
    <w:rsid w:val="00581F57"/>
    <w:rsid w:val="005820F9"/>
    <w:rsid w:val="00582362"/>
    <w:rsid w:val="005823B7"/>
    <w:rsid w:val="005823CB"/>
    <w:rsid w:val="005823D3"/>
    <w:rsid w:val="00582478"/>
    <w:rsid w:val="00582566"/>
    <w:rsid w:val="0058268D"/>
    <w:rsid w:val="00582729"/>
    <w:rsid w:val="005829F9"/>
    <w:rsid w:val="00582B5D"/>
    <w:rsid w:val="00582B8F"/>
    <w:rsid w:val="00582BF9"/>
    <w:rsid w:val="00582C03"/>
    <w:rsid w:val="00582CDD"/>
    <w:rsid w:val="00582DB4"/>
    <w:rsid w:val="0058302D"/>
    <w:rsid w:val="005831D0"/>
    <w:rsid w:val="005833BA"/>
    <w:rsid w:val="00583592"/>
    <w:rsid w:val="005835E1"/>
    <w:rsid w:val="00583657"/>
    <w:rsid w:val="005836BB"/>
    <w:rsid w:val="005836CA"/>
    <w:rsid w:val="005838F7"/>
    <w:rsid w:val="00583967"/>
    <w:rsid w:val="005839AE"/>
    <w:rsid w:val="00583B7A"/>
    <w:rsid w:val="00583BB9"/>
    <w:rsid w:val="00583C46"/>
    <w:rsid w:val="00583C8F"/>
    <w:rsid w:val="00583DC2"/>
    <w:rsid w:val="00583FF9"/>
    <w:rsid w:val="00584326"/>
    <w:rsid w:val="00584585"/>
    <w:rsid w:val="0058461B"/>
    <w:rsid w:val="0058478F"/>
    <w:rsid w:val="005847F4"/>
    <w:rsid w:val="0058485B"/>
    <w:rsid w:val="00584A53"/>
    <w:rsid w:val="00584A8A"/>
    <w:rsid w:val="00584B78"/>
    <w:rsid w:val="00584BA9"/>
    <w:rsid w:val="00584E0D"/>
    <w:rsid w:val="00584ED3"/>
    <w:rsid w:val="00584EED"/>
    <w:rsid w:val="00584FC3"/>
    <w:rsid w:val="00585254"/>
    <w:rsid w:val="00585346"/>
    <w:rsid w:val="005853E4"/>
    <w:rsid w:val="005856A0"/>
    <w:rsid w:val="0058597E"/>
    <w:rsid w:val="00585A50"/>
    <w:rsid w:val="00585BF0"/>
    <w:rsid w:val="00585C5E"/>
    <w:rsid w:val="00585DE4"/>
    <w:rsid w:val="00586104"/>
    <w:rsid w:val="00586225"/>
    <w:rsid w:val="00586255"/>
    <w:rsid w:val="005863F2"/>
    <w:rsid w:val="0058657B"/>
    <w:rsid w:val="0058658E"/>
    <w:rsid w:val="00586621"/>
    <w:rsid w:val="00586685"/>
    <w:rsid w:val="00586933"/>
    <w:rsid w:val="0058693C"/>
    <w:rsid w:val="00586A97"/>
    <w:rsid w:val="00586B45"/>
    <w:rsid w:val="00586C83"/>
    <w:rsid w:val="0058703B"/>
    <w:rsid w:val="0058708B"/>
    <w:rsid w:val="005870D1"/>
    <w:rsid w:val="005874BA"/>
    <w:rsid w:val="005875B6"/>
    <w:rsid w:val="005875F8"/>
    <w:rsid w:val="00587697"/>
    <w:rsid w:val="005876DD"/>
    <w:rsid w:val="005878BA"/>
    <w:rsid w:val="00587BED"/>
    <w:rsid w:val="00587C73"/>
    <w:rsid w:val="00587CCB"/>
    <w:rsid w:val="00587D85"/>
    <w:rsid w:val="00587D9C"/>
    <w:rsid w:val="00587DB5"/>
    <w:rsid w:val="00587DD5"/>
    <w:rsid w:val="005903CE"/>
    <w:rsid w:val="005904C5"/>
    <w:rsid w:val="005908E5"/>
    <w:rsid w:val="005908EB"/>
    <w:rsid w:val="00590A7A"/>
    <w:rsid w:val="00590B58"/>
    <w:rsid w:val="00590DDC"/>
    <w:rsid w:val="00590E08"/>
    <w:rsid w:val="00591049"/>
    <w:rsid w:val="00591178"/>
    <w:rsid w:val="0059181C"/>
    <w:rsid w:val="00591AA4"/>
    <w:rsid w:val="00591B7C"/>
    <w:rsid w:val="00591B8F"/>
    <w:rsid w:val="00591E36"/>
    <w:rsid w:val="0059221F"/>
    <w:rsid w:val="00592329"/>
    <w:rsid w:val="00592368"/>
    <w:rsid w:val="005923A5"/>
    <w:rsid w:val="005923AC"/>
    <w:rsid w:val="0059298B"/>
    <w:rsid w:val="00592B17"/>
    <w:rsid w:val="00592C23"/>
    <w:rsid w:val="00592C50"/>
    <w:rsid w:val="00592C7E"/>
    <w:rsid w:val="00592D2E"/>
    <w:rsid w:val="00592E70"/>
    <w:rsid w:val="005930CD"/>
    <w:rsid w:val="00593273"/>
    <w:rsid w:val="005935A2"/>
    <w:rsid w:val="005936A4"/>
    <w:rsid w:val="005936C3"/>
    <w:rsid w:val="00593907"/>
    <w:rsid w:val="00593929"/>
    <w:rsid w:val="00593CEB"/>
    <w:rsid w:val="00594094"/>
    <w:rsid w:val="00594221"/>
    <w:rsid w:val="0059432D"/>
    <w:rsid w:val="0059439A"/>
    <w:rsid w:val="0059442B"/>
    <w:rsid w:val="005946FF"/>
    <w:rsid w:val="005949B2"/>
    <w:rsid w:val="00594AF6"/>
    <w:rsid w:val="00594BAA"/>
    <w:rsid w:val="00594C70"/>
    <w:rsid w:val="00594C74"/>
    <w:rsid w:val="00594C9B"/>
    <w:rsid w:val="00594EC3"/>
    <w:rsid w:val="00594FAD"/>
    <w:rsid w:val="005953DF"/>
    <w:rsid w:val="00595454"/>
    <w:rsid w:val="00595560"/>
    <w:rsid w:val="005955FB"/>
    <w:rsid w:val="00595AD6"/>
    <w:rsid w:val="00595D91"/>
    <w:rsid w:val="00595E0C"/>
    <w:rsid w:val="00595EFB"/>
    <w:rsid w:val="00595FFD"/>
    <w:rsid w:val="00596188"/>
    <w:rsid w:val="00596680"/>
    <w:rsid w:val="005966A1"/>
    <w:rsid w:val="00596707"/>
    <w:rsid w:val="005967EA"/>
    <w:rsid w:val="00596902"/>
    <w:rsid w:val="00596989"/>
    <w:rsid w:val="00596E19"/>
    <w:rsid w:val="00596ED9"/>
    <w:rsid w:val="00596EF8"/>
    <w:rsid w:val="00596FB6"/>
    <w:rsid w:val="005971EF"/>
    <w:rsid w:val="005972F3"/>
    <w:rsid w:val="00597382"/>
    <w:rsid w:val="0059787F"/>
    <w:rsid w:val="0059789C"/>
    <w:rsid w:val="00597921"/>
    <w:rsid w:val="00597CA2"/>
    <w:rsid w:val="005A01F0"/>
    <w:rsid w:val="005A0300"/>
    <w:rsid w:val="005A0344"/>
    <w:rsid w:val="005A040A"/>
    <w:rsid w:val="005A0544"/>
    <w:rsid w:val="005A05BB"/>
    <w:rsid w:val="005A0BA1"/>
    <w:rsid w:val="005A0BD3"/>
    <w:rsid w:val="005A0CB6"/>
    <w:rsid w:val="005A0D18"/>
    <w:rsid w:val="005A0DE4"/>
    <w:rsid w:val="005A0E0A"/>
    <w:rsid w:val="005A0E15"/>
    <w:rsid w:val="005A0E94"/>
    <w:rsid w:val="005A1048"/>
    <w:rsid w:val="005A11C7"/>
    <w:rsid w:val="005A145F"/>
    <w:rsid w:val="005A14BB"/>
    <w:rsid w:val="005A166A"/>
    <w:rsid w:val="005A16C6"/>
    <w:rsid w:val="005A17F2"/>
    <w:rsid w:val="005A1872"/>
    <w:rsid w:val="005A19AD"/>
    <w:rsid w:val="005A1C06"/>
    <w:rsid w:val="005A1C93"/>
    <w:rsid w:val="005A1EE6"/>
    <w:rsid w:val="005A1EFA"/>
    <w:rsid w:val="005A2141"/>
    <w:rsid w:val="005A21E4"/>
    <w:rsid w:val="005A2239"/>
    <w:rsid w:val="005A23C3"/>
    <w:rsid w:val="005A241A"/>
    <w:rsid w:val="005A246E"/>
    <w:rsid w:val="005A2515"/>
    <w:rsid w:val="005A26DB"/>
    <w:rsid w:val="005A27FC"/>
    <w:rsid w:val="005A2828"/>
    <w:rsid w:val="005A29CF"/>
    <w:rsid w:val="005A2B5B"/>
    <w:rsid w:val="005A2BC0"/>
    <w:rsid w:val="005A2D17"/>
    <w:rsid w:val="005A2D7C"/>
    <w:rsid w:val="005A2D8B"/>
    <w:rsid w:val="005A2DCF"/>
    <w:rsid w:val="005A2DEC"/>
    <w:rsid w:val="005A2E1F"/>
    <w:rsid w:val="005A2E96"/>
    <w:rsid w:val="005A2F56"/>
    <w:rsid w:val="005A3157"/>
    <w:rsid w:val="005A32D5"/>
    <w:rsid w:val="005A3302"/>
    <w:rsid w:val="005A34C9"/>
    <w:rsid w:val="005A354F"/>
    <w:rsid w:val="005A35ED"/>
    <w:rsid w:val="005A3607"/>
    <w:rsid w:val="005A36F8"/>
    <w:rsid w:val="005A3A2C"/>
    <w:rsid w:val="005A3C40"/>
    <w:rsid w:val="005A3D44"/>
    <w:rsid w:val="005A3E5F"/>
    <w:rsid w:val="005A3F13"/>
    <w:rsid w:val="005A3F1B"/>
    <w:rsid w:val="005A3FDF"/>
    <w:rsid w:val="005A3FFE"/>
    <w:rsid w:val="005A4554"/>
    <w:rsid w:val="005A46B5"/>
    <w:rsid w:val="005A4793"/>
    <w:rsid w:val="005A48F9"/>
    <w:rsid w:val="005A4B5D"/>
    <w:rsid w:val="005A4F32"/>
    <w:rsid w:val="005A50F8"/>
    <w:rsid w:val="005A5281"/>
    <w:rsid w:val="005A53CA"/>
    <w:rsid w:val="005A5411"/>
    <w:rsid w:val="005A5416"/>
    <w:rsid w:val="005A54B5"/>
    <w:rsid w:val="005A5651"/>
    <w:rsid w:val="005A579E"/>
    <w:rsid w:val="005A5A5B"/>
    <w:rsid w:val="005A5D7D"/>
    <w:rsid w:val="005A6019"/>
    <w:rsid w:val="005A602A"/>
    <w:rsid w:val="005A6125"/>
    <w:rsid w:val="005A6164"/>
    <w:rsid w:val="005A6462"/>
    <w:rsid w:val="005A678E"/>
    <w:rsid w:val="005A6A89"/>
    <w:rsid w:val="005A6C66"/>
    <w:rsid w:val="005A6D56"/>
    <w:rsid w:val="005A6DE7"/>
    <w:rsid w:val="005A6F6D"/>
    <w:rsid w:val="005A7095"/>
    <w:rsid w:val="005A72F0"/>
    <w:rsid w:val="005A735B"/>
    <w:rsid w:val="005A7592"/>
    <w:rsid w:val="005A75CF"/>
    <w:rsid w:val="005A7756"/>
    <w:rsid w:val="005B00AC"/>
    <w:rsid w:val="005B00B3"/>
    <w:rsid w:val="005B03DB"/>
    <w:rsid w:val="005B0646"/>
    <w:rsid w:val="005B070E"/>
    <w:rsid w:val="005B07E7"/>
    <w:rsid w:val="005B08D5"/>
    <w:rsid w:val="005B0A8B"/>
    <w:rsid w:val="005B0BB1"/>
    <w:rsid w:val="005B0D08"/>
    <w:rsid w:val="005B0E7F"/>
    <w:rsid w:val="005B0F80"/>
    <w:rsid w:val="005B0FC0"/>
    <w:rsid w:val="005B1262"/>
    <w:rsid w:val="005B147D"/>
    <w:rsid w:val="005B154D"/>
    <w:rsid w:val="005B1626"/>
    <w:rsid w:val="005B174E"/>
    <w:rsid w:val="005B17B2"/>
    <w:rsid w:val="005B186F"/>
    <w:rsid w:val="005B1CC6"/>
    <w:rsid w:val="005B1D2E"/>
    <w:rsid w:val="005B1DB7"/>
    <w:rsid w:val="005B1F33"/>
    <w:rsid w:val="005B20B3"/>
    <w:rsid w:val="005B21B4"/>
    <w:rsid w:val="005B21FA"/>
    <w:rsid w:val="005B237A"/>
    <w:rsid w:val="005B240D"/>
    <w:rsid w:val="005B24EF"/>
    <w:rsid w:val="005B2507"/>
    <w:rsid w:val="005B25FA"/>
    <w:rsid w:val="005B282E"/>
    <w:rsid w:val="005B289F"/>
    <w:rsid w:val="005B2A15"/>
    <w:rsid w:val="005B2B11"/>
    <w:rsid w:val="005B2B27"/>
    <w:rsid w:val="005B2B80"/>
    <w:rsid w:val="005B2E32"/>
    <w:rsid w:val="005B2E3F"/>
    <w:rsid w:val="005B2ECC"/>
    <w:rsid w:val="005B309F"/>
    <w:rsid w:val="005B313A"/>
    <w:rsid w:val="005B3236"/>
    <w:rsid w:val="005B338D"/>
    <w:rsid w:val="005B3404"/>
    <w:rsid w:val="005B36BB"/>
    <w:rsid w:val="005B3B0B"/>
    <w:rsid w:val="005B3B4F"/>
    <w:rsid w:val="005B3C1F"/>
    <w:rsid w:val="005B3CD3"/>
    <w:rsid w:val="005B3D57"/>
    <w:rsid w:val="005B3D7D"/>
    <w:rsid w:val="005B3ED6"/>
    <w:rsid w:val="005B3F9E"/>
    <w:rsid w:val="005B42BA"/>
    <w:rsid w:val="005B42D5"/>
    <w:rsid w:val="005B462F"/>
    <w:rsid w:val="005B476D"/>
    <w:rsid w:val="005B47DE"/>
    <w:rsid w:val="005B4AFD"/>
    <w:rsid w:val="005B4B41"/>
    <w:rsid w:val="005B4B4C"/>
    <w:rsid w:val="005B4BA2"/>
    <w:rsid w:val="005B4BDC"/>
    <w:rsid w:val="005B4D38"/>
    <w:rsid w:val="005B4DBB"/>
    <w:rsid w:val="005B4EBB"/>
    <w:rsid w:val="005B4EE7"/>
    <w:rsid w:val="005B501C"/>
    <w:rsid w:val="005B50EB"/>
    <w:rsid w:val="005B51F1"/>
    <w:rsid w:val="005B51FB"/>
    <w:rsid w:val="005B521B"/>
    <w:rsid w:val="005B5404"/>
    <w:rsid w:val="005B544D"/>
    <w:rsid w:val="005B5539"/>
    <w:rsid w:val="005B560B"/>
    <w:rsid w:val="005B56D1"/>
    <w:rsid w:val="005B57AD"/>
    <w:rsid w:val="005B5822"/>
    <w:rsid w:val="005B5C05"/>
    <w:rsid w:val="005B5C5B"/>
    <w:rsid w:val="005B5DE0"/>
    <w:rsid w:val="005B5E54"/>
    <w:rsid w:val="005B5F74"/>
    <w:rsid w:val="005B5F9F"/>
    <w:rsid w:val="005B6189"/>
    <w:rsid w:val="005B63E3"/>
    <w:rsid w:val="005B6638"/>
    <w:rsid w:val="005B66D4"/>
    <w:rsid w:val="005B67BA"/>
    <w:rsid w:val="005B691D"/>
    <w:rsid w:val="005B6924"/>
    <w:rsid w:val="005B69FF"/>
    <w:rsid w:val="005B6C25"/>
    <w:rsid w:val="005B6CEA"/>
    <w:rsid w:val="005B6DF7"/>
    <w:rsid w:val="005B6E4B"/>
    <w:rsid w:val="005B6F35"/>
    <w:rsid w:val="005B7317"/>
    <w:rsid w:val="005B7429"/>
    <w:rsid w:val="005B7578"/>
    <w:rsid w:val="005B7634"/>
    <w:rsid w:val="005B7688"/>
    <w:rsid w:val="005B7B1D"/>
    <w:rsid w:val="005B7B97"/>
    <w:rsid w:val="005B7BB8"/>
    <w:rsid w:val="005B7C31"/>
    <w:rsid w:val="005B7ECB"/>
    <w:rsid w:val="005B7FC4"/>
    <w:rsid w:val="005C014D"/>
    <w:rsid w:val="005C03F9"/>
    <w:rsid w:val="005C04BC"/>
    <w:rsid w:val="005C0967"/>
    <w:rsid w:val="005C09C6"/>
    <w:rsid w:val="005C0B16"/>
    <w:rsid w:val="005C0C26"/>
    <w:rsid w:val="005C0CA2"/>
    <w:rsid w:val="005C0F43"/>
    <w:rsid w:val="005C10C9"/>
    <w:rsid w:val="005C11C3"/>
    <w:rsid w:val="005C13B1"/>
    <w:rsid w:val="005C1AA3"/>
    <w:rsid w:val="005C1BD3"/>
    <w:rsid w:val="005C1C4F"/>
    <w:rsid w:val="005C1E54"/>
    <w:rsid w:val="005C1EF5"/>
    <w:rsid w:val="005C204B"/>
    <w:rsid w:val="005C2162"/>
    <w:rsid w:val="005C2322"/>
    <w:rsid w:val="005C25DA"/>
    <w:rsid w:val="005C2641"/>
    <w:rsid w:val="005C2906"/>
    <w:rsid w:val="005C2C8B"/>
    <w:rsid w:val="005C2F12"/>
    <w:rsid w:val="005C2FF9"/>
    <w:rsid w:val="005C3007"/>
    <w:rsid w:val="005C305C"/>
    <w:rsid w:val="005C30FD"/>
    <w:rsid w:val="005C31F7"/>
    <w:rsid w:val="005C3205"/>
    <w:rsid w:val="005C3405"/>
    <w:rsid w:val="005C3626"/>
    <w:rsid w:val="005C3875"/>
    <w:rsid w:val="005C3A34"/>
    <w:rsid w:val="005C3BD7"/>
    <w:rsid w:val="005C3D8F"/>
    <w:rsid w:val="005C4127"/>
    <w:rsid w:val="005C425A"/>
    <w:rsid w:val="005C4629"/>
    <w:rsid w:val="005C46DC"/>
    <w:rsid w:val="005C47B2"/>
    <w:rsid w:val="005C47BE"/>
    <w:rsid w:val="005C47CD"/>
    <w:rsid w:val="005C488F"/>
    <w:rsid w:val="005C49C7"/>
    <w:rsid w:val="005C4F6F"/>
    <w:rsid w:val="005C507F"/>
    <w:rsid w:val="005C51D6"/>
    <w:rsid w:val="005C57EC"/>
    <w:rsid w:val="005C5A50"/>
    <w:rsid w:val="005C5B1F"/>
    <w:rsid w:val="005C5C7B"/>
    <w:rsid w:val="005C5DFC"/>
    <w:rsid w:val="005C5E94"/>
    <w:rsid w:val="005C5FD1"/>
    <w:rsid w:val="005C5FF6"/>
    <w:rsid w:val="005C60DF"/>
    <w:rsid w:val="005C6155"/>
    <w:rsid w:val="005C61D3"/>
    <w:rsid w:val="005C641D"/>
    <w:rsid w:val="005C6449"/>
    <w:rsid w:val="005C654E"/>
    <w:rsid w:val="005C65B4"/>
    <w:rsid w:val="005C66E4"/>
    <w:rsid w:val="005C677F"/>
    <w:rsid w:val="005C6805"/>
    <w:rsid w:val="005C681F"/>
    <w:rsid w:val="005C68BE"/>
    <w:rsid w:val="005C6AF1"/>
    <w:rsid w:val="005C6D95"/>
    <w:rsid w:val="005C6EEC"/>
    <w:rsid w:val="005C6FD2"/>
    <w:rsid w:val="005C70C1"/>
    <w:rsid w:val="005C71C4"/>
    <w:rsid w:val="005C7447"/>
    <w:rsid w:val="005C7515"/>
    <w:rsid w:val="005C752A"/>
    <w:rsid w:val="005C7769"/>
    <w:rsid w:val="005C77F8"/>
    <w:rsid w:val="005C78CE"/>
    <w:rsid w:val="005C7974"/>
    <w:rsid w:val="005C79A3"/>
    <w:rsid w:val="005C7D85"/>
    <w:rsid w:val="005C7E9F"/>
    <w:rsid w:val="005C7EC1"/>
    <w:rsid w:val="005CEB58"/>
    <w:rsid w:val="005D0071"/>
    <w:rsid w:val="005D02A2"/>
    <w:rsid w:val="005D03F8"/>
    <w:rsid w:val="005D0416"/>
    <w:rsid w:val="005D04A9"/>
    <w:rsid w:val="005D04C0"/>
    <w:rsid w:val="005D0594"/>
    <w:rsid w:val="005D0931"/>
    <w:rsid w:val="005D0A12"/>
    <w:rsid w:val="005D0CD5"/>
    <w:rsid w:val="005D0CF9"/>
    <w:rsid w:val="005D0D04"/>
    <w:rsid w:val="005D0D2A"/>
    <w:rsid w:val="005D0FC7"/>
    <w:rsid w:val="005D0FF7"/>
    <w:rsid w:val="005D132A"/>
    <w:rsid w:val="005D1460"/>
    <w:rsid w:val="005D1570"/>
    <w:rsid w:val="005D164D"/>
    <w:rsid w:val="005D16C8"/>
    <w:rsid w:val="005D1749"/>
    <w:rsid w:val="005D17BE"/>
    <w:rsid w:val="005D194E"/>
    <w:rsid w:val="005D1CE0"/>
    <w:rsid w:val="005D22D8"/>
    <w:rsid w:val="005D24BE"/>
    <w:rsid w:val="005D2647"/>
    <w:rsid w:val="005D2701"/>
    <w:rsid w:val="005D2719"/>
    <w:rsid w:val="005D2745"/>
    <w:rsid w:val="005D289F"/>
    <w:rsid w:val="005D28C8"/>
    <w:rsid w:val="005D2B23"/>
    <w:rsid w:val="005D2C49"/>
    <w:rsid w:val="005D2CE7"/>
    <w:rsid w:val="005D2D31"/>
    <w:rsid w:val="005D2E15"/>
    <w:rsid w:val="005D2F16"/>
    <w:rsid w:val="005D30D4"/>
    <w:rsid w:val="005D31F4"/>
    <w:rsid w:val="005D3314"/>
    <w:rsid w:val="005D35A3"/>
    <w:rsid w:val="005D362D"/>
    <w:rsid w:val="005D3671"/>
    <w:rsid w:val="005D3756"/>
    <w:rsid w:val="005D37A3"/>
    <w:rsid w:val="005D38D0"/>
    <w:rsid w:val="005D3959"/>
    <w:rsid w:val="005D3AA6"/>
    <w:rsid w:val="005D3B5F"/>
    <w:rsid w:val="005D3CED"/>
    <w:rsid w:val="005D3E5E"/>
    <w:rsid w:val="005D4284"/>
    <w:rsid w:val="005D44BE"/>
    <w:rsid w:val="005D4607"/>
    <w:rsid w:val="005D464A"/>
    <w:rsid w:val="005D4665"/>
    <w:rsid w:val="005D47AA"/>
    <w:rsid w:val="005D4945"/>
    <w:rsid w:val="005D49ED"/>
    <w:rsid w:val="005D4AF3"/>
    <w:rsid w:val="005D4D57"/>
    <w:rsid w:val="005D4E5A"/>
    <w:rsid w:val="005D4E9E"/>
    <w:rsid w:val="005D4FBB"/>
    <w:rsid w:val="005D5024"/>
    <w:rsid w:val="005D538B"/>
    <w:rsid w:val="005D538E"/>
    <w:rsid w:val="005D53CF"/>
    <w:rsid w:val="005D5419"/>
    <w:rsid w:val="005D5420"/>
    <w:rsid w:val="005D542C"/>
    <w:rsid w:val="005D57A6"/>
    <w:rsid w:val="005D5809"/>
    <w:rsid w:val="005D5A9E"/>
    <w:rsid w:val="005D5C01"/>
    <w:rsid w:val="005D5D32"/>
    <w:rsid w:val="005D5DD8"/>
    <w:rsid w:val="005D5ED1"/>
    <w:rsid w:val="005D5ED6"/>
    <w:rsid w:val="005D5FFC"/>
    <w:rsid w:val="005D608C"/>
    <w:rsid w:val="005D61C0"/>
    <w:rsid w:val="005D640E"/>
    <w:rsid w:val="005D64AF"/>
    <w:rsid w:val="005D64EC"/>
    <w:rsid w:val="005D64F8"/>
    <w:rsid w:val="005D65A3"/>
    <w:rsid w:val="005D65BE"/>
    <w:rsid w:val="005D6619"/>
    <w:rsid w:val="005D6664"/>
    <w:rsid w:val="005D6836"/>
    <w:rsid w:val="005D6874"/>
    <w:rsid w:val="005D689E"/>
    <w:rsid w:val="005D6AE7"/>
    <w:rsid w:val="005D6B42"/>
    <w:rsid w:val="005D6C81"/>
    <w:rsid w:val="005D6D61"/>
    <w:rsid w:val="005D6D6F"/>
    <w:rsid w:val="005D6E47"/>
    <w:rsid w:val="005D7020"/>
    <w:rsid w:val="005D7064"/>
    <w:rsid w:val="005D7169"/>
    <w:rsid w:val="005D722E"/>
    <w:rsid w:val="005D73C8"/>
    <w:rsid w:val="005D745C"/>
    <w:rsid w:val="005D75A5"/>
    <w:rsid w:val="005D78D7"/>
    <w:rsid w:val="005D7988"/>
    <w:rsid w:val="005D7B0F"/>
    <w:rsid w:val="005D7B40"/>
    <w:rsid w:val="005D7C96"/>
    <w:rsid w:val="005D7DD8"/>
    <w:rsid w:val="005D7F3F"/>
    <w:rsid w:val="005E00ED"/>
    <w:rsid w:val="005E0210"/>
    <w:rsid w:val="005E0297"/>
    <w:rsid w:val="005E04B3"/>
    <w:rsid w:val="005E07B6"/>
    <w:rsid w:val="005E07BE"/>
    <w:rsid w:val="005E08EC"/>
    <w:rsid w:val="005E0990"/>
    <w:rsid w:val="005E0C85"/>
    <w:rsid w:val="005E0E67"/>
    <w:rsid w:val="005E0E8A"/>
    <w:rsid w:val="005E1051"/>
    <w:rsid w:val="005E131A"/>
    <w:rsid w:val="005E1394"/>
    <w:rsid w:val="005E145C"/>
    <w:rsid w:val="005E14FB"/>
    <w:rsid w:val="005E155F"/>
    <w:rsid w:val="005E1568"/>
    <w:rsid w:val="005E1637"/>
    <w:rsid w:val="005E168A"/>
    <w:rsid w:val="005E173C"/>
    <w:rsid w:val="005E17FA"/>
    <w:rsid w:val="005E1B41"/>
    <w:rsid w:val="005E1C22"/>
    <w:rsid w:val="005E1CAE"/>
    <w:rsid w:val="005E1E7D"/>
    <w:rsid w:val="005E1EF7"/>
    <w:rsid w:val="005E22B1"/>
    <w:rsid w:val="005E2328"/>
    <w:rsid w:val="005E23EE"/>
    <w:rsid w:val="005E24C3"/>
    <w:rsid w:val="005E26E3"/>
    <w:rsid w:val="005E2B92"/>
    <w:rsid w:val="005E2B9F"/>
    <w:rsid w:val="005E2C5C"/>
    <w:rsid w:val="005E2D24"/>
    <w:rsid w:val="005E2FF5"/>
    <w:rsid w:val="005E30E1"/>
    <w:rsid w:val="005E3185"/>
    <w:rsid w:val="005E338D"/>
    <w:rsid w:val="005E3401"/>
    <w:rsid w:val="005E3761"/>
    <w:rsid w:val="005E3AAD"/>
    <w:rsid w:val="005E3B5F"/>
    <w:rsid w:val="005E3CA5"/>
    <w:rsid w:val="005E3FD4"/>
    <w:rsid w:val="005E40D7"/>
    <w:rsid w:val="005E4147"/>
    <w:rsid w:val="005E41AD"/>
    <w:rsid w:val="005E41AE"/>
    <w:rsid w:val="005E4506"/>
    <w:rsid w:val="005E45AA"/>
    <w:rsid w:val="005E467D"/>
    <w:rsid w:val="005E46FB"/>
    <w:rsid w:val="005E4F53"/>
    <w:rsid w:val="005E5373"/>
    <w:rsid w:val="005E5424"/>
    <w:rsid w:val="005E549F"/>
    <w:rsid w:val="005E565C"/>
    <w:rsid w:val="005E56D3"/>
    <w:rsid w:val="005E56EF"/>
    <w:rsid w:val="005E59BF"/>
    <w:rsid w:val="005E5A5A"/>
    <w:rsid w:val="005E5B01"/>
    <w:rsid w:val="005E5B80"/>
    <w:rsid w:val="005E5BB6"/>
    <w:rsid w:val="005E5C6A"/>
    <w:rsid w:val="005E5DE4"/>
    <w:rsid w:val="005E5E17"/>
    <w:rsid w:val="005E5E70"/>
    <w:rsid w:val="005E61CF"/>
    <w:rsid w:val="005E640C"/>
    <w:rsid w:val="005E6417"/>
    <w:rsid w:val="005E6443"/>
    <w:rsid w:val="005E653E"/>
    <w:rsid w:val="005E6893"/>
    <w:rsid w:val="005E68A3"/>
    <w:rsid w:val="005E6905"/>
    <w:rsid w:val="005E69BC"/>
    <w:rsid w:val="005E6D43"/>
    <w:rsid w:val="005E6DC7"/>
    <w:rsid w:val="005E6DCE"/>
    <w:rsid w:val="005E6EB0"/>
    <w:rsid w:val="005E6FDD"/>
    <w:rsid w:val="005E70A2"/>
    <w:rsid w:val="005E7122"/>
    <w:rsid w:val="005E7563"/>
    <w:rsid w:val="005E7608"/>
    <w:rsid w:val="005E781E"/>
    <w:rsid w:val="005E782C"/>
    <w:rsid w:val="005E792D"/>
    <w:rsid w:val="005E793A"/>
    <w:rsid w:val="005E7AAB"/>
    <w:rsid w:val="005E7B1E"/>
    <w:rsid w:val="005E7DC1"/>
    <w:rsid w:val="005E7DC8"/>
    <w:rsid w:val="005E7E35"/>
    <w:rsid w:val="005E7EAE"/>
    <w:rsid w:val="005F03C5"/>
    <w:rsid w:val="005F05F3"/>
    <w:rsid w:val="005F06B9"/>
    <w:rsid w:val="005F0770"/>
    <w:rsid w:val="005F0869"/>
    <w:rsid w:val="005F0895"/>
    <w:rsid w:val="005F098C"/>
    <w:rsid w:val="005F09C3"/>
    <w:rsid w:val="005F09CA"/>
    <w:rsid w:val="005F0C38"/>
    <w:rsid w:val="005F0E13"/>
    <w:rsid w:val="005F0E6D"/>
    <w:rsid w:val="005F116F"/>
    <w:rsid w:val="005F1210"/>
    <w:rsid w:val="005F14CE"/>
    <w:rsid w:val="005F1549"/>
    <w:rsid w:val="005F1555"/>
    <w:rsid w:val="005F15C2"/>
    <w:rsid w:val="005F181E"/>
    <w:rsid w:val="005F1978"/>
    <w:rsid w:val="005F1A01"/>
    <w:rsid w:val="005F2414"/>
    <w:rsid w:val="005F25BE"/>
    <w:rsid w:val="005F25E3"/>
    <w:rsid w:val="005F26D5"/>
    <w:rsid w:val="005F27D7"/>
    <w:rsid w:val="005F28A9"/>
    <w:rsid w:val="005F2BD9"/>
    <w:rsid w:val="005F2CE8"/>
    <w:rsid w:val="005F2D98"/>
    <w:rsid w:val="005F2E8A"/>
    <w:rsid w:val="005F2F5F"/>
    <w:rsid w:val="005F300E"/>
    <w:rsid w:val="005F3265"/>
    <w:rsid w:val="005F3383"/>
    <w:rsid w:val="005F338C"/>
    <w:rsid w:val="005F3461"/>
    <w:rsid w:val="005F34B4"/>
    <w:rsid w:val="005F355E"/>
    <w:rsid w:val="005F362F"/>
    <w:rsid w:val="005F3662"/>
    <w:rsid w:val="005F37D5"/>
    <w:rsid w:val="005F388B"/>
    <w:rsid w:val="005F3991"/>
    <w:rsid w:val="005F3B65"/>
    <w:rsid w:val="005F3B7D"/>
    <w:rsid w:val="005F3B9F"/>
    <w:rsid w:val="005F3C2F"/>
    <w:rsid w:val="005F3D05"/>
    <w:rsid w:val="005F3E00"/>
    <w:rsid w:val="005F3F23"/>
    <w:rsid w:val="005F4008"/>
    <w:rsid w:val="005F4071"/>
    <w:rsid w:val="005F42E1"/>
    <w:rsid w:val="005F4361"/>
    <w:rsid w:val="005F4368"/>
    <w:rsid w:val="005F4425"/>
    <w:rsid w:val="005F4758"/>
    <w:rsid w:val="005F47BB"/>
    <w:rsid w:val="005F4C9E"/>
    <w:rsid w:val="005F4FDE"/>
    <w:rsid w:val="005F5014"/>
    <w:rsid w:val="005F50A6"/>
    <w:rsid w:val="005F5168"/>
    <w:rsid w:val="005F51C0"/>
    <w:rsid w:val="005F51C8"/>
    <w:rsid w:val="005F52BF"/>
    <w:rsid w:val="005F561F"/>
    <w:rsid w:val="005F5697"/>
    <w:rsid w:val="005F5768"/>
    <w:rsid w:val="005F5A13"/>
    <w:rsid w:val="005F5B3C"/>
    <w:rsid w:val="005F5B4F"/>
    <w:rsid w:val="005F5C71"/>
    <w:rsid w:val="005F5CE5"/>
    <w:rsid w:val="005F5D68"/>
    <w:rsid w:val="005F5D8C"/>
    <w:rsid w:val="005F64D6"/>
    <w:rsid w:val="005F6636"/>
    <w:rsid w:val="005F6A3F"/>
    <w:rsid w:val="005F6A44"/>
    <w:rsid w:val="005F6B9A"/>
    <w:rsid w:val="005F6BDC"/>
    <w:rsid w:val="005F6CF0"/>
    <w:rsid w:val="005F6EA0"/>
    <w:rsid w:val="005F6EB1"/>
    <w:rsid w:val="005F6F08"/>
    <w:rsid w:val="005F7025"/>
    <w:rsid w:val="005F71D4"/>
    <w:rsid w:val="005F7227"/>
    <w:rsid w:val="005F726F"/>
    <w:rsid w:val="005F72F2"/>
    <w:rsid w:val="005F735D"/>
    <w:rsid w:val="005F73CC"/>
    <w:rsid w:val="005F7575"/>
    <w:rsid w:val="005F76A6"/>
    <w:rsid w:val="005F78E6"/>
    <w:rsid w:val="005F791D"/>
    <w:rsid w:val="005F7A36"/>
    <w:rsid w:val="005F7BFC"/>
    <w:rsid w:val="005F7CF7"/>
    <w:rsid w:val="005F7E3B"/>
    <w:rsid w:val="005F7E83"/>
    <w:rsid w:val="005F7F4B"/>
    <w:rsid w:val="00600019"/>
    <w:rsid w:val="0060007A"/>
    <w:rsid w:val="006001AF"/>
    <w:rsid w:val="006001FF"/>
    <w:rsid w:val="00600524"/>
    <w:rsid w:val="0060052E"/>
    <w:rsid w:val="00600701"/>
    <w:rsid w:val="00600732"/>
    <w:rsid w:val="0060079A"/>
    <w:rsid w:val="00600957"/>
    <w:rsid w:val="00600A83"/>
    <w:rsid w:val="00600B96"/>
    <w:rsid w:val="00600CF8"/>
    <w:rsid w:val="00600EEE"/>
    <w:rsid w:val="00600F49"/>
    <w:rsid w:val="00600F7F"/>
    <w:rsid w:val="00600FC5"/>
    <w:rsid w:val="00601470"/>
    <w:rsid w:val="0060148C"/>
    <w:rsid w:val="006014C5"/>
    <w:rsid w:val="00601506"/>
    <w:rsid w:val="00601575"/>
    <w:rsid w:val="00601678"/>
    <w:rsid w:val="00601959"/>
    <w:rsid w:val="00601976"/>
    <w:rsid w:val="00601B0C"/>
    <w:rsid w:val="00601D13"/>
    <w:rsid w:val="00601D86"/>
    <w:rsid w:val="00601FFD"/>
    <w:rsid w:val="00602152"/>
    <w:rsid w:val="006022F1"/>
    <w:rsid w:val="00602397"/>
    <w:rsid w:val="00602486"/>
    <w:rsid w:val="006025AB"/>
    <w:rsid w:val="00602888"/>
    <w:rsid w:val="00602926"/>
    <w:rsid w:val="00602A32"/>
    <w:rsid w:val="00602A80"/>
    <w:rsid w:val="00602A85"/>
    <w:rsid w:val="00602AF0"/>
    <w:rsid w:val="00602B91"/>
    <w:rsid w:val="00602C1E"/>
    <w:rsid w:val="00602C89"/>
    <w:rsid w:val="00602D24"/>
    <w:rsid w:val="00602F83"/>
    <w:rsid w:val="0060307D"/>
    <w:rsid w:val="006031F9"/>
    <w:rsid w:val="0060326A"/>
    <w:rsid w:val="00603286"/>
    <w:rsid w:val="00603316"/>
    <w:rsid w:val="006035CC"/>
    <w:rsid w:val="006035CE"/>
    <w:rsid w:val="006035E0"/>
    <w:rsid w:val="006036F8"/>
    <w:rsid w:val="006038B0"/>
    <w:rsid w:val="00603BA1"/>
    <w:rsid w:val="00603F0B"/>
    <w:rsid w:val="0060401F"/>
    <w:rsid w:val="006040F1"/>
    <w:rsid w:val="006044A4"/>
    <w:rsid w:val="006044A7"/>
    <w:rsid w:val="006044D6"/>
    <w:rsid w:val="006046A6"/>
    <w:rsid w:val="00604829"/>
    <w:rsid w:val="006048B4"/>
    <w:rsid w:val="006048E8"/>
    <w:rsid w:val="00604961"/>
    <w:rsid w:val="00604A2C"/>
    <w:rsid w:val="00604D5D"/>
    <w:rsid w:val="00604D7A"/>
    <w:rsid w:val="00604F81"/>
    <w:rsid w:val="0060527E"/>
    <w:rsid w:val="0060540B"/>
    <w:rsid w:val="0060547B"/>
    <w:rsid w:val="006056BE"/>
    <w:rsid w:val="006056EA"/>
    <w:rsid w:val="006058AF"/>
    <w:rsid w:val="006058DB"/>
    <w:rsid w:val="006059E6"/>
    <w:rsid w:val="00605A7E"/>
    <w:rsid w:val="00605C13"/>
    <w:rsid w:val="00605C82"/>
    <w:rsid w:val="00605EEE"/>
    <w:rsid w:val="00605F80"/>
    <w:rsid w:val="00606037"/>
    <w:rsid w:val="00606140"/>
    <w:rsid w:val="00606159"/>
    <w:rsid w:val="0060615B"/>
    <w:rsid w:val="0060617F"/>
    <w:rsid w:val="00606312"/>
    <w:rsid w:val="00606605"/>
    <w:rsid w:val="00606717"/>
    <w:rsid w:val="0060693B"/>
    <w:rsid w:val="006069EB"/>
    <w:rsid w:val="006069FF"/>
    <w:rsid w:val="00606ACA"/>
    <w:rsid w:val="00606B09"/>
    <w:rsid w:val="00606CA8"/>
    <w:rsid w:val="00606DF2"/>
    <w:rsid w:val="00606EBF"/>
    <w:rsid w:val="006070B1"/>
    <w:rsid w:val="00607139"/>
    <w:rsid w:val="0060753D"/>
    <w:rsid w:val="00607708"/>
    <w:rsid w:val="00607724"/>
    <w:rsid w:val="00607755"/>
    <w:rsid w:val="006078B0"/>
    <w:rsid w:val="006078B4"/>
    <w:rsid w:val="00607A73"/>
    <w:rsid w:val="00607FE3"/>
    <w:rsid w:val="0061008A"/>
    <w:rsid w:val="00610161"/>
    <w:rsid w:val="00610316"/>
    <w:rsid w:val="006103D0"/>
    <w:rsid w:val="006104E4"/>
    <w:rsid w:val="00610707"/>
    <w:rsid w:val="00610884"/>
    <w:rsid w:val="0061096C"/>
    <w:rsid w:val="00610989"/>
    <w:rsid w:val="006109A4"/>
    <w:rsid w:val="00610A63"/>
    <w:rsid w:val="00610D2B"/>
    <w:rsid w:val="00610E45"/>
    <w:rsid w:val="00610E6D"/>
    <w:rsid w:val="00610ED7"/>
    <w:rsid w:val="00610FDB"/>
    <w:rsid w:val="006110CC"/>
    <w:rsid w:val="006112A2"/>
    <w:rsid w:val="00611644"/>
    <w:rsid w:val="0061168B"/>
    <w:rsid w:val="00611698"/>
    <w:rsid w:val="006116AD"/>
    <w:rsid w:val="006116E8"/>
    <w:rsid w:val="00611811"/>
    <w:rsid w:val="00611860"/>
    <w:rsid w:val="006118E3"/>
    <w:rsid w:val="00611953"/>
    <w:rsid w:val="006119E4"/>
    <w:rsid w:val="006119EA"/>
    <w:rsid w:val="00611F33"/>
    <w:rsid w:val="006126B2"/>
    <w:rsid w:val="00612727"/>
    <w:rsid w:val="006129BF"/>
    <w:rsid w:val="00612A37"/>
    <w:rsid w:val="00612AA1"/>
    <w:rsid w:val="00612C7C"/>
    <w:rsid w:val="00612C89"/>
    <w:rsid w:val="00612DA4"/>
    <w:rsid w:val="00612E03"/>
    <w:rsid w:val="006132E6"/>
    <w:rsid w:val="0061364A"/>
    <w:rsid w:val="0061379F"/>
    <w:rsid w:val="00613813"/>
    <w:rsid w:val="0061384A"/>
    <w:rsid w:val="006138BB"/>
    <w:rsid w:val="00613D21"/>
    <w:rsid w:val="00613D2E"/>
    <w:rsid w:val="00613EA8"/>
    <w:rsid w:val="00613EC4"/>
    <w:rsid w:val="00613FFA"/>
    <w:rsid w:val="00614038"/>
    <w:rsid w:val="00614047"/>
    <w:rsid w:val="00614213"/>
    <w:rsid w:val="0061439E"/>
    <w:rsid w:val="006143CE"/>
    <w:rsid w:val="00614511"/>
    <w:rsid w:val="006148D7"/>
    <w:rsid w:val="006148D8"/>
    <w:rsid w:val="00614AB1"/>
    <w:rsid w:val="00614B9E"/>
    <w:rsid w:val="00614D62"/>
    <w:rsid w:val="00614E4A"/>
    <w:rsid w:val="00615180"/>
    <w:rsid w:val="00615520"/>
    <w:rsid w:val="00615797"/>
    <w:rsid w:val="006157DA"/>
    <w:rsid w:val="0061586F"/>
    <w:rsid w:val="00615957"/>
    <w:rsid w:val="00615A56"/>
    <w:rsid w:val="00615B1E"/>
    <w:rsid w:val="00615B7E"/>
    <w:rsid w:val="00615D78"/>
    <w:rsid w:val="00615DD8"/>
    <w:rsid w:val="00615DE1"/>
    <w:rsid w:val="00615E31"/>
    <w:rsid w:val="00615EAB"/>
    <w:rsid w:val="00615F3A"/>
    <w:rsid w:val="0061609A"/>
    <w:rsid w:val="00616402"/>
    <w:rsid w:val="0061643C"/>
    <w:rsid w:val="0061662E"/>
    <w:rsid w:val="0061696E"/>
    <w:rsid w:val="00616A86"/>
    <w:rsid w:val="00616A8F"/>
    <w:rsid w:val="00616B7A"/>
    <w:rsid w:val="00616BC2"/>
    <w:rsid w:val="00616C1E"/>
    <w:rsid w:val="00616C84"/>
    <w:rsid w:val="00616E07"/>
    <w:rsid w:val="00616EA7"/>
    <w:rsid w:val="00616F61"/>
    <w:rsid w:val="00616F81"/>
    <w:rsid w:val="006170C9"/>
    <w:rsid w:val="006172C6"/>
    <w:rsid w:val="006173BA"/>
    <w:rsid w:val="0061770F"/>
    <w:rsid w:val="0061771D"/>
    <w:rsid w:val="006177E0"/>
    <w:rsid w:val="00617A09"/>
    <w:rsid w:val="00617AA0"/>
    <w:rsid w:val="00617BB3"/>
    <w:rsid w:val="00617C0C"/>
    <w:rsid w:val="00617CA6"/>
    <w:rsid w:val="00617E25"/>
    <w:rsid w:val="00617E36"/>
    <w:rsid w:val="00617EF2"/>
    <w:rsid w:val="00617F69"/>
    <w:rsid w:val="0062016E"/>
    <w:rsid w:val="0062017E"/>
    <w:rsid w:val="0062029B"/>
    <w:rsid w:val="00620600"/>
    <w:rsid w:val="0062064A"/>
    <w:rsid w:val="00620650"/>
    <w:rsid w:val="006206D4"/>
    <w:rsid w:val="006207F2"/>
    <w:rsid w:val="00620AB8"/>
    <w:rsid w:val="00620BB5"/>
    <w:rsid w:val="00620DC9"/>
    <w:rsid w:val="00620DDD"/>
    <w:rsid w:val="00620E0F"/>
    <w:rsid w:val="00620FA3"/>
    <w:rsid w:val="0062114E"/>
    <w:rsid w:val="006212AB"/>
    <w:rsid w:val="0062139B"/>
    <w:rsid w:val="00621584"/>
    <w:rsid w:val="00621799"/>
    <w:rsid w:val="00621B41"/>
    <w:rsid w:val="00621B50"/>
    <w:rsid w:val="00621BE3"/>
    <w:rsid w:val="00621CB3"/>
    <w:rsid w:val="00621EB2"/>
    <w:rsid w:val="00621EC7"/>
    <w:rsid w:val="00622257"/>
    <w:rsid w:val="006223A6"/>
    <w:rsid w:val="0062241F"/>
    <w:rsid w:val="006224EB"/>
    <w:rsid w:val="006225B5"/>
    <w:rsid w:val="0062266B"/>
    <w:rsid w:val="00622880"/>
    <w:rsid w:val="006228A7"/>
    <w:rsid w:val="00622927"/>
    <w:rsid w:val="00622B2F"/>
    <w:rsid w:val="00622B90"/>
    <w:rsid w:val="00622DC9"/>
    <w:rsid w:val="00622E59"/>
    <w:rsid w:val="00622E61"/>
    <w:rsid w:val="0062306E"/>
    <w:rsid w:val="0062314D"/>
    <w:rsid w:val="00623505"/>
    <w:rsid w:val="0062362E"/>
    <w:rsid w:val="00623719"/>
    <w:rsid w:val="0062375A"/>
    <w:rsid w:val="00623822"/>
    <w:rsid w:val="00623DEA"/>
    <w:rsid w:val="00623ED4"/>
    <w:rsid w:val="00624118"/>
    <w:rsid w:val="0062474A"/>
    <w:rsid w:val="006247F5"/>
    <w:rsid w:val="0062485B"/>
    <w:rsid w:val="006248E2"/>
    <w:rsid w:val="006248EA"/>
    <w:rsid w:val="00624945"/>
    <w:rsid w:val="0062495D"/>
    <w:rsid w:val="00624D46"/>
    <w:rsid w:val="00624E6A"/>
    <w:rsid w:val="00624EC7"/>
    <w:rsid w:val="00624FE8"/>
    <w:rsid w:val="00625034"/>
    <w:rsid w:val="0062545A"/>
    <w:rsid w:val="00625508"/>
    <w:rsid w:val="00625535"/>
    <w:rsid w:val="006255D1"/>
    <w:rsid w:val="006255FA"/>
    <w:rsid w:val="006256B2"/>
    <w:rsid w:val="0062573F"/>
    <w:rsid w:val="00625766"/>
    <w:rsid w:val="00625805"/>
    <w:rsid w:val="00625828"/>
    <w:rsid w:val="00625A9A"/>
    <w:rsid w:val="00625D45"/>
    <w:rsid w:val="00625E5B"/>
    <w:rsid w:val="00625F47"/>
    <w:rsid w:val="00625FFF"/>
    <w:rsid w:val="006260AA"/>
    <w:rsid w:val="0062623C"/>
    <w:rsid w:val="00626388"/>
    <w:rsid w:val="006264FA"/>
    <w:rsid w:val="00626676"/>
    <w:rsid w:val="00626835"/>
    <w:rsid w:val="00626B3F"/>
    <w:rsid w:val="00626B41"/>
    <w:rsid w:val="00626BA4"/>
    <w:rsid w:val="00626BFE"/>
    <w:rsid w:val="00626D09"/>
    <w:rsid w:val="00626D3A"/>
    <w:rsid w:val="00626F12"/>
    <w:rsid w:val="00626F80"/>
    <w:rsid w:val="00627019"/>
    <w:rsid w:val="00627164"/>
    <w:rsid w:val="006272B5"/>
    <w:rsid w:val="006273D9"/>
    <w:rsid w:val="00627422"/>
    <w:rsid w:val="006275DB"/>
    <w:rsid w:val="00627807"/>
    <w:rsid w:val="00627D94"/>
    <w:rsid w:val="00627DB1"/>
    <w:rsid w:val="00627E59"/>
    <w:rsid w:val="00627F11"/>
    <w:rsid w:val="00627F75"/>
    <w:rsid w:val="006300C7"/>
    <w:rsid w:val="00630156"/>
    <w:rsid w:val="0063017A"/>
    <w:rsid w:val="0063026C"/>
    <w:rsid w:val="006302CE"/>
    <w:rsid w:val="006302F7"/>
    <w:rsid w:val="00630347"/>
    <w:rsid w:val="006304B3"/>
    <w:rsid w:val="0063050B"/>
    <w:rsid w:val="006305B2"/>
    <w:rsid w:val="0063087B"/>
    <w:rsid w:val="00630A59"/>
    <w:rsid w:val="00630AEA"/>
    <w:rsid w:val="00630BB6"/>
    <w:rsid w:val="00630CEA"/>
    <w:rsid w:val="00630E47"/>
    <w:rsid w:val="00630EAA"/>
    <w:rsid w:val="00630F19"/>
    <w:rsid w:val="006311B2"/>
    <w:rsid w:val="0063153A"/>
    <w:rsid w:val="006317A6"/>
    <w:rsid w:val="00631B0F"/>
    <w:rsid w:val="00631D17"/>
    <w:rsid w:val="00631D7F"/>
    <w:rsid w:val="00632001"/>
    <w:rsid w:val="00632070"/>
    <w:rsid w:val="00632217"/>
    <w:rsid w:val="00632252"/>
    <w:rsid w:val="00632285"/>
    <w:rsid w:val="00632342"/>
    <w:rsid w:val="00632360"/>
    <w:rsid w:val="006328B0"/>
    <w:rsid w:val="00632903"/>
    <w:rsid w:val="0063294C"/>
    <w:rsid w:val="00632B25"/>
    <w:rsid w:val="00633046"/>
    <w:rsid w:val="00633084"/>
    <w:rsid w:val="00633129"/>
    <w:rsid w:val="006331CC"/>
    <w:rsid w:val="00633275"/>
    <w:rsid w:val="00633358"/>
    <w:rsid w:val="006334BA"/>
    <w:rsid w:val="00633553"/>
    <w:rsid w:val="0063391D"/>
    <w:rsid w:val="00633B66"/>
    <w:rsid w:val="00633B89"/>
    <w:rsid w:val="00633DD2"/>
    <w:rsid w:val="00634137"/>
    <w:rsid w:val="0063419E"/>
    <w:rsid w:val="006341B3"/>
    <w:rsid w:val="00634311"/>
    <w:rsid w:val="00634347"/>
    <w:rsid w:val="006343BC"/>
    <w:rsid w:val="006344B1"/>
    <w:rsid w:val="006346CC"/>
    <w:rsid w:val="00634816"/>
    <w:rsid w:val="00634996"/>
    <w:rsid w:val="00634B4E"/>
    <w:rsid w:val="00634C10"/>
    <w:rsid w:val="00634F81"/>
    <w:rsid w:val="00634FCE"/>
    <w:rsid w:val="00635001"/>
    <w:rsid w:val="00635232"/>
    <w:rsid w:val="006353CB"/>
    <w:rsid w:val="00635565"/>
    <w:rsid w:val="006356BB"/>
    <w:rsid w:val="00635802"/>
    <w:rsid w:val="006359B1"/>
    <w:rsid w:val="006359B9"/>
    <w:rsid w:val="00635A65"/>
    <w:rsid w:val="00635BE7"/>
    <w:rsid w:val="00635D0D"/>
    <w:rsid w:val="00635DF5"/>
    <w:rsid w:val="00635E7B"/>
    <w:rsid w:val="00636165"/>
    <w:rsid w:val="006361EA"/>
    <w:rsid w:val="00636291"/>
    <w:rsid w:val="0063632F"/>
    <w:rsid w:val="00636441"/>
    <w:rsid w:val="0063647E"/>
    <w:rsid w:val="0063653C"/>
    <w:rsid w:val="006365DD"/>
    <w:rsid w:val="006366DA"/>
    <w:rsid w:val="0063679C"/>
    <w:rsid w:val="00636907"/>
    <w:rsid w:val="00636A81"/>
    <w:rsid w:val="00636B2E"/>
    <w:rsid w:val="00636BB3"/>
    <w:rsid w:val="00636CA6"/>
    <w:rsid w:val="00636D55"/>
    <w:rsid w:val="00636D99"/>
    <w:rsid w:val="00636DF0"/>
    <w:rsid w:val="00636E3D"/>
    <w:rsid w:val="00636E74"/>
    <w:rsid w:val="00636E7D"/>
    <w:rsid w:val="006370CD"/>
    <w:rsid w:val="0063711C"/>
    <w:rsid w:val="0063727F"/>
    <w:rsid w:val="00637689"/>
    <w:rsid w:val="006376F6"/>
    <w:rsid w:val="0063783C"/>
    <w:rsid w:val="00637848"/>
    <w:rsid w:val="00637B88"/>
    <w:rsid w:val="00637E00"/>
    <w:rsid w:val="006400AB"/>
    <w:rsid w:val="006400EF"/>
    <w:rsid w:val="006402FE"/>
    <w:rsid w:val="00640364"/>
    <w:rsid w:val="00640419"/>
    <w:rsid w:val="006406F5"/>
    <w:rsid w:val="0064085A"/>
    <w:rsid w:val="00640A11"/>
    <w:rsid w:val="00640B44"/>
    <w:rsid w:val="00640C02"/>
    <w:rsid w:val="00640C3E"/>
    <w:rsid w:val="00640DF3"/>
    <w:rsid w:val="00640DFD"/>
    <w:rsid w:val="00640F05"/>
    <w:rsid w:val="00641020"/>
    <w:rsid w:val="0064118E"/>
    <w:rsid w:val="006411A3"/>
    <w:rsid w:val="00641246"/>
    <w:rsid w:val="00641274"/>
    <w:rsid w:val="006412AB"/>
    <w:rsid w:val="0064132F"/>
    <w:rsid w:val="0064136D"/>
    <w:rsid w:val="0064151F"/>
    <w:rsid w:val="00641622"/>
    <w:rsid w:val="00641AD6"/>
    <w:rsid w:val="00641B77"/>
    <w:rsid w:val="00641E1F"/>
    <w:rsid w:val="00641EA2"/>
    <w:rsid w:val="00641F9B"/>
    <w:rsid w:val="0064209D"/>
    <w:rsid w:val="00642128"/>
    <w:rsid w:val="0064217D"/>
    <w:rsid w:val="00642532"/>
    <w:rsid w:val="0064256B"/>
    <w:rsid w:val="00642985"/>
    <w:rsid w:val="00642B5E"/>
    <w:rsid w:val="00642EDE"/>
    <w:rsid w:val="00642FDA"/>
    <w:rsid w:val="0064305B"/>
    <w:rsid w:val="0064337C"/>
    <w:rsid w:val="00643558"/>
    <w:rsid w:val="0064373F"/>
    <w:rsid w:val="006437B0"/>
    <w:rsid w:val="0064381B"/>
    <w:rsid w:val="00643A3C"/>
    <w:rsid w:val="00643C08"/>
    <w:rsid w:val="00643C19"/>
    <w:rsid w:val="00643DC1"/>
    <w:rsid w:val="00643ED4"/>
    <w:rsid w:val="0064465B"/>
    <w:rsid w:val="006447A2"/>
    <w:rsid w:val="00644ADD"/>
    <w:rsid w:val="00644DB3"/>
    <w:rsid w:val="0064500A"/>
    <w:rsid w:val="0064519C"/>
    <w:rsid w:val="0064522E"/>
    <w:rsid w:val="006452E0"/>
    <w:rsid w:val="006455F8"/>
    <w:rsid w:val="0064576D"/>
    <w:rsid w:val="006457F5"/>
    <w:rsid w:val="00645BC1"/>
    <w:rsid w:val="00645CF8"/>
    <w:rsid w:val="00645D56"/>
    <w:rsid w:val="00645DCA"/>
    <w:rsid w:val="00645EC2"/>
    <w:rsid w:val="00645F54"/>
    <w:rsid w:val="00645F8E"/>
    <w:rsid w:val="0064603F"/>
    <w:rsid w:val="006464B2"/>
    <w:rsid w:val="0064656F"/>
    <w:rsid w:val="00646727"/>
    <w:rsid w:val="00646768"/>
    <w:rsid w:val="006468BC"/>
    <w:rsid w:val="00646929"/>
    <w:rsid w:val="00646A79"/>
    <w:rsid w:val="00646A98"/>
    <w:rsid w:val="00646C8F"/>
    <w:rsid w:val="00646CA3"/>
    <w:rsid w:val="00646D4C"/>
    <w:rsid w:val="00646D5C"/>
    <w:rsid w:val="00646D8F"/>
    <w:rsid w:val="00646DBD"/>
    <w:rsid w:val="00646DE8"/>
    <w:rsid w:val="00646EDA"/>
    <w:rsid w:val="00646FF3"/>
    <w:rsid w:val="00647130"/>
    <w:rsid w:val="0064718E"/>
    <w:rsid w:val="0064738A"/>
    <w:rsid w:val="0064745C"/>
    <w:rsid w:val="00647554"/>
    <w:rsid w:val="006475A1"/>
    <w:rsid w:val="006475D7"/>
    <w:rsid w:val="00647667"/>
    <w:rsid w:val="0064788F"/>
    <w:rsid w:val="00647C11"/>
    <w:rsid w:val="00647C8F"/>
    <w:rsid w:val="00647CE9"/>
    <w:rsid w:val="00647E30"/>
    <w:rsid w:val="0065041B"/>
    <w:rsid w:val="006505C2"/>
    <w:rsid w:val="006505C9"/>
    <w:rsid w:val="00650878"/>
    <w:rsid w:val="00650FFC"/>
    <w:rsid w:val="006510B6"/>
    <w:rsid w:val="00651116"/>
    <w:rsid w:val="0065114A"/>
    <w:rsid w:val="006513E9"/>
    <w:rsid w:val="006514CB"/>
    <w:rsid w:val="00651521"/>
    <w:rsid w:val="00651578"/>
    <w:rsid w:val="00651662"/>
    <w:rsid w:val="00651827"/>
    <w:rsid w:val="00651899"/>
    <w:rsid w:val="006518DB"/>
    <w:rsid w:val="0065199D"/>
    <w:rsid w:val="00651A21"/>
    <w:rsid w:val="00651B23"/>
    <w:rsid w:val="00651BEE"/>
    <w:rsid w:val="00651E9B"/>
    <w:rsid w:val="00651ED5"/>
    <w:rsid w:val="00651FA2"/>
    <w:rsid w:val="00652183"/>
    <w:rsid w:val="006524D8"/>
    <w:rsid w:val="0065252E"/>
    <w:rsid w:val="0065285E"/>
    <w:rsid w:val="00652A21"/>
    <w:rsid w:val="00652A62"/>
    <w:rsid w:val="00652B2A"/>
    <w:rsid w:val="00652B6B"/>
    <w:rsid w:val="00652DF4"/>
    <w:rsid w:val="00652F34"/>
    <w:rsid w:val="006531B3"/>
    <w:rsid w:val="0065346E"/>
    <w:rsid w:val="0065348C"/>
    <w:rsid w:val="0065351D"/>
    <w:rsid w:val="0065374A"/>
    <w:rsid w:val="00653785"/>
    <w:rsid w:val="006537B0"/>
    <w:rsid w:val="006538A1"/>
    <w:rsid w:val="00653950"/>
    <w:rsid w:val="00653A3B"/>
    <w:rsid w:val="00653AD6"/>
    <w:rsid w:val="00653B16"/>
    <w:rsid w:val="00653B1E"/>
    <w:rsid w:val="00653B7F"/>
    <w:rsid w:val="00653BA0"/>
    <w:rsid w:val="00653D48"/>
    <w:rsid w:val="00653D64"/>
    <w:rsid w:val="00653DDE"/>
    <w:rsid w:val="0065401C"/>
    <w:rsid w:val="00654070"/>
    <w:rsid w:val="00654071"/>
    <w:rsid w:val="006541C7"/>
    <w:rsid w:val="0065420E"/>
    <w:rsid w:val="0065434A"/>
    <w:rsid w:val="00654426"/>
    <w:rsid w:val="00654632"/>
    <w:rsid w:val="006546B6"/>
    <w:rsid w:val="0065474E"/>
    <w:rsid w:val="0065486B"/>
    <w:rsid w:val="00654873"/>
    <w:rsid w:val="00654AC2"/>
    <w:rsid w:val="00654BF4"/>
    <w:rsid w:val="00654C09"/>
    <w:rsid w:val="00654EC2"/>
    <w:rsid w:val="00655137"/>
    <w:rsid w:val="00655174"/>
    <w:rsid w:val="006551C9"/>
    <w:rsid w:val="0065541E"/>
    <w:rsid w:val="0065559D"/>
    <w:rsid w:val="0065563E"/>
    <w:rsid w:val="0065569B"/>
    <w:rsid w:val="00655721"/>
    <w:rsid w:val="00655A26"/>
    <w:rsid w:val="00655CD9"/>
    <w:rsid w:val="00655DCE"/>
    <w:rsid w:val="00655E63"/>
    <w:rsid w:val="00655F54"/>
    <w:rsid w:val="00656150"/>
    <w:rsid w:val="0065621C"/>
    <w:rsid w:val="00656276"/>
    <w:rsid w:val="006562DE"/>
    <w:rsid w:val="00656659"/>
    <w:rsid w:val="00656A0F"/>
    <w:rsid w:val="00656A9A"/>
    <w:rsid w:val="00656DB5"/>
    <w:rsid w:val="00656E61"/>
    <w:rsid w:val="00656E6B"/>
    <w:rsid w:val="00656F08"/>
    <w:rsid w:val="00656F25"/>
    <w:rsid w:val="006572AC"/>
    <w:rsid w:val="00657440"/>
    <w:rsid w:val="006574FE"/>
    <w:rsid w:val="006575BB"/>
    <w:rsid w:val="00657710"/>
    <w:rsid w:val="0065774B"/>
    <w:rsid w:val="006577C5"/>
    <w:rsid w:val="0065782C"/>
    <w:rsid w:val="00657EA7"/>
    <w:rsid w:val="00657F6F"/>
    <w:rsid w:val="00660027"/>
    <w:rsid w:val="006600E7"/>
    <w:rsid w:val="0066017E"/>
    <w:rsid w:val="006601B4"/>
    <w:rsid w:val="006601F9"/>
    <w:rsid w:val="006602CF"/>
    <w:rsid w:val="006604F8"/>
    <w:rsid w:val="006607AA"/>
    <w:rsid w:val="00660875"/>
    <w:rsid w:val="0066097B"/>
    <w:rsid w:val="00660B37"/>
    <w:rsid w:val="00660C7A"/>
    <w:rsid w:val="00660CE9"/>
    <w:rsid w:val="00660D22"/>
    <w:rsid w:val="00660E15"/>
    <w:rsid w:val="00660EFF"/>
    <w:rsid w:val="00661076"/>
    <w:rsid w:val="006610C2"/>
    <w:rsid w:val="0066115F"/>
    <w:rsid w:val="006611ED"/>
    <w:rsid w:val="00661346"/>
    <w:rsid w:val="00661423"/>
    <w:rsid w:val="00661431"/>
    <w:rsid w:val="0066167E"/>
    <w:rsid w:val="006617A2"/>
    <w:rsid w:val="006619AF"/>
    <w:rsid w:val="00661BB6"/>
    <w:rsid w:val="00661C29"/>
    <w:rsid w:val="00661D2E"/>
    <w:rsid w:val="00661E1C"/>
    <w:rsid w:val="00661F6F"/>
    <w:rsid w:val="00661FFD"/>
    <w:rsid w:val="0066207F"/>
    <w:rsid w:val="0066215A"/>
    <w:rsid w:val="00662185"/>
    <w:rsid w:val="00662309"/>
    <w:rsid w:val="0066235E"/>
    <w:rsid w:val="00662380"/>
    <w:rsid w:val="0066251A"/>
    <w:rsid w:val="0066264F"/>
    <w:rsid w:val="006626B1"/>
    <w:rsid w:val="00662704"/>
    <w:rsid w:val="0066299C"/>
    <w:rsid w:val="00662B75"/>
    <w:rsid w:val="006630D0"/>
    <w:rsid w:val="00663479"/>
    <w:rsid w:val="006636BA"/>
    <w:rsid w:val="00663748"/>
    <w:rsid w:val="0066381D"/>
    <w:rsid w:val="00663857"/>
    <w:rsid w:val="006638E3"/>
    <w:rsid w:val="00663948"/>
    <w:rsid w:val="00663C8C"/>
    <w:rsid w:val="00663D9C"/>
    <w:rsid w:val="00663E03"/>
    <w:rsid w:val="00663FD1"/>
    <w:rsid w:val="00664037"/>
    <w:rsid w:val="00664066"/>
    <w:rsid w:val="00664190"/>
    <w:rsid w:val="006641FE"/>
    <w:rsid w:val="0066437A"/>
    <w:rsid w:val="0066453B"/>
    <w:rsid w:val="00664549"/>
    <w:rsid w:val="006647D3"/>
    <w:rsid w:val="00664950"/>
    <w:rsid w:val="00664979"/>
    <w:rsid w:val="00664D3F"/>
    <w:rsid w:val="00664DF0"/>
    <w:rsid w:val="00664EF9"/>
    <w:rsid w:val="00664F8C"/>
    <w:rsid w:val="0066515E"/>
    <w:rsid w:val="00665174"/>
    <w:rsid w:val="006652D9"/>
    <w:rsid w:val="00665534"/>
    <w:rsid w:val="00665597"/>
    <w:rsid w:val="00665812"/>
    <w:rsid w:val="00665872"/>
    <w:rsid w:val="006658AC"/>
    <w:rsid w:val="00665A67"/>
    <w:rsid w:val="00665E5F"/>
    <w:rsid w:val="00665F91"/>
    <w:rsid w:val="00665FAD"/>
    <w:rsid w:val="00665FC0"/>
    <w:rsid w:val="00665FEC"/>
    <w:rsid w:val="00666145"/>
    <w:rsid w:val="006661C7"/>
    <w:rsid w:val="0066621B"/>
    <w:rsid w:val="00666263"/>
    <w:rsid w:val="00666373"/>
    <w:rsid w:val="0066645A"/>
    <w:rsid w:val="006664E1"/>
    <w:rsid w:val="006666BE"/>
    <w:rsid w:val="0066676E"/>
    <w:rsid w:val="0066687B"/>
    <w:rsid w:val="006668A7"/>
    <w:rsid w:val="00666903"/>
    <w:rsid w:val="00666B64"/>
    <w:rsid w:val="00666B71"/>
    <w:rsid w:val="00666C2F"/>
    <w:rsid w:val="00666E19"/>
    <w:rsid w:val="00666E57"/>
    <w:rsid w:val="00666EB6"/>
    <w:rsid w:val="00667116"/>
    <w:rsid w:val="0066758B"/>
    <w:rsid w:val="0066762C"/>
    <w:rsid w:val="00667701"/>
    <w:rsid w:val="0066780E"/>
    <w:rsid w:val="00667D76"/>
    <w:rsid w:val="00667FD4"/>
    <w:rsid w:val="00667FFC"/>
    <w:rsid w:val="00670055"/>
    <w:rsid w:val="0067015C"/>
    <w:rsid w:val="00670179"/>
    <w:rsid w:val="006702F1"/>
    <w:rsid w:val="006703DA"/>
    <w:rsid w:val="006704BA"/>
    <w:rsid w:val="0067050E"/>
    <w:rsid w:val="006705F7"/>
    <w:rsid w:val="00670631"/>
    <w:rsid w:val="0067072F"/>
    <w:rsid w:val="006707E1"/>
    <w:rsid w:val="00670AB1"/>
    <w:rsid w:val="00670B95"/>
    <w:rsid w:val="00670BDC"/>
    <w:rsid w:val="00670C3A"/>
    <w:rsid w:val="00670EB1"/>
    <w:rsid w:val="006710AE"/>
    <w:rsid w:val="0067122C"/>
    <w:rsid w:val="0067123D"/>
    <w:rsid w:val="00671518"/>
    <w:rsid w:val="006715EB"/>
    <w:rsid w:val="00671659"/>
    <w:rsid w:val="00671720"/>
    <w:rsid w:val="0067178B"/>
    <w:rsid w:val="00671916"/>
    <w:rsid w:val="006719A4"/>
    <w:rsid w:val="006719E3"/>
    <w:rsid w:val="00671A86"/>
    <w:rsid w:val="00671C33"/>
    <w:rsid w:val="00671CF4"/>
    <w:rsid w:val="0067206D"/>
    <w:rsid w:val="0067211A"/>
    <w:rsid w:val="00672457"/>
    <w:rsid w:val="0067245F"/>
    <w:rsid w:val="0067251D"/>
    <w:rsid w:val="00672593"/>
    <w:rsid w:val="006725EE"/>
    <w:rsid w:val="0067274F"/>
    <w:rsid w:val="00672D85"/>
    <w:rsid w:val="00672F65"/>
    <w:rsid w:val="00672FB0"/>
    <w:rsid w:val="006730A7"/>
    <w:rsid w:val="006731D4"/>
    <w:rsid w:val="006732EA"/>
    <w:rsid w:val="006733B1"/>
    <w:rsid w:val="006733E4"/>
    <w:rsid w:val="006736B3"/>
    <w:rsid w:val="0067373E"/>
    <w:rsid w:val="00673768"/>
    <w:rsid w:val="00673789"/>
    <w:rsid w:val="0067382C"/>
    <w:rsid w:val="006738F7"/>
    <w:rsid w:val="00673930"/>
    <w:rsid w:val="00673974"/>
    <w:rsid w:val="00673A08"/>
    <w:rsid w:val="00673BB1"/>
    <w:rsid w:val="00673BEC"/>
    <w:rsid w:val="00673CDA"/>
    <w:rsid w:val="00674026"/>
    <w:rsid w:val="00674133"/>
    <w:rsid w:val="0067418B"/>
    <w:rsid w:val="006743B3"/>
    <w:rsid w:val="00674421"/>
    <w:rsid w:val="00674537"/>
    <w:rsid w:val="006745EE"/>
    <w:rsid w:val="0067463E"/>
    <w:rsid w:val="006746A9"/>
    <w:rsid w:val="00674ABF"/>
    <w:rsid w:val="00674BA5"/>
    <w:rsid w:val="00674C1C"/>
    <w:rsid w:val="00674D11"/>
    <w:rsid w:val="00674D2A"/>
    <w:rsid w:val="00674D3C"/>
    <w:rsid w:val="00674F91"/>
    <w:rsid w:val="0067505E"/>
    <w:rsid w:val="0067515F"/>
    <w:rsid w:val="00675184"/>
    <w:rsid w:val="00675213"/>
    <w:rsid w:val="0067528F"/>
    <w:rsid w:val="00675415"/>
    <w:rsid w:val="00675537"/>
    <w:rsid w:val="006756D6"/>
    <w:rsid w:val="0067572D"/>
    <w:rsid w:val="0067578B"/>
    <w:rsid w:val="006757C4"/>
    <w:rsid w:val="00675894"/>
    <w:rsid w:val="00675911"/>
    <w:rsid w:val="00675B7E"/>
    <w:rsid w:val="00675BB1"/>
    <w:rsid w:val="00675D7C"/>
    <w:rsid w:val="00675E44"/>
    <w:rsid w:val="00675F78"/>
    <w:rsid w:val="00675FA1"/>
    <w:rsid w:val="0067611E"/>
    <w:rsid w:val="006762A3"/>
    <w:rsid w:val="00676339"/>
    <w:rsid w:val="00676456"/>
    <w:rsid w:val="00676591"/>
    <w:rsid w:val="00676788"/>
    <w:rsid w:val="006767DC"/>
    <w:rsid w:val="006768CF"/>
    <w:rsid w:val="00676BD6"/>
    <w:rsid w:val="00676C32"/>
    <w:rsid w:val="00676C33"/>
    <w:rsid w:val="00676C4F"/>
    <w:rsid w:val="00676C89"/>
    <w:rsid w:val="00676E66"/>
    <w:rsid w:val="00676FD8"/>
    <w:rsid w:val="00677134"/>
    <w:rsid w:val="0067722A"/>
    <w:rsid w:val="006774AE"/>
    <w:rsid w:val="00677627"/>
    <w:rsid w:val="006776DF"/>
    <w:rsid w:val="006776E1"/>
    <w:rsid w:val="00677758"/>
    <w:rsid w:val="0067784A"/>
    <w:rsid w:val="00677885"/>
    <w:rsid w:val="0067788C"/>
    <w:rsid w:val="006778C2"/>
    <w:rsid w:val="00677922"/>
    <w:rsid w:val="0067793A"/>
    <w:rsid w:val="00677B05"/>
    <w:rsid w:val="00677D59"/>
    <w:rsid w:val="00677D84"/>
    <w:rsid w:val="00677DA1"/>
    <w:rsid w:val="0068011E"/>
    <w:rsid w:val="0068012D"/>
    <w:rsid w:val="006801F4"/>
    <w:rsid w:val="0068024A"/>
    <w:rsid w:val="00680265"/>
    <w:rsid w:val="006802A4"/>
    <w:rsid w:val="0068034A"/>
    <w:rsid w:val="00680470"/>
    <w:rsid w:val="00680606"/>
    <w:rsid w:val="0068064B"/>
    <w:rsid w:val="006806A4"/>
    <w:rsid w:val="0068071A"/>
    <w:rsid w:val="00680755"/>
    <w:rsid w:val="00680955"/>
    <w:rsid w:val="006809B7"/>
    <w:rsid w:val="00680A18"/>
    <w:rsid w:val="00680AAC"/>
    <w:rsid w:val="00681237"/>
    <w:rsid w:val="00681297"/>
    <w:rsid w:val="0068144D"/>
    <w:rsid w:val="0068153E"/>
    <w:rsid w:val="0068157C"/>
    <w:rsid w:val="006815F6"/>
    <w:rsid w:val="006816C2"/>
    <w:rsid w:val="0068188B"/>
    <w:rsid w:val="006818DA"/>
    <w:rsid w:val="00681905"/>
    <w:rsid w:val="00681B27"/>
    <w:rsid w:val="00681BCA"/>
    <w:rsid w:val="00681CA4"/>
    <w:rsid w:val="00681CE0"/>
    <w:rsid w:val="00681D5E"/>
    <w:rsid w:val="00681E0C"/>
    <w:rsid w:val="00681E4B"/>
    <w:rsid w:val="00681F8D"/>
    <w:rsid w:val="00682077"/>
    <w:rsid w:val="0068228E"/>
    <w:rsid w:val="0068249B"/>
    <w:rsid w:val="0068254B"/>
    <w:rsid w:val="006825BC"/>
    <w:rsid w:val="00682658"/>
    <w:rsid w:val="00682752"/>
    <w:rsid w:val="00682881"/>
    <w:rsid w:val="00682898"/>
    <w:rsid w:val="00682B40"/>
    <w:rsid w:val="00682C02"/>
    <w:rsid w:val="00682D57"/>
    <w:rsid w:val="00682F30"/>
    <w:rsid w:val="006831DC"/>
    <w:rsid w:val="0068341B"/>
    <w:rsid w:val="00683566"/>
    <w:rsid w:val="006836ED"/>
    <w:rsid w:val="0068375E"/>
    <w:rsid w:val="00683839"/>
    <w:rsid w:val="00683871"/>
    <w:rsid w:val="006839EB"/>
    <w:rsid w:val="00683A3F"/>
    <w:rsid w:val="00683A64"/>
    <w:rsid w:val="00683B30"/>
    <w:rsid w:val="00683BB8"/>
    <w:rsid w:val="00683C98"/>
    <w:rsid w:val="00683C99"/>
    <w:rsid w:val="00683D1F"/>
    <w:rsid w:val="00683E82"/>
    <w:rsid w:val="00684045"/>
    <w:rsid w:val="006841C7"/>
    <w:rsid w:val="006844A1"/>
    <w:rsid w:val="00684524"/>
    <w:rsid w:val="0068467B"/>
    <w:rsid w:val="00684AFE"/>
    <w:rsid w:val="00684BAA"/>
    <w:rsid w:val="00684BF8"/>
    <w:rsid w:val="00684E47"/>
    <w:rsid w:val="00684E69"/>
    <w:rsid w:val="00684FB6"/>
    <w:rsid w:val="00685002"/>
    <w:rsid w:val="006850F6"/>
    <w:rsid w:val="0068517C"/>
    <w:rsid w:val="0068543F"/>
    <w:rsid w:val="00685493"/>
    <w:rsid w:val="006854E3"/>
    <w:rsid w:val="006856DA"/>
    <w:rsid w:val="006857C1"/>
    <w:rsid w:val="006857CF"/>
    <w:rsid w:val="0068589E"/>
    <w:rsid w:val="006858DE"/>
    <w:rsid w:val="00685982"/>
    <w:rsid w:val="006859DD"/>
    <w:rsid w:val="00685ABF"/>
    <w:rsid w:val="00685BE8"/>
    <w:rsid w:val="00685C89"/>
    <w:rsid w:val="00685C96"/>
    <w:rsid w:val="00685DED"/>
    <w:rsid w:val="00685F31"/>
    <w:rsid w:val="00686007"/>
    <w:rsid w:val="00686260"/>
    <w:rsid w:val="00686266"/>
    <w:rsid w:val="00686498"/>
    <w:rsid w:val="00686582"/>
    <w:rsid w:val="006865BB"/>
    <w:rsid w:val="006865E8"/>
    <w:rsid w:val="00686654"/>
    <w:rsid w:val="00686763"/>
    <w:rsid w:val="006869A9"/>
    <w:rsid w:val="006869FB"/>
    <w:rsid w:val="00686A0A"/>
    <w:rsid w:val="00686A4F"/>
    <w:rsid w:val="00686C25"/>
    <w:rsid w:val="00686C3C"/>
    <w:rsid w:val="00686CEE"/>
    <w:rsid w:val="00686E32"/>
    <w:rsid w:val="00686EC5"/>
    <w:rsid w:val="00686F1E"/>
    <w:rsid w:val="00687205"/>
    <w:rsid w:val="00687218"/>
    <w:rsid w:val="0068749E"/>
    <w:rsid w:val="00687757"/>
    <w:rsid w:val="006877EA"/>
    <w:rsid w:val="00687A8B"/>
    <w:rsid w:val="00687BB9"/>
    <w:rsid w:val="00687C06"/>
    <w:rsid w:val="00687C0D"/>
    <w:rsid w:val="00687C37"/>
    <w:rsid w:val="00687CC5"/>
    <w:rsid w:val="00687DC4"/>
    <w:rsid w:val="00687E07"/>
    <w:rsid w:val="00687EC5"/>
    <w:rsid w:val="00687FA2"/>
    <w:rsid w:val="00687FD1"/>
    <w:rsid w:val="0069052A"/>
    <w:rsid w:val="00690646"/>
    <w:rsid w:val="0069070E"/>
    <w:rsid w:val="00690714"/>
    <w:rsid w:val="0069095C"/>
    <w:rsid w:val="00690B48"/>
    <w:rsid w:val="00690BE4"/>
    <w:rsid w:val="00690DD1"/>
    <w:rsid w:val="00690F74"/>
    <w:rsid w:val="0069109D"/>
    <w:rsid w:val="00691128"/>
    <w:rsid w:val="006912D9"/>
    <w:rsid w:val="00691461"/>
    <w:rsid w:val="00691685"/>
    <w:rsid w:val="006916B3"/>
    <w:rsid w:val="006916E2"/>
    <w:rsid w:val="0069171F"/>
    <w:rsid w:val="00691757"/>
    <w:rsid w:val="0069177C"/>
    <w:rsid w:val="006917AD"/>
    <w:rsid w:val="006917D0"/>
    <w:rsid w:val="00691906"/>
    <w:rsid w:val="00691A42"/>
    <w:rsid w:val="00691B26"/>
    <w:rsid w:val="00691E92"/>
    <w:rsid w:val="00691ECC"/>
    <w:rsid w:val="00691FD5"/>
    <w:rsid w:val="006921E3"/>
    <w:rsid w:val="00692322"/>
    <w:rsid w:val="00692434"/>
    <w:rsid w:val="0069256F"/>
    <w:rsid w:val="00692AC4"/>
    <w:rsid w:val="00693025"/>
    <w:rsid w:val="00693038"/>
    <w:rsid w:val="006934D4"/>
    <w:rsid w:val="006935F7"/>
    <w:rsid w:val="006938AA"/>
    <w:rsid w:val="006938F0"/>
    <w:rsid w:val="006939E0"/>
    <w:rsid w:val="00693BBC"/>
    <w:rsid w:val="00693C4E"/>
    <w:rsid w:val="00693D2C"/>
    <w:rsid w:val="0069415B"/>
    <w:rsid w:val="00694274"/>
    <w:rsid w:val="00694334"/>
    <w:rsid w:val="00694351"/>
    <w:rsid w:val="006943C7"/>
    <w:rsid w:val="00694411"/>
    <w:rsid w:val="00694680"/>
    <w:rsid w:val="00694684"/>
    <w:rsid w:val="006946D7"/>
    <w:rsid w:val="006946E4"/>
    <w:rsid w:val="0069493D"/>
    <w:rsid w:val="00694999"/>
    <w:rsid w:val="00694C70"/>
    <w:rsid w:val="00694C93"/>
    <w:rsid w:val="00694F01"/>
    <w:rsid w:val="00694FE5"/>
    <w:rsid w:val="0069534C"/>
    <w:rsid w:val="006953D9"/>
    <w:rsid w:val="00695456"/>
    <w:rsid w:val="00695730"/>
    <w:rsid w:val="006959FE"/>
    <w:rsid w:val="00695A7F"/>
    <w:rsid w:val="00695A94"/>
    <w:rsid w:val="00695CBA"/>
    <w:rsid w:val="00695DE5"/>
    <w:rsid w:val="006960F8"/>
    <w:rsid w:val="0069619A"/>
    <w:rsid w:val="006961FB"/>
    <w:rsid w:val="006962F3"/>
    <w:rsid w:val="006964D9"/>
    <w:rsid w:val="00696576"/>
    <w:rsid w:val="006968FA"/>
    <w:rsid w:val="00696CF1"/>
    <w:rsid w:val="00696D21"/>
    <w:rsid w:val="00696E5E"/>
    <w:rsid w:val="00696E96"/>
    <w:rsid w:val="00696EB7"/>
    <w:rsid w:val="0069700C"/>
    <w:rsid w:val="006970D1"/>
    <w:rsid w:val="00697263"/>
    <w:rsid w:val="00697420"/>
    <w:rsid w:val="006974DA"/>
    <w:rsid w:val="0069761D"/>
    <w:rsid w:val="0069766C"/>
    <w:rsid w:val="006978E9"/>
    <w:rsid w:val="00697B69"/>
    <w:rsid w:val="00697C6D"/>
    <w:rsid w:val="00697EF1"/>
    <w:rsid w:val="00697FB1"/>
    <w:rsid w:val="00697FEC"/>
    <w:rsid w:val="006A0124"/>
    <w:rsid w:val="006A013C"/>
    <w:rsid w:val="006A025D"/>
    <w:rsid w:val="006A0392"/>
    <w:rsid w:val="006A0597"/>
    <w:rsid w:val="006A073F"/>
    <w:rsid w:val="006A09D9"/>
    <w:rsid w:val="006A0B34"/>
    <w:rsid w:val="006A0B93"/>
    <w:rsid w:val="006A0C30"/>
    <w:rsid w:val="006A0EB3"/>
    <w:rsid w:val="006A0EBA"/>
    <w:rsid w:val="006A107F"/>
    <w:rsid w:val="006A10B4"/>
    <w:rsid w:val="006A124C"/>
    <w:rsid w:val="006A12E7"/>
    <w:rsid w:val="006A143B"/>
    <w:rsid w:val="006A146E"/>
    <w:rsid w:val="006A151E"/>
    <w:rsid w:val="006A1747"/>
    <w:rsid w:val="006A188C"/>
    <w:rsid w:val="006A1982"/>
    <w:rsid w:val="006A1992"/>
    <w:rsid w:val="006A19B5"/>
    <w:rsid w:val="006A1A9B"/>
    <w:rsid w:val="006A1AFB"/>
    <w:rsid w:val="006A1BAA"/>
    <w:rsid w:val="006A1BEB"/>
    <w:rsid w:val="006A1C8C"/>
    <w:rsid w:val="006A1FFC"/>
    <w:rsid w:val="006A201C"/>
    <w:rsid w:val="006A2028"/>
    <w:rsid w:val="006A21E4"/>
    <w:rsid w:val="006A22E0"/>
    <w:rsid w:val="006A2582"/>
    <w:rsid w:val="006A25F4"/>
    <w:rsid w:val="006A2624"/>
    <w:rsid w:val="006A266C"/>
    <w:rsid w:val="006A2769"/>
    <w:rsid w:val="006A2874"/>
    <w:rsid w:val="006A29FF"/>
    <w:rsid w:val="006A2B4F"/>
    <w:rsid w:val="006A2BAC"/>
    <w:rsid w:val="006A2C53"/>
    <w:rsid w:val="006A2DC0"/>
    <w:rsid w:val="006A2E87"/>
    <w:rsid w:val="006A2EDF"/>
    <w:rsid w:val="006A3048"/>
    <w:rsid w:val="006A3229"/>
    <w:rsid w:val="006A3286"/>
    <w:rsid w:val="006A3503"/>
    <w:rsid w:val="006A361B"/>
    <w:rsid w:val="006A3668"/>
    <w:rsid w:val="006A38DF"/>
    <w:rsid w:val="006A38E9"/>
    <w:rsid w:val="006A3937"/>
    <w:rsid w:val="006A39A0"/>
    <w:rsid w:val="006A39A9"/>
    <w:rsid w:val="006A3A2C"/>
    <w:rsid w:val="006A3A2E"/>
    <w:rsid w:val="006A3A82"/>
    <w:rsid w:val="006A3AFA"/>
    <w:rsid w:val="006A3BDC"/>
    <w:rsid w:val="006A3C74"/>
    <w:rsid w:val="006A3DAA"/>
    <w:rsid w:val="006A3E64"/>
    <w:rsid w:val="006A3F12"/>
    <w:rsid w:val="006A4199"/>
    <w:rsid w:val="006A432F"/>
    <w:rsid w:val="006A4417"/>
    <w:rsid w:val="006A4511"/>
    <w:rsid w:val="006A4740"/>
    <w:rsid w:val="006A48D6"/>
    <w:rsid w:val="006A4B1C"/>
    <w:rsid w:val="006A4BA2"/>
    <w:rsid w:val="006A4D2F"/>
    <w:rsid w:val="006A4F59"/>
    <w:rsid w:val="006A5177"/>
    <w:rsid w:val="006A54F3"/>
    <w:rsid w:val="006A567D"/>
    <w:rsid w:val="006A5804"/>
    <w:rsid w:val="006A5837"/>
    <w:rsid w:val="006A58E0"/>
    <w:rsid w:val="006A58F5"/>
    <w:rsid w:val="006A5A03"/>
    <w:rsid w:val="006A5A65"/>
    <w:rsid w:val="006A5B4D"/>
    <w:rsid w:val="006A5BA1"/>
    <w:rsid w:val="006A5E5E"/>
    <w:rsid w:val="006A5ED4"/>
    <w:rsid w:val="006A5EE5"/>
    <w:rsid w:val="006A5EEA"/>
    <w:rsid w:val="006A5F2E"/>
    <w:rsid w:val="006A5F83"/>
    <w:rsid w:val="006A6071"/>
    <w:rsid w:val="006A6283"/>
    <w:rsid w:val="006A63CB"/>
    <w:rsid w:val="006A641D"/>
    <w:rsid w:val="006A64F1"/>
    <w:rsid w:val="006A6554"/>
    <w:rsid w:val="006A6891"/>
    <w:rsid w:val="006A68A6"/>
    <w:rsid w:val="006A6A2E"/>
    <w:rsid w:val="006A6AA3"/>
    <w:rsid w:val="006A6B77"/>
    <w:rsid w:val="006A6C3E"/>
    <w:rsid w:val="006A6D05"/>
    <w:rsid w:val="006A6E4D"/>
    <w:rsid w:val="006A6E5F"/>
    <w:rsid w:val="006A6EA1"/>
    <w:rsid w:val="006A6F95"/>
    <w:rsid w:val="006A705D"/>
    <w:rsid w:val="006A708F"/>
    <w:rsid w:val="006A719F"/>
    <w:rsid w:val="006A7266"/>
    <w:rsid w:val="006A733D"/>
    <w:rsid w:val="006A7373"/>
    <w:rsid w:val="006A740C"/>
    <w:rsid w:val="006A746F"/>
    <w:rsid w:val="006A74DF"/>
    <w:rsid w:val="006A78C1"/>
    <w:rsid w:val="006A791D"/>
    <w:rsid w:val="006A7B6E"/>
    <w:rsid w:val="006A7C50"/>
    <w:rsid w:val="006A7CB8"/>
    <w:rsid w:val="006A7DD3"/>
    <w:rsid w:val="006A7E3B"/>
    <w:rsid w:val="006A7E78"/>
    <w:rsid w:val="006A7E85"/>
    <w:rsid w:val="006A7EA1"/>
    <w:rsid w:val="006A7EE7"/>
    <w:rsid w:val="006A7F69"/>
    <w:rsid w:val="006A7F81"/>
    <w:rsid w:val="006B0009"/>
    <w:rsid w:val="006B0087"/>
    <w:rsid w:val="006B0144"/>
    <w:rsid w:val="006B026F"/>
    <w:rsid w:val="006B0541"/>
    <w:rsid w:val="006B056C"/>
    <w:rsid w:val="006B06F2"/>
    <w:rsid w:val="006B0715"/>
    <w:rsid w:val="006B0796"/>
    <w:rsid w:val="006B0931"/>
    <w:rsid w:val="006B0A3C"/>
    <w:rsid w:val="006B0A7B"/>
    <w:rsid w:val="006B0C66"/>
    <w:rsid w:val="006B0D33"/>
    <w:rsid w:val="006B0D4C"/>
    <w:rsid w:val="006B0D80"/>
    <w:rsid w:val="006B0DF7"/>
    <w:rsid w:val="006B0E92"/>
    <w:rsid w:val="006B1349"/>
    <w:rsid w:val="006B13A6"/>
    <w:rsid w:val="006B141E"/>
    <w:rsid w:val="006B149A"/>
    <w:rsid w:val="006B1606"/>
    <w:rsid w:val="006B1745"/>
    <w:rsid w:val="006B1A45"/>
    <w:rsid w:val="006B1A9A"/>
    <w:rsid w:val="006B1AD8"/>
    <w:rsid w:val="006B1BD8"/>
    <w:rsid w:val="006B1BE4"/>
    <w:rsid w:val="006B1C76"/>
    <w:rsid w:val="006B1CB7"/>
    <w:rsid w:val="006B1D69"/>
    <w:rsid w:val="006B1D73"/>
    <w:rsid w:val="006B1FC5"/>
    <w:rsid w:val="006B20AF"/>
    <w:rsid w:val="006B242E"/>
    <w:rsid w:val="006B2455"/>
    <w:rsid w:val="006B247C"/>
    <w:rsid w:val="006B24FB"/>
    <w:rsid w:val="006B25ED"/>
    <w:rsid w:val="006B2A7D"/>
    <w:rsid w:val="006B2AF5"/>
    <w:rsid w:val="006B2D03"/>
    <w:rsid w:val="006B2F6A"/>
    <w:rsid w:val="006B2FFD"/>
    <w:rsid w:val="006B3139"/>
    <w:rsid w:val="006B31A9"/>
    <w:rsid w:val="006B31E4"/>
    <w:rsid w:val="006B3267"/>
    <w:rsid w:val="006B3270"/>
    <w:rsid w:val="006B3986"/>
    <w:rsid w:val="006B39A9"/>
    <w:rsid w:val="006B3A23"/>
    <w:rsid w:val="006B3B21"/>
    <w:rsid w:val="006B3BA3"/>
    <w:rsid w:val="006B3F21"/>
    <w:rsid w:val="006B4278"/>
    <w:rsid w:val="006B429F"/>
    <w:rsid w:val="006B435D"/>
    <w:rsid w:val="006B44A4"/>
    <w:rsid w:val="006B45ED"/>
    <w:rsid w:val="006B491E"/>
    <w:rsid w:val="006B4A54"/>
    <w:rsid w:val="006B4A5A"/>
    <w:rsid w:val="006B4B5B"/>
    <w:rsid w:val="006B4BCD"/>
    <w:rsid w:val="006B4DC3"/>
    <w:rsid w:val="006B4F49"/>
    <w:rsid w:val="006B50FC"/>
    <w:rsid w:val="006B5324"/>
    <w:rsid w:val="006B53FC"/>
    <w:rsid w:val="006B55B4"/>
    <w:rsid w:val="006B55EA"/>
    <w:rsid w:val="006B57FB"/>
    <w:rsid w:val="006B58D3"/>
    <w:rsid w:val="006B5B06"/>
    <w:rsid w:val="006B5B4C"/>
    <w:rsid w:val="006B5D25"/>
    <w:rsid w:val="006B5E16"/>
    <w:rsid w:val="006B5E3F"/>
    <w:rsid w:val="006B5F8B"/>
    <w:rsid w:val="006B5FD2"/>
    <w:rsid w:val="006B5FFB"/>
    <w:rsid w:val="006B60F3"/>
    <w:rsid w:val="006B6340"/>
    <w:rsid w:val="006B6586"/>
    <w:rsid w:val="006B65C2"/>
    <w:rsid w:val="006B6640"/>
    <w:rsid w:val="006B67BB"/>
    <w:rsid w:val="006B688E"/>
    <w:rsid w:val="006B6C02"/>
    <w:rsid w:val="006B6C7C"/>
    <w:rsid w:val="006B6CDF"/>
    <w:rsid w:val="006B6FA2"/>
    <w:rsid w:val="006B70C6"/>
    <w:rsid w:val="006B70DF"/>
    <w:rsid w:val="006B715C"/>
    <w:rsid w:val="006B7193"/>
    <w:rsid w:val="006B72D6"/>
    <w:rsid w:val="006B793F"/>
    <w:rsid w:val="006B7994"/>
    <w:rsid w:val="006B799A"/>
    <w:rsid w:val="006B7A1B"/>
    <w:rsid w:val="006B7A3E"/>
    <w:rsid w:val="006B7B67"/>
    <w:rsid w:val="006B7BCA"/>
    <w:rsid w:val="006B7D00"/>
    <w:rsid w:val="006B7D38"/>
    <w:rsid w:val="006C00F0"/>
    <w:rsid w:val="006C022A"/>
    <w:rsid w:val="006C03D2"/>
    <w:rsid w:val="006C0611"/>
    <w:rsid w:val="006C0C47"/>
    <w:rsid w:val="006C0C6F"/>
    <w:rsid w:val="006C0CD4"/>
    <w:rsid w:val="006C0E61"/>
    <w:rsid w:val="006C0F12"/>
    <w:rsid w:val="006C0F52"/>
    <w:rsid w:val="006C0F62"/>
    <w:rsid w:val="006C0FC4"/>
    <w:rsid w:val="006C14D0"/>
    <w:rsid w:val="006C14D2"/>
    <w:rsid w:val="006C1565"/>
    <w:rsid w:val="006C172B"/>
    <w:rsid w:val="006C176C"/>
    <w:rsid w:val="006C1A40"/>
    <w:rsid w:val="006C1B2B"/>
    <w:rsid w:val="006C1B66"/>
    <w:rsid w:val="006C1DB8"/>
    <w:rsid w:val="006C1E54"/>
    <w:rsid w:val="006C1FBC"/>
    <w:rsid w:val="006C21D6"/>
    <w:rsid w:val="006C21FB"/>
    <w:rsid w:val="006C2207"/>
    <w:rsid w:val="006C246D"/>
    <w:rsid w:val="006C247C"/>
    <w:rsid w:val="006C2485"/>
    <w:rsid w:val="006C2514"/>
    <w:rsid w:val="006C2A06"/>
    <w:rsid w:val="006C2C39"/>
    <w:rsid w:val="006C2DE5"/>
    <w:rsid w:val="006C2F31"/>
    <w:rsid w:val="006C31C9"/>
    <w:rsid w:val="006C3467"/>
    <w:rsid w:val="006C34B9"/>
    <w:rsid w:val="006C364F"/>
    <w:rsid w:val="006C36B2"/>
    <w:rsid w:val="006C36F4"/>
    <w:rsid w:val="006C376C"/>
    <w:rsid w:val="006C38E1"/>
    <w:rsid w:val="006C38FA"/>
    <w:rsid w:val="006C3AA9"/>
    <w:rsid w:val="006C3B50"/>
    <w:rsid w:val="006C3BF0"/>
    <w:rsid w:val="006C3E44"/>
    <w:rsid w:val="006C3E8A"/>
    <w:rsid w:val="006C3EC1"/>
    <w:rsid w:val="006C3FB6"/>
    <w:rsid w:val="006C3FEE"/>
    <w:rsid w:val="006C4090"/>
    <w:rsid w:val="006C429E"/>
    <w:rsid w:val="006C44B8"/>
    <w:rsid w:val="006C4605"/>
    <w:rsid w:val="006C4626"/>
    <w:rsid w:val="006C46BB"/>
    <w:rsid w:val="006C49D3"/>
    <w:rsid w:val="006C4BD5"/>
    <w:rsid w:val="006C4CDB"/>
    <w:rsid w:val="006C4CF1"/>
    <w:rsid w:val="006C4E32"/>
    <w:rsid w:val="006C4F97"/>
    <w:rsid w:val="006C53C2"/>
    <w:rsid w:val="006C53D6"/>
    <w:rsid w:val="006C5427"/>
    <w:rsid w:val="006C559A"/>
    <w:rsid w:val="006C569F"/>
    <w:rsid w:val="006C56DC"/>
    <w:rsid w:val="006C5860"/>
    <w:rsid w:val="006C5B3C"/>
    <w:rsid w:val="006C5EC4"/>
    <w:rsid w:val="006C6026"/>
    <w:rsid w:val="006C6063"/>
    <w:rsid w:val="006C643A"/>
    <w:rsid w:val="006C65BE"/>
    <w:rsid w:val="006C6709"/>
    <w:rsid w:val="006C68D0"/>
    <w:rsid w:val="006C6D3D"/>
    <w:rsid w:val="006C6E78"/>
    <w:rsid w:val="006C6FAA"/>
    <w:rsid w:val="006C77F5"/>
    <w:rsid w:val="006C7856"/>
    <w:rsid w:val="006C78E3"/>
    <w:rsid w:val="006C7949"/>
    <w:rsid w:val="006D003C"/>
    <w:rsid w:val="006D005B"/>
    <w:rsid w:val="006D00B5"/>
    <w:rsid w:val="006D01F7"/>
    <w:rsid w:val="006D025A"/>
    <w:rsid w:val="006D02E3"/>
    <w:rsid w:val="006D030F"/>
    <w:rsid w:val="006D05E3"/>
    <w:rsid w:val="006D0708"/>
    <w:rsid w:val="006D08D5"/>
    <w:rsid w:val="006D0AA0"/>
    <w:rsid w:val="006D0B25"/>
    <w:rsid w:val="006D0C47"/>
    <w:rsid w:val="006D0CE0"/>
    <w:rsid w:val="006D0DE2"/>
    <w:rsid w:val="006D0F47"/>
    <w:rsid w:val="006D1025"/>
    <w:rsid w:val="006D1049"/>
    <w:rsid w:val="006D1072"/>
    <w:rsid w:val="006D10C2"/>
    <w:rsid w:val="006D11DE"/>
    <w:rsid w:val="006D11F4"/>
    <w:rsid w:val="006D1219"/>
    <w:rsid w:val="006D1390"/>
    <w:rsid w:val="006D13D5"/>
    <w:rsid w:val="006D1500"/>
    <w:rsid w:val="006D1529"/>
    <w:rsid w:val="006D15B4"/>
    <w:rsid w:val="006D15D9"/>
    <w:rsid w:val="006D1681"/>
    <w:rsid w:val="006D16D0"/>
    <w:rsid w:val="006D1801"/>
    <w:rsid w:val="006D1812"/>
    <w:rsid w:val="006D1B62"/>
    <w:rsid w:val="006D1D04"/>
    <w:rsid w:val="006D21AE"/>
    <w:rsid w:val="006D2233"/>
    <w:rsid w:val="006D225B"/>
    <w:rsid w:val="006D2434"/>
    <w:rsid w:val="006D2543"/>
    <w:rsid w:val="006D267A"/>
    <w:rsid w:val="006D2821"/>
    <w:rsid w:val="006D283B"/>
    <w:rsid w:val="006D2884"/>
    <w:rsid w:val="006D2958"/>
    <w:rsid w:val="006D2B26"/>
    <w:rsid w:val="006D2C24"/>
    <w:rsid w:val="006D2CBF"/>
    <w:rsid w:val="006D2CC8"/>
    <w:rsid w:val="006D2DB8"/>
    <w:rsid w:val="006D2F19"/>
    <w:rsid w:val="006D3386"/>
    <w:rsid w:val="006D3556"/>
    <w:rsid w:val="006D36C4"/>
    <w:rsid w:val="006D36D9"/>
    <w:rsid w:val="006D3898"/>
    <w:rsid w:val="006D38AD"/>
    <w:rsid w:val="006D3984"/>
    <w:rsid w:val="006D3A07"/>
    <w:rsid w:val="006D3A87"/>
    <w:rsid w:val="006D3AD0"/>
    <w:rsid w:val="006D3B74"/>
    <w:rsid w:val="006D3C94"/>
    <w:rsid w:val="006D3F3D"/>
    <w:rsid w:val="006D3FBC"/>
    <w:rsid w:val="006D400E"/>
    <w:rsid w:val="006D40EB"/>
    <w:rsid w:val="006D42E7"/>
    <w:rsid w:val="006D4315"/>
    <w:rsid w:val="006D4445"/>
    <w:rsid w:val="006D452D"/>
    <w:rsid w:val="006D4598"/>
    <w:rsid w:val="006D4602"/>
    <w:rsid w:val="006D484C"/>
    <w:rsid w:val="006D4A7F"/>
    <w:rsid w:val="006D4A81"/>
    <w:rsid w:val="006D4AB7"/>
    <w:rsid w:val="006D4B64"/>
    <w:rsid w:val="006D4B9B"/>
    <w:rsid w:val="006D4D48"/>
    <w:rsid w:val="006D4E0B"/>
    <w:rsid w:val="006D4E82"/>
    <w:rsid w:val="006D506C"/>
    <w:rsid w:val="006D52FC"/>
    <w:rsid w:val="006D53E0"/>
    <w:rsid w:val="006D53E3"/>
    <w:rsid w:val="006D540C"/>
    <w:rsid w:val="006D54C5"/>
    <w:rsid w:val="006D54F3"/>
    <w:rsid w:val="006D5787"/>
    <w:rsid w:val="006D57D2"/>
    <w:rsid w:val="006D589E"/>
    <w:rsid w:val="006D590A"/>
    <w:rsid w:val="006D5AAD"/>
    <w:rsid w:val="006D5AD0"/>
    <w:rsid w:val="006D5BD7"/>
    <w:rsid w:val="006D5C26"/>
    <w:rsid w:val="006D5D67"/>
    <w:rsid w:val="006D5DCA"/>
    <w:rsid w:val="006D5E32"/>
    <w:rsid w:val="006D5F82"/>
    <w:rsid w:val="006D60A1"/>
    <w:rsid w:val="006D627C"/>
    <w:rsid w:val="006D6281"/>
    <w:rsid w:val="006D63A6"/>
    <w:rsid w:val="006D63CD"/>
    <w:rsid w:val="006D6435"/>
    <w:rsid w:val="006D6453"/>
    <w:rsid w:val="006D64D6"/>
    <w:rsid w:val="006D65D0"/>
    <w:rsid w:val="006D6612"/>
    <w:rsid w:val="006D66A5"/>
    <w:rsid w:val="006D6813"/>
    <w:rsid w:val="006D68A8"/>
    <w:rsid w:val="006D6AB2"/>
    <w:rsid w:val="006D6AF6"/>
    <w:rsid w:val="006D6BC2"/>
    <w:rsid w:val="006D6BE7"/>
    <w:rsid w:val="006D6DB0"/>
    <w:rsid w:val="006D6DC9"/>
    <w:rsid w:val="006D6F40"/>
    <w:rsid w:val="006D6F83"/>
    <w:rsid w:val="006D7219"/>
    <w:rsid w:val="006D7405"/>
    <w:rsid w:val="006D74C9"/>
    <w:rsid w:val="006D75EE"/>
    <w:rsid w:val="006D7695"/>
    <w:rsid w:val="006D77A8"/>
    <w:rsid w:val="006D77CA"/>
    <w:rsid w:val="006D7867"/>
    <w:rsid w:val="006D790F"/>
    <w:rsid w:val="006D79DA"/>
    <w:rsid w:val="006D79EE"/>
    <w:rsid w:val="006D7B2D"/>
    <w:rsid w:val="006D7B80"/>
    <w:rsid w:val="006D7CBE"/>
    <w:rsid w:val="006D7E54"/>
    <w:rsid w:val="006D7F6A"/>
    <w:rsid w:val="006D7F77"/>
    <w:rsid w:val="006D7F83"/>
    <w:rsid w:val="006E0170"/>
    <w:rsid w:val="006E01F2"/>
    <w:rsid w:val="006E0316"/>
    <w:rsid w:val="006E0B41"/>
    <w:rsid w:val="006E0B6F"/>
    <w:rsid w:val="006E0B8B"/>
    <w:rsid w:val="006E0C04"/>
    <w:rsid w:val="006E0D09"/>
    <w:rsid w:val="006E0DB2"/>
    <w:rsid w:val="006E0EE2"/>
    <w:rsid w:val="006E0F66"/>
    <w:rsid w:val="006E0FF2"/>
    <w:rsid w:val="006E11C7"/>
    <w:rsid w:val="006E122C"/>
    <w:rsid w:val="006E12C5"/>
    <w:rsid w:val="006E1539"/>
    <w:rsid w:val="006E1545"/>
    <w:rsid w:val="006E1596"/>
    <w:rsid w:val="006E159C"/>
    <w:rsid w:val="006E174F"/>
    <w:rsid w:val="006E17CB"/>
    <w:rsid w:val="006E17E5"/>
    <w:rsid w:val="006E1803"/>
    <w:rsid w:val="006E1997"/>
    <w:rsid w:val="006E19BD"/>
    <w:rsid w:val="006E1BE0"/>
    <w:rsid w:val="006E1BEA"/>
    <w:rsid w:val="006E1DBD"/>
    <w:rsid w:val="006E1E78"/>
    <w:rsid w:val="006E1FC4"/>
    <w:rsid w:val="006E1FFB"/>
    <w:rsid w:val="006E21D4"/>
    <w:rsid w:val="006E2211"/>
    <w:rsid w:val="006E2293"/>
    <w:rsid w:val="006E240F"/>
    <w:rsid w:val="006E2412"/>
    <w:rsid w:val="006E244F"/>
    <w:rsid w:val="006E258F"/>
    <w:rsid w:val="006E263E"/>
    <w:rsid w:val="006E26A8"/>
    <w:rsid w:val="006E26EE"/>
    <w:rsid w:val="006E28E5"/>
    <w:rsid w:val="006E29FE"/>
    <w:rsid w:val="006E2B03"/>
    <w:rsid w:val="006E2BBF"/>
    <w:rsid w:val="006E2BE8"/>
    <w:rsid w:val="006E2BE9"/>
    <w:rsid w:val="006E2BED"/>
    <w:rsid w:val="006E2D52"/>
    <w:rsid w:val="006E2FC4"/>
    <w:rsid w:val="006E3236"/>
    <w:rsid w:val="006E327B"/>
    <w:rsid w:val="006E3454"/>
    <w:rsid w:val="006E357A"/>
    <w:rsid w:val="006E35E7"/>
    <w:rsid w:val="006E3E73"/>
    <w:rsid w:val="006E3E89"/>
    <w:rsid w:val="006E3FDE"/>
    <w:rsid w:val="006E4155"/>
    <w:rsid w:val="006E424D"/>
    <w:rsid w:val="006E4413"/>
    <w:rsid w:val="006E44A6"/>
    <w:rsid w:val="006E4859"/>
    <w:rsid w:val="006E48E2"/>
    <w:rsid w:val="006E4920"/>
    <w:rsid w:val="006E4AD6"/>
    <w:rsid w:val="006E4AF1"/>
    <w:rsid w:val="006E4AF4"/>
    <w:rsid w:val="006E4B88"/>
    <w:rsid w:val="006E4D90"/>
    <w:rsid w:val="006E5116"/>
    <w:rsid w:val="006E523F"/>
    <w:rsid w:val="006E52C7"/>
    <w:rsid w:val="006E53C2"/>
    <w:rsid w:val="006E53F8"/>
    <w:rsid w:val="006E55C9"/>
    <w:rsid w:val="006E562B"/>
    <w:rsid w:val="006E5693"/>
    <w:rsid w:val="006E5B7D"/>
    <w:rsid w:val="006E5B88"/>
    <w:rsid w:val="006E5F5A"/>
    <w:rsid w:val="006E5FB2"/>
    <w:rsid w:val="006E612B"/>
    <w:rsid w:val="006E619C"/>
    <w:rsid w:val="006E6581"/>
    <w:rsid w:val="006E65CA"/>
    <w:rsid w:val="006E65E3"/>
    <w:rsid w:val="006E6638"/>
    <w:rsid w:val="006E6667"/>
    <w:rsid w:val="006E6679"/>
    <w:rsid w:val="006E66CE"/>
    <w:rsid w:val="006E6B13"/>
    <w:rsid w:val="006E6B52"/>
    <w:rsid w:val="006E6B65"/>
    <w:rsid w:val="006E6BBB"/>
    <w:rsid w:val="006E6CC5"/>
    <w:rsid w:val="006E6F3E"/>
    <w:rsid w:val="006E7010"/>
    <w:rsid w:val="006E714F"/>
    <w:rsid w:val="006E7160"/>
    <w:rsid w:val="006E717E"/>
    <w:rsid w:val="006E76B5"/>
    <w:rsid w:val="006E7722"/>
    <w:rsid w:val="006E780D"/>
    <w:rsid w:val="006E79D4"/>
    <w:rsid w:val="006E7AA1"/>
    <w:rsid w:val="006E7AB8"/>
    <w:rsid w:val="006E7BC9"/>
    <w:rsid w:val="006E7EC8"/>
    <w:rsid w:val="006E7F31"/>
    <w:rsid w:val="006F0065"/>
    <w:rsid w:val="006F012A"/>
    <w:rsid w:val="006F0534"/>
    <w:rsid w:val="006F07A0"/>
    <w:rsid w:val="006F07C4"/>
    <w:rsid w:val="006F08DC"/>
    <w:rsid w:val="006F0A2F"/>
    <w:rsid w:val="006F0B30"/>
    <w:rsid w:val="006F0BB7"/>
    <w:rsid w:val="006F0D1F"/>
    <w:rsid w:val="006F0FBA"/>
    <w:rsid w:val="006F1114"/>
    <w:rsid w:val="006F1136"/>
    <w:rsid w:val="006F146E"/>
    <w:rsid w:val="006F17F9"/>
    <w:rsid w:val="006F18F9"/>
    <w:rsid w:val="006F1C5C"/>
    <w:rsid w:val="006F1C62"/>
    <w:rsid w:val="006F1CA1"/>
    <w:rsid w:val="006F20FE"/>
    <w:rsid w:val="006F227E"/>
    <w:rsid w:val="006F22DB"/>
    <w:rsid w:val="006F2353"/>
    <w:rsid w:val="006F2397"/>
    <w:rsid w:val="006F2405"/>
    <w:rsid w:val="006F241C"/>
    <w:rsid w:val="006F24B8"/>
    <w:rsid w:val="006F24CF"/>
    <w:rsid w:val="006F260F"/>
    <w:rsid w:val="006F2726"/>
    <w:rsid w:val="006F2C67"/>
    <w:rsid w:val="006F2D35"/>
    <w:rsid w:val="006F2E4D"/>
    <w:rsid w:val="006F2F79"/>
    <w:rsid w:val="006F31D9"/>
    <w:rsid w:val="006F3266"/>
    <w:rsid w:val="006F3342"/>
    <w:rsid w:val="006F336D"/>
    <w:rsid w:val="006F3371"/>
    <w:rsid w:val="006F35C4"/>
    <w:rsid w:val="006F35E6"/>
    <w:rsid w:val="006F36B0"/>
    <w:rsid w:val="006F3815"/>
    <w:rsid w:val="006F397A"/>
    <w:rsid w:val="006F399B"/>
    <w:rsid w:val="006F3A31"/>
    <w:rsid w:val="006F3A6C"/>
    <w:rsid w:val="006F3AC8"/>
    <w:rsid w:val="006F3B4C"/>
    <w:rsid w:val="006F3B81"/>
    <w:rsid w:val="006F3C14"/>
    <w:rsid w:val="006F3CA6"/>
    <w:rsid w:val="006F3D43"/>
    <w:rsid w:val="006F3DDF"/>
    <w:rsid w:val="006F3E58"/>
    <w:rsid w:val="006F41E6"/>
    <w:rsid w:val="006F41F0"/>
    <w:rsid w:val="006F4440"/>
    <w:rsid w:val="006F4459"/>
    <w:rsid w:val="006F4499"/>
    <w:rsid w:val="006F45DD"/>
    <w:rsid w:val="006F47BA"/>
    <w:rsid w:val="006F47E9"/>
    <w:rsid w:val="006F4853"/>
    <w:rsid w:val="006F4884"/>
    <w:rsid w:val="006F48A6"/>
    <w:rsid w:val="006F48C8"/>
    <w:rsid w:val="006F48E9"/>
    <w:rsid w:val="006F4900"/>
    <w:rsid w:val="006F496B"/>
    <w:rsid w:val="006F4A17"/>
    <w:rsid w:val="006F4BE2"/>
    <w:rsid w:val="006F4C32"/>
    <w:rsid w:val="006F4CA4"/>
    <w:rsid w:val="006F4ED5"/>
    <w:rsid w:val="006F4EEC"/>
    <w:rsid w:val="006F5038"/>
    <w:rsid w:val="006F53A2"/>
    <w:rsid w:val="006F53E7"/>
    <w:rsid w:val="006F545E"/>
    <w:rsid w:val="006F5502"/>
    <w:rsid w:val="006F5542"/>
    <w:rsid w:val="006F5543"/>
    <w:rsid w:val="006F561A"/>
    <w:rsid w:val="006F579B"/>
    <w:rsid w:val="006F57C7"/>
    <w:rsid w:val="006F585F"/>
    <w:rsid w:val="006F5A71"/>
    <w:rsid w:val="006F5A80"/>
    <w:rsid w:val="006F5A92"/>
    <w:rsid w:val="006F5B13"/>
    <w:rsid w:val="006F5B58"/>
    <w:rsid w:val="006F5CA5"/>
    <w:rsid w:val="006F5D3F"/>
    <w:rsid w:val="006F5D4E"/>
    <w:rsid w:val="006F5E8B"/>
    <w:rsid w:val="006F60D5"/>
    <w:rsid w:val="006F65A3"/>
    <w:rsid w:val="006F679A"/>
    <w:rsid w:val="006F69BD"/>
    <w:rsid w:val="006F6A1B"/>
    <w:rsid w:val="006F6A6E"/>
    <w:rsid w:val="006F6AF2"/>
    <w:rsid w:val="006F6BC3"/>
    <w:rsid w:val="006F70BC"/>
    <w:rsid w:val="006F70FB"/>
    <w:rsid w:val="006F72F3"/>
    <w:rsid w:val="006F75B2"/>
    <w:rsid w:val="006F76A4"/>
    <w:rsid w:val="006F7720"/>
    <w:rsid w:val="006F7771"/>
    <w:rsid w:val="006F7818"/>
    <w:rsid w:val="006F78F0"/>
    <w:rsid w:val="006F799A"/>
    <w:rsid w:val="006F7A06"/>
    <w:rsid w:val="006F7C07"/>
    <w:rsid w:val="006F7EBA"/>
    <w:rsid w:val="006F7F62"/>
    <w:rsid w:val="007000FE"/>
    <w:rsid w:val="00700315"/>
    <w:rsid w:val="00700461"/>
    <w:rsid w:val="0070050E"/>
    <w:rsid w:val="00700965"/>
    <w:rsid w:val="00700A31"/>
    <w:rsid w:val="00700A7B"/>
    <w:rsid w:val="00700ACC"/>
    <w:rsid w:val="00700FAD"/>
    <w:rsid w:val="007011A3"/>
    <w:rsid w:val="00701340"/>
    <w:rsid w:val="00701640"/>
    <w:rsid w:val="007019E9"/>
    <w:rsid w:val="00701B61"/>
    <w:rsid w:val="00701CA9"/>
    <w:rsid w:val="00701CCF"/>
    <w:rsid w:val="00702002"/>
    <w:rsid w:val="00702067"/>
    <w:rsid w:val="007020E1"/>
    <w:rsid w:val="007021A8"/>
    <w:rsid w:val="00702210"/>
    <w:rsid w:val="0070223D"/>
    <w:rsid w:val="007024B6"/>
    <w:rsid w:val="007025E0"/>
    <w:rsid w:val="007027B6"/>
    <w:rsid w:val="007028C7"/>
    <w:rsid w:val="00702CBA"/>
    <w:rsid w:val="00703120"/>
    <w:rsid w:val="0070319C"/>
    <w:rsid w:val="0070332A"/>
    <w:rsid w:val="007037F9"/>
    <w:rsid w:val="00703815"/>
    <w:rsid w:val="00703991"/>
    <w:rsid w:val="00703BDF"/>
    <w:rsid w:val="00703C4D"/>
    <w:rsid w:val="00703D10"/>
    <w:rsid w:val="00703DDE"/>
    <w:rsid w:val="00703E7D"/>
    <w:rsid w:val="00703F21"/>
    <w:rsid w:val="00703FFE"/>
    <w:rsid w:val="00704127"/>
    <w:rsid w:val="00704163"/>
    <w:rsid w:val="007043FE"/>
    <w:rsid w:val="00704757"/>
    <w:rsid w:val="0070478F"/>
    <w:rsid w:val="00704837"/>
    <w:rsid w:val="00704AAE"/>
    <w:rsid w:val="00704BF6"/>
    <w:rsid w:val="00704DFC"/>
    <w:rsid w:val="00704E9A"/>
    <w:rsid w:val="007051BC"/>
    <w:rsid w:val="00705254"/>
    <w:rsid w:val="007052DB"/>
    <w:rsid w:val="007053FA"/>
    <w:rsid w:val="00705482"/>
    <w:rsid w:val="007055F6"/>
    <w:rsid w:val="00705698"/>
    <w:rsid w:val="0070572B"/>
    <w:rsid w:val="00705827"/>
    <w:rsid w:val="00705A36"/>
    <w:rsid w:val="00705BC7"/>
    <w:rsid w:val="00705E10"/>
    <w:rsid w:val="00705F8C"/>
    <w:rsid w:val="007060C3"/>
    <w:rsid w:val="00706101"/>
    <w:rsid w:val="00706130"/>
    <w:rsid w:val="00706246"/>
    <w:rsid w:val="0070631B"/>
    <w:rsid w:val="007064A5"/>
    <w:rsid w:val="00706527"/>
    <w:rsid w:val="00706586"/>
    <w:rsid w:val="007065A8"/>
    <w:rsid w:val="00706621"/>
    <w:rsid w:val="007069CB"/>
    <w:rsid w:val="00706B91"/>
    <w:rsid w:val="00706BEF"/>
    <w:rsid w:val="00706ECD"/>
    <w:rsid w:val="00706EE0"/>
    <w:rsid w:val="00706EEA"/>
    <w:rsid w:val="00706F08"/>
    <w:rsid w:val="0070709F"/>
    <w:rsid w:val="007070A4"/>
    <w:rsid w:val="00707245"/>
    <w:rsid w:val="0070724B"/>
    <w:rsid w:val="00707316"/>
    <w:rsid w:val="00707457"/>
    <w:rsid w:val="00707475"/>
    <w:rsid w:val="00707595"/>
    <w:rsid w:val="0070763A"/>
    <w:rsid w:val="007076C5"/>
    <w:rsid w:val="007079A5"/>
    <w:rsid w:val="007079FB"/>
    <w:rsid w:val="00707BD0"/>
    <w:rsid w:val="00707C1F"/>
    <w:rsid w:val="00707C73"/>
    <w:rsid w:val="00707C9E"/>
    <w:rsid w:val="00707D0C"/>
    <w:rsid w:val="007101B8"/>
    <w:rsid w:val="00710214"/>
    <w:rsid w:val="0071028A"/>
    <w:rsid w:val="007103C1"/>
    <w:rsid w:val="007104E0"/>
    <w:rsid w:val="0071069B"/>
    <w:rsid w:val="00710757"/>
    <w:rsid w:val="00710ADB"/>
    <w:rsid w:val="00710EF3"/>
    <w:rsid w:val="007110A0"/>
    <w:rsid w:val="00711217"/>
    <w:rsid w:val="007114D5"/>
    <w:rsid w:val="007114D8"/>
    <w:rsid w:val="007114E3"/>
    <w:rsid w:val="00711570"/>
    <w:rsid w:val="00711586"/>
    <w:rsid w:val="0071170F"/>
    <w:rsid w:val="00711827"/>
    <w:rsid w:val="00711929"/>
    <w:rsid w:val="00711934"/>
    <w:rsid w:val="0071199D"/>
    <w:rsid w:val="00711B83"/>
    <w:rsid w:val="00711C3E"/>
    <w:rsid w:val="00711D1D"/>
    <w:rsid w:val="00711E34"/>
    <w:rsid w:val="00711E41"/>
    <w:rsid w:val="00712179"/>
    <w:rsid w:val="00712382"/>
    <w:rsid w:val="00712394"/>
    <w:rsid w:val="007123C2"/>
    <w:rsid w:val="00712495"/>
    <w:rsid w:val="007124C7"/>
    <w:rsid w:val="007127A0"/>
    <w:rsid w:val="007127A6"/>
    <w:rsid w:val="007127E8"/>
    <w:rsid w:val="00712825"/>
    <w:rsid w:val="00712A12"/>
    <w:rsid w:val="00712B66"/>
    <w:rsid w:val="00712B95"/>
    <w:rsid w:val="00712BBF"/>
    <w:rsid w:val="00712BE4"/>
    <w:rsid w:val="00712CD0"/>
    <w:rsid w:val="00712DD4"/>
    <w:rsid w:val="00712FBB"/>
    <w:rsid w:val="00713046"/>
    <w:rsid w:val="0071306E"/>
    <w:rsid w:val="007130E6"/>
    <w:rsid w:val="00713269"/>
    <w:rsid w:val="0071328E"/>
    <w:rsid w:val="007133B2"/>
    <w:rsid w:val="007133FB"/>
    <w:rsid w:val="007134D2"/>
    <w:rsid w:val="00713624"/>
    <w:rsid w:val="00713665"/>
    <w:rsid w:val="0071378C"/>
    <w:rsid w:val="007137ED"/>
    <w:rsid w:val="0071386E"/>
    <w:rsid w:val="00713A69"/>
    <w:rsid w:val="00713C31"/>
    <w:rsid w:val="00713E57"/>
    <w:rsid w:val="00713F95"/>
    <w:rsid w:val="0071417D"/>
    <w:rsid w:val="007142A1"/>
    <w:rsid w:val="007143E9"/>
    <w:rsid w:val="007144EC"/>
    <w:rsid w:val="0071467D"/>
    <w:rsid w:val="007146A8"/>
    <w:rsid w:val="007146B1"/>
    <w:rsid w:val="00714777"/>
    <w:rsid w:val="007147B9"/>
    <w:rsid w:val="007148DF"/>
    <w:rsid w:val="00714923"/>
    <w:rsid w:val="00714952"/>
    <w:rsid w:val="0071495B"/>
    <w:rsid w:val="00714B5B"/>
    <w:rsid w:val="00714D04"/>
    <w:rsid w:val="00714D32"/>
    <w:rsid w:val="00714D74"/>
    <w:rsid w:val="00714DA1"/>
    <w:rsid w:val="0071501D"/>
    <w:rsid w:val="00715069"/>
    <w:rsid w:val="0071510B"/>
    <w:rsid w:val="0071516C"/>
    <w:rsid w:val="0071525F"/>
    <w:rsid w:val="00715267"/>
    <w:rsid w:val="00715294"/>
    <w:rsid w:val="007152AA"/>
    <w:rsid w:val="007152D7"/>
    <w:rsid w:val="007154F4"/>
    <w:rsid w:val="00715737"/>
    <w:rsid w:val="00715757"/>
    <w:rsid w:val="0071581B"/>
    <w:rsid w:val="00715861"/>
    <w:rsid w:val="0071593E"/>
    <w:rsid w:val="0071599A"/>
    <w:rsid w:val="00715A00"/>
    <w:rsid w:val="00715F71"/>
    <w:rsid w:val="007160A4"/>
    <w:rsid w:val="00716135"/>
    <w:rsid w:val="00716186"/>
    <w:rsid w:val="00716A1D"/>
    <w:rsid w:val="00716BE2"/>
    <w:rsid w:val="00716E31"/>
    <w:rsid w:val="00716E3B"/>
    <w:rsid w:val="00716E6B"/>
    <w:rsid w:val="00716E6D"/>
    <w:rsid w:val="007173BB"/>
    <w:rsid w:val="0071741E"/>
    <w:rsid w:val="00717426"/>
    <w:rsid w:val="00717427"/>
    <w:rsid w:val="00717431"/>
    <w:rsid w:val="00717685"/>
    <w:rsid w:val="007176B8"/>
    <w:rsid w:val="0071778E"/>
    <w:rsid w:val="00717B9E"/>
    <w:rsid w:val="00717E1A"/>
    <w:rsid w:val="00717F77"/>
    <w:rsid w:val="00717FD0"/>
    <w:rsid w:val="00720235"/>
    <w:rsid w:val="00720349"/>
    <w:rsid w:val="007203C9"/>
    <w:rsid w:val="007204BA"/>
    <w:rsid w:val="007204EC"/>
    <w:rsid w:val="0072053B"/>
    <w:rsid w:val="007205DF"/>
    <w:rsid w:val="007207DD"/>
    <w:rsid w:val="0072084C"/>
    <w:rsid w:val="00720B3F"/>
    <w:rsid w:val="00720E9A"/>
    <w:rsid w:val="00721045"/>
    <w:rsid w:val="00721165"/>
    <w:rsid w:val="0072116C"/>
    <w:rsid w:val="0072125F"/>
    <w:rsid w:val="0072155E"/>
    <w:rsid w:val="00721652"/>
    <w:rsid w:val="0072165B"/>
    <w:rsid w:val="00721706"/>
    <w:rsid w:val="00721769"/>
    <w:rsid w:val="00721772"/>
    <w:rsid w:val="00721934"/>
    <w:rsid w:val="007219A0"/>
    <w:rsid w:val="00721A48"/>
    <w:rsid w:val="00721A4F"/>
    <w:rsid w:val="00721D3E"/>
    <w:rsid w:val="00721D5D"/>
    <w:rsid w:val="00721E0A"/>
    <w:rsid w:val="00721E84"/>
    <w:rsid w:val="00721EA2"/>
    <w:rsid w:val="00721F12"/>
    <w:rsid w:val="00722084"/>
    <w:rsid w:val="0072223F"/>
    <w:rsid w:val="00722280"/>
    <w:rsid w:val="007225D8"/>
    <w:rsid w:val="0072272A"/>
    <w:rsid w:val="0072276A"/>
    <w:rsid w:val="00722771"/>
    <w:rsid w:val="007228A6"/>
    <w:rsid w:val="00722925"/>
    <w:rsid w:val="00722AF9"/>
    <w:rsid w:val="00722B25"/>
    <w:rsid w:val="00722BEB"/>
    <w:rsid w:val="00722CB8"/>
    <w:rsid w:val="00722D52"/>
    <w:rsid w:val="00722DA7"/>
    <w:rsid w:val="00722E48"/>
    <w:rsid w:val="00722E80"/>
    <w:rsid w:val="00722F10"/>
    <w:rsid w:val="007230B3"/>
    <w:rsid w:val="00723449"/>
    <w:rsid w:val="00723863"/>
    <w:rsid w:val="007238FF"/>
    <w:rsid w:val="00723A1C"/>
    <w:rsid w:val="00723A4B"/>
    <w:rsid w:val="00723D4C"/>
    <w:rsid w:val="00723EF9"/>
    <w:rsid w:val="007240DA"/>
    <w:rsid w:val="00724127"/>
    <w:rsid w:val="00724196"/>
    <w:rsid w:val="00724340"/>
    <w:rsid w:val="007243F9"/>
    <w:rsid w:val="0072455F"/>
    <w:rsid w:val="007249B2"/>
    <w:rsid w:val="00724D16"/>
    <w:rsid w:val="00724E89"/>
    <w:rsid w:val="007251A2"/>
    <w:rsid w:val="007252A2"/>
    <w:rsid w:val="007252D6"/>
    <w:rsid w:val="007252E4"/>
    <w:rsid w:val="00725332"/>
    <w:rsid w:val="00725A0A"/>
    <w:rsid w:val="00725BE1"/>
    <w:rsid w:val="00725C9D"/>
    <w:rsid w:val="00725CBF"/>
    <w:rsid w:val="00725D84"/>
    <w:rsid w:val="00725E1E"/>
    <w:rsid w:val="00725EF5"/>
    <w:rsid w:val="00726219"/>
    <w:rsid w:val="0072633E"/>
    <w:rsid w:val="00726437"/>
    <w:rsid w:val="0072655D"/>
    <w:rsid w:val="00726717"/>
    <w:rsid w:val="00726802"/>
    <w:rsid w:val="00726806"/>
    <w:rsid w:val="00726AC1"/>
    <w:rsid w:val="00726BC0"/>
    <w:rsid w:val="0072706B"/>
    <w:rsid w:val="00727288"/>
    <w:rsid w:val="00727356"/>
    <w:rsid w:val="007273ED"/>
    <w:rsid w:val="00727789"/>
    <w:rsid w:val="00727A0C"/>
    <w:rsid w:val="00727AE1"/>
    <w:rsid w:val="00727B5F"/>
    <w:rsid w:val="00727FB4"/>
    <w:rsid w:val="00730352"/>
    <w:rsid w:val="00730359"/>
    <w:rsid w:val="0073038F"/>
    <w:rsid w:val="007308BA"/>
    <w:rsid w:val="007308FA"/>
    <w:rsid w:val="0073092D"/>
    <w:rsid w:val="0073094B"/>
    <w:rsid w:val="00730B8E"/>
    <w:rsid w:val="00730CC5"/>
    <w:rsid w:val="00730D11"/>
    <w:rsid w:val="00730FE7"/>
    <w:rsid w:val="00731251"/>
    <w:rsid w:val="00731362"/>
    <w:rsid w:val="007315AD"/>
    <w:rsid w:val="007315BB"/>
    <w:rsid w:val="00731665"/>
    <w:rsid w:val="00731A57"/>
    <w:rsid w:val="00731BFD"/>
    <w:rsid w:val="00731CF5"/>
    <w:rsid w:val="00731ECD"/>
    <w:rsid w:val="00732000"/>
    <w:rsid w:val="00732019"/>
    <w:rsid w:val="007320A0"/>
    <w:rsid w:val="0073220D"/>
    <w:rsid w:val="0073226F"/>
    <w:rsid w:val="0073279F"/>
    <w:rsid w:val="0073282A"/>
    <w:rsid w:val="00732986"/>
    <w:rsid w:val="00732997"/>
    <w:rsid w:val="007329F2"/>
    <w:rsid w:val="00732C66"/>
    <w:rsid w:val="00732C83"/>
    <w:rsid w:val="00732EC2"/>
    <w:rsid w:val="00733057"/>
    <w:rsid w:val="0073324F"/>
    <w:rsid w:val="00733415"/>
    <w:rsid w:val="007334AA"/>
    <w:rsid w:val="007334F8"/>
    <w:rsid w:val="00733602"/>
    <w:rsid w:val="00733667"/>
    <w:rsid w:val="0073366A"/>
    <w:rsid w:val="007339B2"/>
    <w:rsid w:val="00733ACA"/>
    <w:rsid w:val="00733E42"/>
    <w:rsid w:val="00733E52"/>
    <w:rsid w:val="00734534"/>
    <w:rsid w:val="007347FE"/>
    <w:rsid w:val="00734836"/>
    <w:rsid w:val="00734C1A"/>
    <w:rsid w:val="00734CBE"/>
    <w:rsid w:val="00734D11"/>
    <w:rsid w:val="00734E82"/>
    <w:rsid w:val="00734EAD"/>
    <w:rsid w:val="00734FB9"/>
    <w:rsid w:val="00735060"/>
    <w:rsid w:val="007352AE"/>
    <w:rsid w:val="007352CD"/>
    <w:rsid w:val="007355BD"/>
    <w:rsid w:val="00735654"/>
    <w:rsid w:val="007357D1"/>
    <w:rsid w:val="00735A6F"/>
    <w:rsid w:val="00735AD3"/>
    <w:rsid w:val="00735B93"/>
    <w:rsid w:val="00735C6C"/>
    <w:rsid w:val="00735FAA"/>
    <w:rsid w:val="00736015"/>
    <w:rsid w:val="0073607F"/>
    <w:rsid w:val="00736310"/>
    <w:rsid w:val="00736522"/>
    <w:rsid w:val="0073658C"/>
    <w:rsid w:val="0073658D"/>
    <w:rsid w:val="0073680B"/>
    <w:rsid w:val="0073698F"/>
    <w:rsid w:val="007369B5"/>
    <w:rsid w:val="007369FB"/>
    <w:rsid w:val="00736A7F"/>
    <w:rsid w:val="00736E18"/>
    <w:rsid w:val="00736F1A"/>
    <w:rsid w:val="00737032"/>
    <w:rsid w:val="0073708A"/>
    <w:rsid w:val="0073708C"/>
    <w:rsid w:val="007370FF"/>
    <w:rsid w:val="007371C8"/>
    <w:rsid w:val="007373D1"/>
    <w:rsid w:val="007373FA"/>
    <w:rsid w:val="0073740F"/>
    <w:rsid w:val="00737421"/>
    <w:rsid w:val="007374C3"/>
    <w:rsid w:val="007374EF"/>
    <w:rsid w:val="0073753B"/>
    <w:rsid w:val="00737771"/>
    <w:rsid w:val="007377A6"/>
    <w:rsid w:val="007377DB"/>
    <w:rsid w:val="007379A1"/>
    <w:rsid w:val="00737A4E"/>
    <w:rsid w:val="00737AC3"/>
    <w:rsid w:val="00737B01"/>
    <w:rsid w:val="00737B15"/>
    <w:rsid w:val="00737B42"/>
    <w:rsid w:val="00737BD3"/>
    <w:rsid w:val="00737C4A"/>
    <w:rsid w:val="00737C74"/>
    <w:rsid w:val="00737DEA"/>
    <w:rsid w:val="00737ECE"/>
    <w:rsid w:val="00737F9A"/>
    <w:rsid w:val="0074003E"/>
    <w:rsid w:val="007400A4"/>
    <w:rsid w:val="007400C0"/>
    <w:rsid w:val="00740355"/>
    <w:rsid w:val="00740359"/>
    <w:rsid w:val="0074050E"/>
    <w:rsid w:val="007405E7"/>
    <w:rsid w:val="007405FC"/>
    <w:rsid w:val="00740AEB"/>
    <w:rsid w:val="00740B4B"/>
    <w:rsid w:val="00740B59"/>
    <w:rsid w:val="00740D1A"/>
    <w:rsid w:val="00740DFC"/>
    <w:rsid w:val="00740FBB"/>
    <w:rsid w:val="0074109D"/>
    <w:rsid w:val="00741219"/>
    <w:rsid w:val="0074124B"/>
    <w:rsid w:val="0074136A"/>
    <w:rsid w:val="007413CF"/>
    <w:rsid w:val="007414EF"/>
    <w:rsid w:val="00741699"/>
    <w:rsid w:val="00741876"/>
    <w:rsid w:val="007419D4"/>
    <w:rsid w:val="007419E5"/>
    <w:rsid w:val="00741B37"/>
    <w:rsid w:val="00741C58"/>
    <w:rsid w:val="00741D44"/>
    <w:rsid w:val="00741D48"/>
    <w:rsid w:val="00741E5C"/>
    <w:rsid w:val="00741FD6"/>
    <w:rsid w:val="00741FEF"/>
    <w:rsid w:val="00742085"/>
    <w:rsid w:val="00742131"/>
    <w:rsid w:val="0074235D"/>
    <w:rsid w:val="0074245C"/>
    <w:rsid w:val="007424B2"/>
    <w:rsid w:val="007425FF"/>
    <w:rsid w:val="0074266F"/>
    <w:rsid w:val="00742ABC"/>
    <w:rsid w:val="00742BAE"/>
    <w:rsid w:val="00742C18"/>
    <w:rsid w:val="00742D22"/>
    <w:rsid w:val="00742D6E"/>
    <w:rsid w:val="00742F5F"/>
    <w:rsid w:val="0074336E"/>
    <w:rsid w:val="007433B4"/>
    <w:rsid w:val="0074340F"/>
    <w:rsid w:val="0074343D"/>
    <w:rsid w:val="00743624"/>
    <w:rsid w:val="007437DA"/>
    <w:rsid w:val="007438FA"/>
    <w:rsid w:val="00743F4A"/>
    <w:rsid w:val="007440B1"/>
    <w:rsid w:val="007440D7"/>
    <w:rsid w:val="0074417C"/>
    <w:rsid w:val="00744272"/>
    <w:rsid w:val="007445A4"/>
    <w:rsid w:val="00744761"/>
    <w:rsid w:val="00744775"/>
    <w:rsid w:val="00744A48"/>
    <w:rsid w:val="00744A86"/>
    <w:rsid w:val="00744F3E"/>
    <w:rsid w:val="00745050"/>
    <w:rsid w:val="00745058"/>
    <w:rsid w:val="00745097"/>
    <w:rsid w:val="007450D1"/>
    <w:rsid w:val="00745290"/>
    <w:rsid w:val="00745303"/>
    <w:rsid w:val="007453BB"/>
    <w:rsid w:val="00745441"/>
    <w:rsid w:val="00745761"/>
    <w:rsid w:val="00745952"/>
    <w:rsid w:val="007459D1"/>
    <w:rsid w:val="00745A16"/>
    <w:rsid w:val="00745A66"/>
    <w:rsid w:val="00745AC4"/>
    <w:rsid w:val="00745DAC"/>
    <w:rsid w:val="00745DBE"/>
    <w:rsid w:val="00745E35"/>
    <w:rsid w:val="0074614B"/>
    <w:rsid w:val="007462DC"/>
    <w:rsid w:val="00746338"/>
    <w:rsid w:val="00746357"/>
    <w:rsid w:val="0074643A"/>
    <w:rsid w:val="007465B3"/>
    <w:rsid w:val="00746700"/>
    <w:rsid w:val="0074672C"/>
    <w:rsid w:val="007467FA"/>
    <w:rsid w:val="007468FB"/>
    <w:rsid w:val="00746BCE"/>
    <w:rsid w:val="00746D67"/>
    <w:rsid w:val="00746D7A"/>
    <w:rsid w:val="00746DF8"/>
    <w:rsid w:val="00747176"/>
    <w:rsid w:val="00747798"/>
    <w:rsid w:val="007478FC"/>
    <w:rsid w:val="00747B11"/>
    <w:rsid w:val="00747B77"/>
    <w:rsid w:val="00747C79"/>
    <w:rsid w:val="00747CAF"/>
    <w:rsid w:val="00747D57"/>
    <w:rsid w:val="00747E04"/>
    <w:rsid w:val="007502AE"/>
    <w:rsid w:val="00750391"/>
    <w:rsid w:val="007505E3"/>
    <w:rsid w:val="0075061D"/>
    <w:rsid w:val="007506DE"/>
    <w:rsid w:val="00750A5C"/>
    <w:rsid w:val="00750B45"/>
    <w:rsid w:val="00750B5E"/>
    <w:rsid w:val="00750B60"/>
    <w:rsid w:val="00750C99"/>
    <w:rsid w:val="00750E8B"/>
    <w:rsid w:val="00750E9B"/>
    <w:rsid w:val="00750F28"/>
    <w:rsid w:val="007510D1"/>
    <w:rsid w:val="007511C7"/>
    <w:rsid w:val="00751276"/>
    <w:rsid w:val="0075128C"/>
    <w:rsid w:val="00751382"/>
    <w:rsid w:val="0075155F"/>
    <w:rsid w:val="0075170A"/>
    <w:rsid w:val="007517FE"/>
    <w:rsid w:val="00751A4C"/>
    <w:rsid w:val="00751AB5"/>
    <w:rsid w:val="00751E06"/>
    <w:rsid w:val="00751E44"/>
    <w:rsid w:val="00751FD1"/>
    <w:rsid w:val="007520FA"/>
    <w:rsid w:val="00752137"/>
    <w:rsid w:val="0075221F"/>
    <w:rsid w:val="0075229F"/>
    <w:rsid w:val="0075235A"/>
    <w:rsid w:val="00752466"/>
    <w:rsid w:val="007525D0"/>
    <w:rsid w:val="00752773"/>
    <w:rsid w:val="00752A54"/>
    <w:rsid w:val="00752BD6"/>
    <w:rsid w:val="00752C08"/>
    <w:rsid w:val="00752D70"/>
    <w:rsid w:val="00752FED"/>
    <w:rsid w:val="00753058"/>
    <w:rsid w:val="00753180"/>
    <w:rsid w:val="00753303"/>
    <w:rsid w:val="007533E0"/>
    <w:rsid w:val="00753474"/>
    <w:rsid w:val="007535AB"/>
    <w:rsid w:val="0075362A"/>
    <w:rsid w:val="007538E9"/>
    <w:rsid w:val="007539BC"/>
    <w:rsid w:val="00753C4E"/>
    <w:rsid w:val="0075407F"/>
    <w:rsid w:val="00754143"/>
    <w:rsid w:val="007542F4"/>
    <w:rsid w:val="00754301"/>
    <w:rsid w:val="007544A7"/>
    <w:rsid w:val="00754634"/>
    <w:rsid w:val="007546C9"/>
    <w:rsid w:val="00754711"/>
    <w:rsid w:val="0075484F"/>
    <w:rsid w:val="00754879"/>
    <w:rsid w:val="00754897"/>
    <w:rsid w:val="0075490E"/>
    <w:rsid w:val="00754910"/>
    <w:rsid w:val="00754912"/>
    <w:rsid w:val="00754963"/>
    <w:rsid w:val="00754A05"/>
    <w:rsid w:val="00754C33"/>
    <w:rsid w:val="00754D69"/>
    <w:rsid w:val="00754FE1"/>
    <w:rsid w:val="00755163"/>
    <w:rsid w:val="007553B5"/>
    <w:rsid w:val="007554C5"/>
    <w:rsid w:val="007556E7"/>
    <w:rsid w:val="00755B84"/>
    <w:rsid w:val="00755BC0"/>
    <w:rsid w:val="00755BE7"/>
    <w:rsid w:val="00755C1B"/>
    <w:rsid w:val="00755CAF"/>
    <w:rsid w:val="00755FAB"/>
    <w:rsid w:val="00756028"/>
    <w:rsid w:val="007560EE"/>
    <w:rsid w:val="0075635F"/>
    <w:rsid w:val="00756614"/>
    <w:rsid w:val="007568EC"/>
    <w:rsid w:val="007569FA"/>
    <w:rsid w:val="00756B42"/>
    <w:rsid w:val="00756C31"/>
    <w:rsid w:val="00756C3D"/>
    <w:rsid w:val="00756CBA"/>
    <w:rsid w:val="00756D2C"/>
    <w:rsid w:val="00756D5E"/>
    <w:rsid w:val="00756D9C"/>
    <w:rsid w:val="00756F77"/>
    <w:rsid w:val="00756FAF"/>
    <w:rsid w:val="00757396"/>
    <w:rsid w:val="00757470"/>
    <w:rsid w:val="00757650"/>
    <w:rsid w:val="00757886"/>
    <w:rsid w:val="007578D4"/>
    <w:rsid w:val="0075790E"/>
    <w:rsid w:val="00757CB8"/>
    <w:rsid w:val="00757D55"/>
    <w:rsid w:val="00757F1C"/>
    <w:rsid w:val="00757F7F"/>
    <w:rsid w:val="0076014A"/>
    <w:rsid w:val="007601E4"/>
    <w:rsid w:val="007602C5"/>
    <w:rsid w:val="00760458"/>
    <w:rsid w:val="00760478"/>
    <w:rsid w:val="007605D5"/>
    <w:rsid w:val="00760702"/>
    <w:rsid w:val="00760756"/>
    <w:rsid w:val="0076092E"/>
    <w:rsid w:val="007609D4"/>
    <w:rsid w:val="00760A9B"/>
    <w:rsid w:val="00760D3D"/>
    <w:rsid w:val="00760D5C"/>
    <w:rsid w:val="00760DC8"/>
    <w:rsid w:val="00760F31"/>
    <w:rsid w:val="007610EE"/>
    <w:rsid w:val="007614E2"/>
    <w:rsid w:val="0076151B"/>
    <w:rsid w:val="00761549"/>
    <w:rsid w:val="007618C8"/>
    <w:rsid w:val="007619D8"/>
    <w:rsid w:val="00761A80"/>
    <w:rsid w:val="00761AAD"/>
    <w:rsid w:val="00761DA0"/>
    <w:rsid w:val="00761FB5"/>
    <w:rsid w:val="0076201F"/>
    <w:rsid w:val="007620B8"/>
    <w:rsid w:val="007621C7"/>
    <w:rsid w:val="007621F7"/>
    <w:rsid w:val="00762253"/>
    <w:rsid w:val="007622D5"/>
    <w:rsid w:val="00762480"/>
    <w:rsid w:val="007626E6"/>
    <w:rsid w:val="007627D0"/>
    <w:rsid w:val="007628B8"/>
    <w:rsid w:val="0076292A"/>
    <w:rsid w:val="007629AF"/>
    <w:rsid w:val="00762A0B"/>
    <w:rsid w:val="00762B08"/>
    <w:rsid w:val="00762F7A"/>
    <w:rsid w:val="00763013"/>
    <w:rsid w:val="00763185"/>
    <w:rsid w:val="00763418"/>
    <w:rsid w:val="0076350A"/>
    <w:rsid w:val="0076354E"/>
    <w:rsid w:val="0076360A"/>
    <w:rsid w:val="007636F0"/>
    <w:rsid w:val="00763896"/>
    <w:rsid w:val="007638A9"/>
    <w:rsid w:val="007639A0"/>
    <w:rsid w:val="00763B6E"/>
    <w:rsid w:val="00763D4B"/>
    <w:rsid w:val="00763E1B"/>
    <w:rsid w:val="00763F10"/>
    <w:rsid w:val="00763F99"/>
    <w:rsid w:val="00763FB1"/>
    <w:rsid w:val="007640DF"/>
    <w:rsid w:val="00764187"/>
    <w:rsid w:val="0076422D"/>
    <w:rsid w:val="007642CE"/>
    <w:rsid w:val="007644EF"/>
    <w:rsid w:val="00764813"/>
    <w:rsid w:val="00764B3B"/>
    <w:rsid w:val="00764B59"/>
    <w:rsid w:val="00764CAF"/>
    <w:rsid w:val="00764FF4"/>
    <w:rsid w:val="007650BD"/>
    <w:rsid w:val="007651C2"/>
    <w:rsid w:val="00765355"/>
    <w:rsid w:val="00765409"/>
    <w:rsid w:val="00765514"/>
    <w:rsid w:val="00765519"/>
    <w:rsid w:val="0076562F"/>
    <w:rsid w:val="007656A0"/>
    <w:rsid w:val="007656E6"/>
    <w:rsid w:val="007657E8"/>
    <w:rsid w:val="00765923"/>
    <w:rsid w:val="00765A6D"/>
    <w:rsid w:val="00765AFF"/>
    <w:rsid w:val="00765BA6"/>
    <w:rsid w:val="00765C13"/>
    <w:rsid w:val="00765D7B"/>
    <w:rsid w:val="00765DA0"/>
    <w:rsid w:val="00765DFF"/>
    <w:rsid w:val="00765EAB"/>
    <w:rsid w:val="00765EEA"/>
    <w:rsid w:val="007660D2"/>
    <w:rsid w:val="0076623F"/>
    <w:rsid w:val="007662A6"/>
    <w:rsid w:val="0076665E"/>
    <w:rsid w:val="00766670"/>
    <w:rsid w:val="007667E6"/>
    <w:rsid w:val="0076680B"/>
    <w:rsid w:val="0076685F"/>
    <w:rsid w:val="0076697C"/>
    <w:rsid w:val="00766A32"/>
    <w:rsid w:val="00766A9F"/>
    <w:rsid w:val="00766B40"/>
    <w:rsid w:val="00766B4B"/>
    <w:rsid w:val="00766B61"/>
    <w:rsid w:val="00766C25"/>
    <w:rsid w:val="00766EE5"/>
    <w:rsid w:val="00767073"/>
    <w:rsid w:val="00767081"/>
    <w:rsid w:val="00767124"/>
    <w:rsid w:val="007671FC"/>
    <w:rsid w:val="00767212"/>
    <w:rsid w:val="00767397"/>
    <w:rsid w:val="00767662"/>
    <w:rsid w:val="00767779"/>
    <w:rsid w:val="007678B8"/>
    <w:rsid w:val="007679FC"/>
    <w:rsid w:val="00767E94"/>
    <w:rsid w:val="00767F8D"/>
    <w:rsid w:val="0077006F"/>
    <w:rsid w:val="00770119"/>
    <w:rsid w:val="0077013B"/>
    <w:rsid w:val="0077018E"/>
    <w:rsid w:val="00770563"/>
    <w:rsid w:val="007705C0"/>
    <w:rsid w:val="00770769"/>
    <w:rsid w:val="00770892"/>
    <w:rsid w:val="00770A1E"/>
    <w:rsid w:val="00770AB4"/>
    <w:rsid w:val="00770AB9"/>
    <w:rsid w:val="00770CD7"/>
    <w:rsid w:val="00770DF2"/>
    <w:rsid w:val="00770EB7"/>
    <w:rsid w:val="00771242"/>
    <w:rsid w:val="00771358"/>
    <w:rsid w:val="00771407"/>
    <w:rsid w:val="0077146C"/>
    <w:rsid w:val="0077148A"/>
    <w:rsid w:val="00771734"/>
    <w:rsid w:val="0077195D"/>
    <w:rsid w:val="0077197F"/>
    <w:rsid w:val="007719E7"/>
    <w:rsid w:val="007719EF"/>
    <w:rsid w:val="00771B00"/>
    <w:rsid w:val="00771B07"/>
    <w:rsid w:val="00771CC0"/>
    <w:rsid w:val="00771D48"/>
    <w:rsid w:val="00772014"/>
    <w:rsid w:val="007723E4"/>
    <w:rsid w:val="007725BD"/>
    <w:rsid w:val="0077267A"/>
    <w:rsid w:val="00772766"/>
    <w:rsid w:val="00772AA6"/>
    <w:rsid w:val="00772BFD"/>
    <w:rsid w:val="00772E53"/>
    <w:rsid w:val="00772E7C"/>
    <w:rsid w:val="00772EB1"/>
    <w:rsid w:val="00773068"/>
    <w:rsid w:val="00773290"/>
    <w:rsid w:val="007733D0"/>
    <w:rsid w:val="007734B6"/>
    <w:rsid w:val="007735DF"/>
    <w:rsid w:val="00773602"/>
    <w:rsid w:val="007738FE"/>
    <w:rsid w:val="00773E39"/>
    <w:rsid w:val="00773E78"/>
    <w:rsid w:val="00773EAC"/>
    <w:rsid w:val="00773F2D"/>
    <w:rsid w:val="00774064"/>
    <w:rsid w:val="007742A9"/>
    <w:rsid w:val="0077440B"/>
    <w:rsid w:val="00774550"/>
    <w:rsid w:val="00774551"/>
    <w:rsid w:val="00774555"/>
    <w:rsid w:val="00774578"/>
    <w:rsid w:val="00774773"/>
    <w:rsid w:val="00774A3B"/>
    <w:rsid w:val="00774C91"/>
    <w:rsid w:val="00774CA2"/>
    <w:rsid w:val="00774DD2"/>
    <w:rsid w:val="00774E39"/>
    <w:rsid w:val="00775088"/>
    <w:rsid w:val="00775089"/>
    <w:rsid w:val="00775185"/>
    <w:rsid w:val="00775284"/>
    <w:rsid w:val="007754CB"/>
    <w:rsid w:val="00775624"/>
    <w:rsid w:val="00775777"/>
    <w:rsid w:val="0077586E"/>
    <w:rsid w:val="00775A59"/>
    <w:rsid w:val="00775D78"/>
    <w:rsid w:val="00775E30"/>
    <w:rsid w:val="00775E3B"/>
    <w:rsid w:val="00775F56"/>
    <w:rsid w:val="00776104"/>
    <w:rsid w:val="007761CE"/>
    <w:rsid w:val="00776267"/>
    <w:rsid w:val="00776278"/>
    <w:rsid w:val="007762EB"/>
    <w:rsid w:val="00776464"/>
    <w:rsid w:val="00776539"/>
    <w:rsid w:val="00776977"/>
    <w:rsid w:val="007769F8"/>
    <w:rsid w:val="00776C2C"/>
    <w:rsid w:val="00776CFF"/>
    <w:rsid w:val="00776DF5"/>
    <w:rsid w:val="00776E08"/>
    <w:rsid w:val="00776EA6"/>
    <w:rsid w:val="00776F71"/>
    <w:rsid w:val="0077700E"/>
    <w:rsid w:val="007771CF"/>
    <w:rsid w:val="007771E2"/>
    <w:rsid w:val="007773B7"/>
    <w:rsid w:val="007773D3"/>
    <w:rsid w:val="00777454"/>
    <w:rsid w:val="0077748D"/>
    <w:rsid w:val="00777524"/>
    <w:rsid w:val="00777528"/>
    <w:rsid w:val="007778C4"/>
    <w:rsid w:val="00777973"/>
    <w:rsid w:val="00777FCF"/>
    <w:rsid w:val="007801C6"/>
    <w:rsid w:val="00780217"/>
    <w:rsid w:val="00780240"/>
    <w:rsid w:val="007803D7"/>
    <w:rsid w:val="0078069D"/>
    <w:rsid w:val="007807DC"/>
    <w:rsid w:val="00780A21"/>
    <w:rsid w:val="00780B1C"/>
    <w:rsid w:val="00780BFC"/>
    <w:rsid w:val="00780C65"/>
    <w:rsid w:val="00780D6B"/>
    <w:rsid w:val="00780DA1"/>
    <w:rsid w:val="00780DBB"/>
    <w:rsid w:val="0078107F"/>
    <w:rsid w:val="007810AC"/>
    <w:rsid w:val="00781275"/>
    <w:rsid w:val="00781A1C"/>
    <w:rsid w:val="00781CD9"/>
    <w:rsid w:val="00781D4E"/>
    <w:rsid w:val="00781D6E"/>
    <w:rsid w:val="00781F10"/>
    <w:rsid w:val="00781FCE"/>
    <w:rsid w:val="00781FFE"/>
    <w:rsid w:val="0078209F"/>
    <w:rsid w:val="007820AA"/>
    <w:rsid w:val="007821D0"/>
    <w:rsid w:val="00782276"/>
    <w:rsid w:val="007822C0"/>
    <w:rsid w:val="007822FE"/>
    <w:rsid w:val="00782387"/>
    <w:rsid w:val="00782425"/>
    <w:rsid w:val="007825ED"/>
    <w:rsid w:val="00782639"/>
    <w:rsid w:val="00782757"/>
    <w:rsid w:val="00782764"/>
    <w:rsid w:val="00782783"/>
    <w:rsid w:val="00782843"/>
    <w:rsid w:val="00782961"/>
    <w:rsid w:val="00782B96"/>
    <w:rsid w:val="00782C88"/>
    <w:rsid w:val="00782D84"/>
    <w:rsid w:val="00782DE5"/>
    <w:rsid w:val="00782EBA"/>
    <w:rsid w:val="00782ECF"/>
    <w:rsid w:val="00782FDE"/>
    <w:rsid w:val="007830ED"/>
    <w:rsid w:val="0078310B"/>
    <w:rsid w:val="00783128"/>
    <w:rsid w:val="00783155"/>
    <w:rsid w:val="00783448"/>
    <w:rsid w:val="00783499"/>
    <w:rsid w:val="0078369F"/>
    <w:rsid w:val="007838CB"/>
    <w:rsid w:val="00783A34"/>
    <w:rsid w:val="00783A67"/>
    <w:rsid w:val="00783AC4"/>
    <w:rsid w:val="00783AD1"/>
    <w:rsid w:val="00783AE5"/>
    <w:rsid w:val="00783B1C"/>
    <w:rsid w:val="00783C8A"/>
    <w:rsid w:val="00783CA1"/>
    <w:rsid w:val="00783EC0"/>
    <w:rsid w:val="007841F2"/>
    <w:rsid w:val="007842D3"/>
    <w:rsid w:val="007845DE"/>
    <w:rsid w:val="0078461E"/>
    <w:rsid w:val="007846D7"/>
    <w:rsid w:val="00784986"/>
    <w:rsid w:val="0078498C"/>
    <w:rsid w:val="007849C3"/>
    <w:rsid w:val="007849F1"/>
    <w:rsid w:val="00784A68"/>
    <w:rsid w:val="00784C70"/>
    <w:rsid w:val="0078524D"/>
    <w:rsid w:val="007852B9"/>
    <w:rsid w:val="00785312"/>
    <w:rsid w:val="0078537E"/>
    <w:rsid w:val="0078549B"/>
    <w:rsid w:val="00785508"/>
    <w:rsid w:val="007857C2"/>
    <w:rsid w:val="00785841"/>
    <w:rsid w:val="0078586F"/>
    <w:rsid w:val="0078596E"/>
    <w:rsid w:val="00785AFC"/>
    <w:rsid w:val="00785EB1"/>
    <w:rsid w:val="00786019"/>
    <w:rsid w:val="00786278"/>
    <w:rsid w:val="0078629F"/>
    <w:rsid w:val="007863E9"/>
    <w:rsid w:val="00786598"/>
    <w:rsid w:val="00786681"/>
    <w:rsid w:val="007866CD"/>
    <w:rsid w:val="00786A19"/>
    <w:rsid w:val="00786B77"/>
    <w:rsid w:val="00786CC9"/>
    <w:rsid w:val="00786CD5"/>
    <w:rsid w:val="00786E74"/>
    <w:rsid w:val="00786EF4"/>
    <w:rsid w:val="00786F1A"/>
    <w:rsid w:val="00786FE5"/>
    <w:rsid w:val="00787046"/>
    <w:rsid w:val="007871AE"/>
    <w:rsid w:val="007871ED"/>
    <w:rsid w:val="0078723B"/>
    <w:rsid w:val="00787277"/>
    <w:rsid w:val="007873C1"/>
    <w:rsid w:val="00787705"/>
    <w:rsid w:val="00787884"/>
    <w:rsid w:val="0078789D"/>
    <w:rsid w:val="00787BF5"/>
    <w:rsid w:val="00787C91"/>
    <w:rsid w:val="00787E05"/>
    <w:rsid w:val="00787E24"/>
    <w:rsid w:val="00787E41"/>
    <w:rsid w:val="00790020"/>
    <w:rsid w:val="007900F4"/>
    <w:rsid w:val="00790234"/>
    <w:rsid w:val="007903A8"/>
    <w:rsid w:val="007903E8"/>
    <w:rsid w:val="00790528"/>
    <w:rsid w:val="007905A3"/>
    <w:rsid w:val="00790868"/>
    <w:rsid w:val="007909CC"/>
    <w:rsid w:val="00790B94"/>
    <w:rsid w:val="00790BF6"/>
    <w:rsid w:val="00790CAA"/>
    <w:rsid w:val="00790D6A"/>
    <w:rsid w:val="00790F08"/>
    <w:rsid w:val="00791169"/>
    <w:rsid w:val="00791241"/>
    <w:rsid w:val="00791338"/>
    <w:rsid w:val="007913D4"/>
    <w:rsid w:val="00791461"/>
    <w:rsid w:val="00791502"/>
    <w:rsid w:val="0079153F"/>
    <w:rsid w:val="00791A1B"/>
    <w:rsid w:val="00791B40"/>
    <w:rsid w:val="00791B54"/>
    <w:rsid w:val="00791B84"/>
    <w:rsid w:val="00791E2D"/>
    <w:rsid w:val="00791F3E"/>
    <w:rsid w:val="00791FD3"/>
    <w:rsid w:val="00792061"/>
    <w:rsid w:val="0079231F"/>
    <w:rsid w:val="007924BC"/>
    <w:rsid w:val="00792600"/>
    <w:rsid w:val="00792625"/>
    <w:rsid w:val="007926A7"/>
    <w:rsid w:val="00792798"/>
    <w:rsid w:val="00792996"/>
    <w:rsid w:val="007929BB"/>
    <w:rsid w:val="00792BFE"/>
    <w:rsid w:val="00792E0A"/>
    <w:rsid w:val="00792EEC"/>
    <w:rsid w:val="0079317C"/>
    <w:rsid w:val="0079318C"/>
    <w:rsid w:val="007932B9"/>
    <w:rsid w:val="00793570"/>
    <w:rsid w:val="0079376B"/>
    <w:rsid w:val="0079383B"/>
    <w:rsid w:val="00793A52"/>
    <w:rsid w:val="00793BFA"/>
    <w:rsid w:val="00793DA5"/>
    <w:rsid w:val="00793E2D"/>
    <w:rsid w:val="00793E9A"/>
    <w:rsid w:val="007942E6"/>
    <w:rsid w:val="007944AE"/>
    <w:rsid w:val="0079471B"/>
    <w:rsid w:val="007949ED"/>
    <w:rsid w:val="00794A1C"/>
    <w:rsid w:val="00794AE6"/>
    <w:rsid w:val="00794EE5"/>
    <w:rsid w:val="0079503C"/>
    <w:rsid w:val="0079516A"/>
    <w:rsid w:val="00795201"/>
    <w:rsid w:val="0079523B"/>
    <w:rsid w:val="00795273"/>
    <w:rsid w:val="00795538"/>
    <w:rsid w:val="007955EC"/>
    <w:rsid w:val="007955F2"/>
    <w:rsid w:val="00795650"/>
    <w:rsid w:val="00795805"/>
    <w:rsid w:val="00795866"/>
    <w:rsid w:val="007958CA"/>
    <w:rsid w:val="00795A00"/>
    <w:rsid w:val="00795AD8"/>
    <w:rsid w:val="00795B74"/>
    <w:rsid w:val="00795CB1"/>
    <w:rsid w:val="00795F74"/>
    <w:rsid w:val="0079609B"/>
    <w:rsid w:val="00796101"/>
    <w:rsid w:val="0079612D"/>
    <w:rsid w:val="00796144"/>
    <w:rsid w:val="0079627D"/>
    <w:rsid w:val="007963C7"/>
    <w:rsid w:val="00796461"/>
    <w:rsid w:val="00796587"/>
    <w:rsid w:val="0079673F"/>
    <w:rsid w:val="007967B9"/>
    <w:rsid w:val="00796817"/>
    <w:rsid w:val="00796983"/>
    <w:rsid w:val="00796A1C"/>
    <w:rsid w:val="00796A4E"/>
    <w:rsid w:val="00796A5F"/>
    <w:rsid w:val="00796BC3"/>
    <w:rsid w:val="00796F48"/>
    <w:rsid w:val="00796F9C"/>
    <w:rsid w:val="0079705F"/>
    <w:rsid w:val="00797085"/>
    <w:rsid w:val="0079708C"/>
    <w:rsid w:val="0079742E"/>
    <w:rsid w:val="007974D9"/>
    <w:rsid w:val="00797575"/>
    <w:rsid w:val="007975AC"/>
    <w:rsid w:val="0079764B"/>
    <w:rsid w:val="007976F6"/>
    <w:rsid w:val="00797743"/>
    <w:rsid w:val="00797BB5"/>
    <w:rsid w:val="00797CCE"/>
    <w:rsid w:val="00797DDB"/>
    <w:rsid w:val="00797E6D"/>
    <w:rsid w:val="00797E7F"/>
    <w:rsid w:val="00797ED2"/>
    <w:rsid w:val="00797F71"/>
    <w:rsid w:val="007A02BA"/>
    <w:rsid w:val="007A03A3"/>
    <w:rsid w:val="007A04F0"/>
    <w:rsid w:val="007A0525"/>
    <w:rsid w:val="007A0595"/>
    <w:rsid w:val="007A0900"/>
    <w:rsid w:val="007A09A2"/>
    <w:rsid w:val="007A09C9"/>
    <w:rsid w:val="007A0A50"/>
    <w:rsid w:val="007A0A8C"/>
    <w:rsid w:val="007A0AF1"/>
    <w:rsid w:val="007A0B34"/>
    <w:rsid w:val="007A0B6E"/>
    <w:rsid w:val="007A0BA5"/>
    <w:rsid w:val="007A0C8F"/>
    <w:rsid w:val="007A0DF8"/>
    <w:rsid w:val="007A0F5A"/>
    <w:rsid w:val="007A1068"/>
    <w:rsid w:val="007A111A"/>
    <w:rsid w:val="007A1438"/>
    <w:rsid w:val="007A16AF"/>
    <w:rsid w:val="007A16FA"/>
    <w:rsid w:val="007A17D0"/>
    <w:rsid w:val="007A181E"/>
    <w:rsid w:val="007A1871"/>
    <w:rsid w:val="007A1A1A"/>
    <w:rsid w:val="007A1AB9"/>
    <w:rsid w:val="007A1B1B"/>
    <w:rsid w:val="007A1C0A"/>
    <w:rsid w:val="007A1C39"/>
    <w:rsid w:val="007A20D8"/>
    <w:rsid w:val="007A28D0"/>
    <w:rsid w:val="007A2955"/>
    <w:rsid w:val="007A2A09"/>
    <w:rsid w:val="007A2AA0"/>
    <w:rsid w:val="007A2B78"/>
    <w:rsid w:val="007A2DBC"/>
    <w:rsid w:val="007A305B"/>
    <w:rsid w:val="007A31D2"/>
    <w:rsid w:val="007A364B"/>
    <w:rsid w:val="007A375C"/>
    <w:rsid w:val="007A37F9"/>
    <w:rsid w:val="007A3834"/>
    <w:rsid w:val="007A3A3D"/>
    <w:rsid w:val="007A3BBE"/>
    <w:rsid w:val="007A3BDA"/>
    <w:rsid w:val="007A3BEC"/>
    <w:rsid w:val="007A3DA5"/>
    <w:rsid w:val="007A3E6E"/>
    <w:rsid w:val="007A3F84"/>
    <w:rsid w:val="007A3FC4"/>
    <w:rsid w:val="007A40DB"/>
    <w:rsid w:val="007A412A"/>
    <w:rsid w:val="007A41B3"/>
    <w:rsid w:val="007A421B"/>
    <w:rsid w:val="007A42B4"/>
    <w:rsid w:val="007A43DC"/>
    <w:rsid w:val="007A448A"/>
    <w:rsid w:val="007A44AC"/>
    <w:rsid w:val="007A44C5"/>
    <w:rsid w:val="007A47F9"/>
    <w:rsid w:val="007A48FF"/>
    <w:rsid w:val="007A49A1"/>
    <w:rsid w:val="007A49AB"/>
    <w:rsid w:val="007A4CCD"/>
    <w:rsid w:val="007A4D15"/>
    <w:rsid w:val="007A5131"/>
    <w:rsid w:val="007A5160"/>
    <w:rsid w:val="007A549E"/>
    <w:rsid w:val="007A5550"/>
    <w:rsid w:val="007A55D7"/>
    <w:rsid w:val="007A55E8"/>
    <w:rsid w:val="007A55FE"/>
    <w:rsid w:val="007A56BE"/>
    <w:rsid w:val="007A5743"/>
    <w:rsid w:val="007A58CA"/>
    <w:rsid w:val="007A59D3"/>
    <w:rsid w:val="007A59FA"/>
    <w:rsid w:val="007A5BBB"/>
    <w:rsid w:val="007A5BD3"/>
    <w:rsid w:val="007A5C07"/>
    <w:rsid w:val="007A5C33"/>
    <w:rsid w:val="007A5D02"/>
    <w:rsid w:val="007A5D88"/>
    <w:rsid w:val="007A5E61"/>
    <w:rsid w:val="007A5F56"/>
    <w:rsid w:val="007A63AC"/>
    <w:rsid w:val="007A63F3"/>
    <w:rsid w:val="007A65AF"/>
    <w:rsid w:val="007A65FC"/>
    <w:rsid w:val="007A666C"/>
    <w:rsid w:val="007A6A61"/>
    <w:rsid w:val="007A6B06"/>
    <w:rsid w:val="007A6BAF"/>
    <w:rsid w:val="007A6C14"/>
    <w:rsid w:val="007A6C56"/>
    <w:rsid w:val="007A6F05"/>
    <w:rsid w:val="007A6F30"/>
    <w:rsid w:val="007A6F79"/>
    <w:rsid w:val="007A7408"/>
    <w:rsid w:val="007A7495"/>
    <w:rsid w:val="007A74CC"/>
    <w:rsid w:val="007A77C7"/>
    <w:rsid w:val="007A78F5"/>
    <w:rsid w:val="007A7973"/>
    <w:rsid w:val="007A7A89"/>
    <w:rsid w:val="007A7AD3"/>
    <w:rsid w:val="007A7B9C"/>
    <w:rsid w:val="007A7BEA"/>
    <w:rsid w:val="007A7CA5"/>
    <w:rsid w:val="007A7D31"/>
    <w:rsid w:val="007A7FB3"/>
    <w:rsid w:val="007A7FBB"/>
    <w:rsid w:val="007B01FE"/>
    <w:rsid w:val="007B0213"/>
    <w:rsid w:val="007B03E2"/>
    <w:rsid w:val="007B0722"/>
    <w:rsid w:val="007B0CB5"/>
    <w:rsid w:val="007B0D5E"/>
    <w:rsid w:val="007B1084"/>
    <w:rsid w:val="007B10D7"/>
    <w:rsid w:val="007B1100"/>
    <w:rsid w:val="007B1110"/>
    <w:rsid w:val="007B1151"/>
    <w:rsid w:val="007B1190"/>
    <w:rsid w:val="007B1413"/>
    <w:rsid w:val="007B1BBF"/>
    <w:rsid w:val="007B1BEC"/>
    <w:rsid w:val="007B1C6E"/>
    <w:rsid w:val="007B1D38"/>
    <w:rsid w:val="007B20A2"/>
    <w:rsid w:val="007B22EC"/>
    <w:rsid w:val="007B22F0"/>
    <w:rsid w:val="007B24F4"/>
    <w:rsid w:val="007B2602"/>
    <w:rsid w:val="007B266D"/>
    <w:rsid w:val="007B2A51"/>
    <w:rsid w:val="007B2B06"/>
    <w:rsid w:val="007B2E97"/>
    <w:rsid w:val="007B2F00"/>
    <w:rsid w:val="007B2FA4"/>
    <w:rsid w:val="007B3085"/>
    <w:rsid w:val="007B30AC"/>
    <w:rsid w:val="007B32C0"/>
    <w:rsid w:val="007B32DE"/>
    <w:rsid w:val="007B3365"/>
    <w:rsid w:val="007B3435"/>
    <w:rsid w:val="007B3477"/>
    <w:rsid w:val="007B365F"/>
    <w:rsid w:val="007B3718"/>
    <w:rsid w:val="007B3A38"/>
    <w:rsid w:val="007B3D49"/>
    <w:rsid w:val="007B4180"/>
    <w:rsid w:val="007B423E"/>
    <w:rsid w:val="007B449C"/>
    <w:rsid w:val="007B4762"/>
    <w:rsid w:val="007B4774"/>
    <w:rsid w:val="007B49A2"/>
    <w:rsid w:val="007B4A9C"/>
    <w:rsid w:val="007B4C3C"/>
    <w:rsid w:val="007B4C82"/>
    <w:rsid w:val="007B4FEF"/>
    <w:rsid w:val="007B51D4"/>
    <w:rsid w:val="007B52E5"/>
    <w:rsid w:val="007B53C8"/>
    <w:rsid w:val="007B5409"/>
    <w:rsid w:val="007B56C9"/>
    <w:rsid w:val="007B5743"/>
    <w:rsid w:val="007B57ED"/>
    <w:rsid w:val="007B5A3B"/>
    <w:rsid w:val="007B5B05"/>
    <w:rsid w:val="007B5C41"/>
    <w:rsid w:val="007B5F2B"/>
    <w:rsid w:val="007B6000"/>
    <w:rsid w:val="007B6085"/>
    <w:rsid w:val="007B60D8"/>
    <w:rsid w:val="007B6400"/>
    <w:rsid w:val="007B6558"/>
    <w:rsid w:val="007B66DD"/>
    <w:rsid w:val="007B66E0"/>
    <w:rsid w:val="007B6823"/>
    <w:rsid w:val="007B68EF"/>
    <w:rsid w:val="007B6A0B"/>
    <w:rsid w:val="007B6BEB"/>
    <w:rsid w:val="007B6C7C"/>
    <w:rsid w:val="007B6D7C"/>
    <w:rsid w:val="007B6E70"/>
    <w:rsid w:val="007B6E7E"/>
    <w:rsid w:val="007B6FB6"/>
    <w:rsid w:val="007B7063"/>
    <w:rsid w:val="007B732C"/>
    <w:rsid w:val="007B74A1"/>
    <w:rsid w:val="007B76B4"/>
    <w:rsid w:val="007B771B"/>
    <w:rsid w:val="007B7948"/>
    <w:rsid w:val="007B7ADB"/>
    <w:rsid w:val="007B7B89"/>
    <w:rsid w:val="007B7C33"/>
    <w:rsid w:val="007B7D11"/>
    <w:rsid w:val="007B7ECC"/>
    <w:rsid w:val="007C0187"/>
    <w:rsid w:val="007C020B"/>
    <w:rsid w:val="007C0214"/>
    <w:rsid w:val="007C02E7"/>
    <w:rsid w:val="007C0391"/>
    <w:rsid w:val="007C040A"/>
    <w:rsid w:val="007C04BF"/>
    <w:rsid w:val="007C051F"/>
    <w:rsid w:val="007C05AF"/>
    <w:rsid w:val="007C0659"/>
    <w:rsid w:val="007C0767"/>
    <w:rsid w:val="007C076E"/>
    <w:rsid w:val="007C0792"/>
    <w:rsid w:val="007C0855"/>
    <w:rsid w:val="007C0877"/>
    <w:rsid w:val="007C0DD0"/>
    <w:rsid w:val="007C0F2D"/>
    <w:rsid w:val="007C0F3D"/>
    <w:rsid w:val="007C0FCF"/>
    <w:rsid w:val="007C10C0"/>
    <w:rsid w:val="007C111E"/>
    <w:rsid w:val="007C112C"/>
    <w:rsid w:val="007C118C"/>
    <w:rsid w:val="007C1399"/>
    <w:rsid w:val="007C1414"/>
    <w:rsid w:val="007C1525"/>
    <w:rsid w:val="007C166D"/>
    <w:rsid w:val="007C17D2"/>
    <w:rsid w:val="007C1A62"/>
    <w:rsid w:val="007C1F1E"/>
    <w:rsid w:val="007C200A"/>
    <w:rsid w:val="007C20DB"/>
    <w:rsid w:val="007C21C6"/>
    <w:rsid w:val="007C2336"/>
    <w:rsid w:val="007C25D1"/>
    <w:rsid w:val="007C281E"/>
    <w:rsid w:val="007C2908"/>
    <w:rsid w:val="007C2912"/>
    <w:rsid w:val="007C29C6"/>
    <w:rsid w:val="007C2A32"/>
    <w:rsid w:val="007C2AB9"/>
    <w:rsid w:val="007C2B97"/>
    <w:rsid w:val="007C2C07"/>
    <w:rsid w:val="007C2CD4"/>
    <w:rsid w:val="007C2D34"/>
    <w:rsid w:val="007C2EE8"/>
    <w:rsid w:val="007C3113"/>
    <w:rsid w:val="007C316A"/>
    <w:rsid w:val="007C3252"/>
    <w:rsid w:val="007C3258"/>
    <w:rsid w:val="007C3659"/>
    <w:rsid w:val="007C3768"/>
    <w:rsid w:val="007C384F"/>
    <w:rsid w:val="007C3A07"/>
    <w:rsid w:val="007C3AD1"/>
    <w:rsid w:val="007C3ADC"/>
    <w:rsid w:val="007C3AE3"/>
    <w:rsid w:val="007C3B0F"/>
    <w:rsid w:val="007C3B6D"/>
    <w:rsid w:val="007C3C0B"/>
    <w:rsid w:val="007C3D3B"/>
    <w:rsid w:val="007C3F3C"/>
    <w:rsid w:val="007C4193"/>
    <w:rsid w:val="007C4219"/>
    <w:rsid w:val="007C42E3"/>
    <w:rsid w:val="007C4354"/>
    <w:rsid w:val="007C4655"/>
    <w:rsid w:val="007C465C"/>
    <w:rsid w:val="007C46A0"/>
    <w:rsid w:val="007C47A1"/>
    <w:rsid w:val="007C4823"/>
    <w:rsid w:val="007C4861"/>
    <w:rsid w:val="007C48FF"/>
    <w:rsid w:val="007C4C8F"/>
    <w:rsid w:val="007C4EF5"/>
    <w:rsid w:val="007C50D6"/>
    <w:rsid w:val="007C513C"/>
    <w:rsid w:val="007C5199"/>
    <w:rsid w:val="007C52B8"/>
    <w:rsid w:val="007C541D"/>
    <w:rsid w:val="007C55E8"/>
    <w:rsid w:val="007C5A80"/>
    <w:rsid w:val="007C5BFC"/>
    <w:rsid w:val="007C5DF7"/>
    <w:rsid w:val="007C5F8C"/>
    <w:rsid w:val="007C6217"/>
    <w:rsid w:val="007C63B3"/>
    <w:rsid w:val="007C642A"/>
    <w:rsid w:val="007C642D"/>
    <w:rsid w:val="007C67AF"/>
    <w:rsid w:val="007C6AA0"/>
    <w:rsid w:val="007C6AA9"/>
    <w:rsid w:val="007C6C27"/>
    <w:rsid w:val="007C6E96"/>
    <w:rsid w:val="007C6F5B"/>
    <w:rsid w:val="007C7085"/>
    <w:rsid w:val="007C71CF"/>
    <w:rsid w:val="007C7A86"/>
    <w:rsid w:val="007C7AAF"/>
    <w:rsid w:val="007C7B9B"/>
    <w:rsid w:val="007C7BD6"/>
    <w:rsid w:val="007C7C00"/>
    <w:rsid w:val="007C7C36"/>
    <w:rsid w:val="007C7C51"/>
    <w:rsid w:val="007C7C72"/>
    <w:rsid w:val="007C7E20"/>
    <w:rsid w:val="007C7EB1"/>
    <w:rsid w:val="007D022B"/>
    <w:rsid w:val="007D0514"/>
    <w:rsid w:val="007D0642"/>
    <w:rsid w:val="007D071A"/>
    <w:rsid w:val="007D07A2"/>
    <w:rsid w:val="007D087A"/>
    <w:rsid w:val="007D0948"/>
    <w:rsid w:val="007D095D"/>
    <w:rsid w:val="007D09D8"/>
    <w:rsid w:val="007D0B08"/>
    <w:rsid w:val="007D0CB6"/>
    <w:rsid w:val="007D0E84"/>
    <w:rsid w:val="007D0EBC"/>
    <w:rsid w:val="007D0F6C"/>
    <w:rsid w:val="007D105A"/>
    <w:rsid w:val="007D1121"/>
    <w:rsid w:val="007D118B"/>
    <w:rsid w:val="007D1214"/>
    <w:rsid w:val="007D123B"/>
    <w:rsid w:val="007D1245"/>
    <w:rsid w:val="007D13D9"/>
    <w:rsid w:val="007D14E4"/>
    <w:rsid w:val="007D151B"/>
    <w:rsid w:val="007D1594"/>
    <w:rsid w:val="007D159A"/>
    <w:rsid w:val="007D1618"/>
    <w:rsid w:val="007D1670"/>
    <w:rsid w:val="007D1675"/>
    <w:rsid w:val="007D16A9"/>
    <w:rsid w:val="007D181B"/>
    <w:rsid w:val="007D186D"/>
    <w:rsid w:val="007D18CB"/>
    <w:rsid w:val="007D195B"/>
    <w:rsid w:val="007D19A8"/>
    <w:rsid w:val="007D1A6F"/>
    <w:rsid w:val="007D1E57"/>
    <w:rsid w:val="007D20C3"/>
    <w:rsid w:val="007D23E0"/>
    <w:rsid w:val="007D24AD"/>
    <w:rsid w:val="007D267F"/>
    <w:rsid w:val="007D284B"/>
    <w:rsid w:val="007D2B96"/>
    <w:rsid w:val="007D2C14"/>
    <w:rsid w:val="007D2D2B"/>
    <w:rsid w:val="007D2D65"/>
    <w:rsid w:val="007D2D98"/>
    <w:rsid w:val="007D30A5"/>
    <w:rsid w:val="007D3129"/>
    <w:rsid w:val="007D316F"/>
    <w:rsid w:val="007D3181"/>
    <w:rsid w:val="007D31BC"/>
    <w:rsid w:val="007D32FA"/>
    <w:rsid w:val="007D340F"/>
    <w:rsid w:val="007D3431"/>
    <w:rsid w:val="007D34E3"/>
    <w:rsid w:val="007D3639"/>
    <w:rsid w:val="007D365D"/>
    <w:rsid w:val="007D36BE"/>
    <w:rsid w:val="007D3972"/>
    <w:rsid w:val="007D3B7C"/>
    <w:rsid w:val="007D3EBF"/>
    <w:rsid w:val="007D3EFF"/>
    <w:rsid w:val="007D3F59"/>
    <w:rsid w:val="007D427C"/>
    <w:rsid w:val="007D42E7"/>
    <w:rsid w:val="007D433A"/>
    <w:rsid w:val="007D43F5"/>
    <w:rsid w:val="007D4419"/>
    <w:rsid w:val="007D4744"/>
    <w:rsid w:val="007D48C3"/>
    <w:rsid w:val="007D4C12"/>
    <w:rsid w:val="007D4CAE"/>
    <w:rsid w:val="007D4CE7"/>
    <w:rsid w:val="007D4D2F"/>
    <w:rsid w:val="007D4EF1"/>
    <w:rsid w:val="007D4F5C"/>
    <w:rsid w:val="007D5001"/>
    <w:rsid w:val="007D519F"/>
    <w:rsid w:val="007D54FB"/>
    <w:rsid w:val="007D5670"/>
    <w:rsid w:val="007D5956"/>
    <w:rsid w:val="007D59E8"/>
    <w:rsid w:val="007D5B3E"/>
    <w:rsid w:val="007D5BF2"/>
    <w:rsid w:val="007D5C30"/>
    <w:rsid w:val="007D5D85"/>
    <w:rsid w:val="007D5EFA"/>
    <w:rsid w:val="007D5FFB"/>
    <w:rsid w:val="007D6139"/>
    <w:rsid w:val="007D61E7"/>
    <w:rsid w:val="007D64AF"/>
    <w:rsid w:val="007D6714"/>
    <w:rsid w:val="007D6749"/>
    <w:rsid w:val="007D6789"/>
    <w:rsid w:val="007D67C8"/>
    <w:rsid w:val="007D680E"/>
    <w:rsid w:val="007D692B"/>
    <w:rsid w:val="007D69A9"/>
    <w:rsid w:val="007D6B45"/>
    <w:rsid w:val="007D6B5A"/>
    <w:rsid w:val="007D6C09"/>
    <w:rsid w:val="007D6DEF"/>
    <w:rsid w:val="007D6E37"/>
    <w:rsid w:val="007D6F97"/>
    <w:rsid w:val="007D6FB3"/>
    <w:rsid w:val="007D6FD6"/>
    <w:rsid w:val="007D73DF"/>
    <w:rsid w:val="007D7449"/>
    <w:rsid w:val="007D752A"/>
    <w:rsid w:val="007D759B"/>
    <w:rsid w:val="007D76E2"/>
    <w:rsid w:val="007D78DA"/>
    <w:rsid w:val="007D795C"/>
    <w:rsid w:val="007D79AE"/>
    <w:rsid w:val="007D79EF"/>
    <w:rsid w:val="007D7A7B"/>
    <w:rsid w:val="007D7BBF"/>
    <w:rsid w:val="007D7DB6"/>
    <w:rsid w:val="007E0071"/>
    <w:rsid w:val="007E00AE"/>
    <w:rsid w:val="007E00FA"/>
    <w:rsid w:val="007E0161"/>
    <w:rsid w:val="007E037B"/>
    <w:rsid w:val="007E04A9"/>
    <w:rsid w:val="007E062E"/>
    <w:rsid w:val="007E06B9"/>
    <w:rsid w:val="007E0A19"/>
    <w:rsid w:val="007E0A53"/>
    <w:rsid w:val="007E0CCF"/>
    <w:rsid w:val="007E0D0E"/>
    <w:rsid w:val="007E0D8F"/>
    <w:rsid w:val="007E102B"/>
    <w:rsid w:val="007E122A"/>
    <w:rsid w:val="007E12A3"/>
    <w:rsid w:val="007E130B"/>
    <w:rsid w:val="007E1526"/>
    <w:rsid w:val="007E1646"/>
    <w:rsid w:val="007E16A6"/>
    <w:rsid w:val="007E17CA"/>
    <w:rsid w:val="007E17E6"/>
    <w:rsid w:val="007E1934"/>
    <w:rsid w:val="007E1A6D"/>
    <w:rsid w:val="007E1B65"/>
    <w:rsid w:val="007E1D36"/>
    <w:rsid w:val="007E1F0B"/>
    <w:rsid w:val="007E2012"/>
    <w:rsid w:val="007E218F"/>
    <w:rsid w:val="007E23A7"/>
    <w:rsid w:val="007E2437"/>
    <w:rsid w:val="007E2443"/>
    <w:rsid w:val="007E256E"/>
    <w:rsid w:val="007E2699"/>
    <w:rsid w:val="007E26BD"/>
    <w:rsid w:val="007E284B"/>
    <w:rsid w:val="007E290C"/>
    <w:rsid w:val="007E2941"/>
    <w:rsid w:val="007E2A08"/>
    <w:rsid w:val="007E2AB1"/>
    <w:rsid w:val="007E2ACD"/>
    <w:rsid w:val="007E2CFD"/>
    <w:rsid w:val="007E2F4E"/>
    <w:rsid w:val="007E2FD8"/>
    <w:rsid w:val="007E30EB"/>
    <w:rsid w:val="007E30F2"/>
    <w:rsid w:val="007E329D"/>
    <w:rsid w:val="007E347B"/>
    <w:rsid w:val="007E35E0"/>
    <w:rsid w:val="007E3614"/>
    <w:rsid w:val="007E3659"/>
    <w:rsid w:val="007E37C0"/>
    <w:rsid w:val="007E38AC"/>
    <w:rsid w:val="007E3941"/>
    <w:rsid w:val="007E39C7"/>
    <w:rsid w:val="007E3B3A"/>
    <w:rsid w:val="007E3BD0"/>
    <w:rsid w:val="007E3D36"/>
    <w:rsid w:val="007E3E8A"/>
    <w:rsid w:val="007E4008"/>
    <w:rsid w:val="007E43E0"/>
    <w:rsid w:val="007E4562"/>
    <w:rsid w:val="007E45A4"/>
    <w:rsid w:val="007E461F"/>
    <w:rsid w:val="007E47B6"/>
    <w:rsid w:val="007E4836"/>
    <w:rsid w:val="007E4931"/>
    <w:rsid w:val="007E4948"/>
    <w:rsid w:val="007E4AC4"/>
    <w:rsid w:val="007E4B0B"/>
    <w:rsid w:val="007E4BAF"/>
    <w:rsid w:val="007E4E14"/>
    <w:rsid w:val="007E51B5"/>
    <w:rsid w:val="007E5209"/>
    <w:rsid w:val="007E540F"/>
    <w:rsid w:val="007E5882"/>
    <w:rsid w:val="007E5927"/>
    <w:rsid w:val="007E5D0C"/>
    <w:rsid w:val="007E5D27"/>
    <w:rsid w:val="007E5E1B"/>
    <w:rsid w:val="007E5F20"/>
    <w:rsid w:val="007E5FDC"/>
    <w:rsid w:val="007E5FEF"/>
    <w:rsid w:val="007E60E3"/>
    <w:rsid w:val="007E61EF"/>
    <w:rsid w:val="007E6257"/>
    <w:rsid w:val="007E6301"/>
    <w:rsid w:val="007E636B"/>
    <w:rsid w:val="007E663E"/>
    <w:rsid w:val="007E6863"/>
    <w:rsid w:val="007E6CD8"/>
    <w:rsid w:val="007E6D38"/>
    <w:rsid w:val="007E6EA6"/>
    <w:rsid w:val="007E6EF6"/>
    <w:rsid w:val="007E6FA3"/>
    <w:rsid w:val="007E70E2"/>
    <w:rsid w:val="007E70EC"/>
    <w:rsid w:val="007E7186"/>
    <w:rsid w:val="007E71E5"/>
    <w:rsid w:val="007E73A8"/>
    <w:rsid w:val="007E77C7"/>
    <w:rsid w:val="007E77D7"/>
    <w:rsid w:val="007E7842"/>
    <w:rsid w:val="007E7A24"/>
    <w:rsid w:val="007E7AF6"/>
    <w:rsid w:val="007E7BC5"/>
    <w:rsid w:val="007E7BC9"/>
    <w:rsid w:val="007E7C11"/>
    <w:rsid w:val="007E7DE2"/>
    <w:rsid w:val="007E7E58"/>
    <w:rsid w:val="007F01C8"/>
    <w:rsid w:val="007F01D4"/>
    <w:rsid w:val="007F03B5"/>
    <w:rsid w:val="007F051A"/>
    <w:rsid w:val="007F0532"/>
    <w:rsid w:val="007F0702"/>
    <w:rsid w:val="007F086B"/>
    <w:rsid w:val="007F0990"/>
    <w:rsid w:val="007F0B89"/>
    <w:rsid w:val="007F0E4B"/>
    <w:rsid w:val="007F0E6F"/>
    <w:rsid w:val="007F0EA9"/>
    <w:rsid w:val="007F0F24"/>
    <w:rsid w:val="007F12FB"/>
    <w:rsid w:val="007F167E"/>
    <w:rsid w:val="007F1712"/>
    <w:rsid w:val="007F187E"/>
    <w:rsid w:val="007F1A4F"/>
    <w:rsid w:val="007F1A55"/>
    <w:rsid w:val="007F1A7A"/>
    <w:rsid w:val="007F1B61"/>
    <w:rsid w:val="007F1B7A"/>
    <w:rsid w:val="007F1C7E"/>
    <w:rsid w:val="007F1D50"/>
    <w:rsid w:val="007F1D66"/>
    <w:rsid w:val="007F1E1A"/>
    <w:rsid w:val="007F1EA8"/>
    <w:rsid w:val="007F1FF4"/>
    <w:rsid w:val="007F2083"/>
    <w:rsid w:val="007F21E6"/>
    <w:rsid w:val="007F2247"/>
    <w:rsid w:val="007F22BD"/>
    <w:rsid w:val="007F22C0"/>
    <w:rsid w:val="007F2477"/>
    <w:rsid w:val="007F24ED"/>
    <w:rsid w:val="007F254A"/>
    <w:rsid w:val="007F2707"/>
    <w:rsid w:val="007F271A"/>
    <w:rsid w:val="007F2722"/>
    <w:rsid w:val="007F2766"/>
    <w:rsid w:val="007F27A2"/>
    <w:rsid w:val="007F288F"/>
    <w:rsid w:val="007F2946"/>
    <w:rsid w:val="007F295F"/>
    <w:rsid w:val="007F29EA"/>
    <w:rsid w:val="007F2A79"/>
    <w:rsid w:val="007F2C7A"/>
    <w:rsid w:val="007F2D14"/>
    <w:rsid w:val="007F2D34"/>
    <w:rsid w:val="007F2F17"/>
    <w:rsid w:val="007F2F39"/>
    <w:rsid w:val="007F312D"/>
    <w:rsid w:val="007F31D3"/>
    <w:rsid w:val="007F32E6"/>
    <w:rsid w:val="007F3617"/>
    <w:rsid w:val="007F37C5"/>
    <w:rsid w:val="007F3818"/>
    <w:rsid w:val="007F38D1"/>
    <w:rsid w:val="007F3AAB"/>
    <w:rsid w:val="007F3B13"/>
    <w:rsid w:val="007F3B4A"/>
    <w:rsid w:val="007F3B6F"/>
    <w:rsid w:val="007F3CC7"/>
    <w:rsid w:val="007F3CD7"/>
    <w:rsid w:val="007F3CFC"/>
    <w:rsid w:val="007F3D3F"/>
    <w:rsid w:val="007F3D52"/>
    <w:rsid w:val="007F3DC5"/>
    <w:rsid w:val="007F3FFA"/>
    <w:rsid w:val="007F40B2"/>
    <w:rsid w:val="007F422F"/>
    <w:rsid w:val="007F45A5"/>
    <w:rsid w:val="007F470F"/>
    <w:rsid w:val="007F4730"/>
    <w:rsid w:val="007F497D"/>
    <w:rsid w:val="007F49C8"/>
    <w:rsid w:val="007F4ABC"/>
    <w:rsid w:val="007F4D3D"/>
    <w:rsid w:val="007F4D7D"/>
    <w:rsid w:val="007F4D9F"/>
    <w:rsid w:val="007F4DAF"/>
    <w:rsid w:val="007F4DF1"/>
    <w:rsid w:val="007F50D1"/>
    <w:rsid w:val="007F514F"/>
    <w:rsid w:val="007F517B"/>
    <w:rsid w:val="007F52AA"/>
    <w:rsid w:val="007F5309"/>
    <w:rsid w:val="007F53B6"/>
    <w:rsid w:val="007F53D4"/>
    <w:rsid w:val="007F5861"/>
    <w:rsid w:val="007F5938"/>
    <w:rsid w:val="007F5B36"/>
    <w:rsid w:val="007F5B49"/>
    <w:rsid w:val="007F5BC0"/>
    <w:rsid w:val="007F5EB1"/>
    <w:rsid w:val="007F601B"/>
    <w:rsid w:val="007F66AC"/>
    <w:rsid w:val="007F6837"/>
    <w:rsid w:val="007F6978"/>
    <w:rsid w:val="007F6A22"/>
    <w:rsid w:val="007F6A76"/>
    <w:rsid w:val="007F6BA3"/>
    <w:rsid w:val="007F6D34"/>
    <w:rsid w:val="007F6D7A"/>
    <w:rsid w:val="007F7004"/>
    <w:rsid w:val="007F7192"/>
    <w:rsid w:val="007F72ED"/>
    <w:rsid w:val="007F7340"/>
    <w:rsid w:val="007F7474"/>
    <w:rsid w:val="007F7549"/>
    <w:rsid w:val="007F7644"/>
    <w:rsid w:val="007F76A6"/>
    <w:rsid w:val="007F77E9"/>
    <w:rsid w:val="007F78D2"/>
    <w:rsid w:val="007F7992"/>
    <w:rsid w:val="007F7A59"/>
    <w:rsid w:val="007F7AB6"/>
    <w:rsid w:val="007F7AC5"/>
    <w:rsid w:val="007F7D1E"/>
    <w:rsid w:val="007F7DED"/>
    <w:rsid w:val="008000DA"/>
    <w:rsid w:val="00800249"/>
    <w:rsid w:val="00800392"/>
    <w:rsid w:val="0080069D"/>
    <w:rsid w:val="008006AE"/>
    <w:rsid w:val="00800755"/>
    <w:rsid w:val="008007BF"/>
    <w:rsid w:val="008008D8"/>
    <w:rsid w:val="00800D55"/>
    <w:rsid w:val="00800D5A"/>
    <w:rsid w:val="00800F90"/>
    <w:rsid w:val="00800FB6"/>
    <w:rsid w:val="0080119A"/>
    <w:rsid w:val="008011DE"/>
    <w:rsid w:val="00801409"/>
    <w:rsid w:val="00801410"/>
    <w:rsid w:val="00801434"/>
    <w:rsid w:val="00801479"/>
    <w:rsid w:val="0080156B"/>
    <w:rsid w:val="0080157F"/>
    <w:rsid w:val="008015A3"/>
    <w:rsid w:val="00801604"/>
    <w:rsid w:val="008016B6"/>
    <w:rsid w:val="008017DB"/>
    <w:rsid w:val="008019CE"/>
    <w:rsid w:val="00801A0A"/>
    <w:rsid w:val="00801A2F"/>
    <w:rsid w:val="00801A5D"/>
    <w:rsid w:val="00801B2D"/>
    <w:rsid w:val="00801C38"/>
    <w:rsid w:val="00801CF1"/>
    <w:rsid w:val="00801E16"/>
    <w:rsid w:val="00801E32"/>
    <w:rsid w:val="00801F7E"/>
    <w:rsid w:val="00801FCF"/>
    <w:rsid w:val="00802072"/>
    <w:rsid w:val="008020F2"/>
    <w:rsid w:val="0080212D"/>
    <w:rsid w:val="00802234"/>
    <w:rsid w:val="00802262"/>
    <w:rsid w:val="0080227D"/>
    <w:rsid w:val="0080228B"/>
    <w:rsid w:val="00802505"/>
    <w:rsid w:val="008025AD"/>
    <w:rsid w:val="008028B1"/>
    <w:rsid w:val="00802965"/>
    <w:rsid w:val="00802A98"/>
    <w:rsid w:val="00802BD4"/>
    <w:rsid w:val="00802CC7"/>
    <w:rsid w:val="00802CD1"/>
    <w:rsid w:val="00802EB3"/>
    <w:rsid w:val="00802F44"/>
    <w:rsid w:val="00802F74"/>
    <w:rsid w:val="00802FE1"/>
    <w:rsid w:val="0080310F"/>
    <w:rsid w:val="00803171"/>
    <w:rsid w:val="008033D9"/>
    <w:rsid w:val="0080375D"/>
    <w:rsid w:val="00803A2F"/>
    <w:rsid w:val="00803B6B"/>
    <w:rsid w:val="00803BF0"/>
    <w:rsid w:val="00803C4B"/>
    <w:rsid w:val="00803C7C"/>
    <w:rsid w:val="00803D23"/>
    <w:rsid w:val="00803E8D"/>
    <w:rsid w:val="0080416E"/>
    <w:rsid w:val="00804566"/>
    <w:rsid w:val="0080462E"/>
    <w:rsid w:val="00804832"/>
    <w:rsid w:val="00804902"/>
    <w:rsid w:val="00804A8B"/>
    <w:rsid w:val="00804C59"/>
    <w:rsid w:val="00804EA9"/>
    <w:rsid w:val="00805011"/>
    <w:rsid w:val="00805084"/>
    <w:rsid w:val="00805255"/>
    <w:rsid w:val="0080525C"/>
    <w:rsid w:val="00805338"/>
    <w:rsid w:val="008055D5"/>
    <w:rsid w:val="00805810"/>
    <w:rsid w:val="00805973"/>
    <w:rsid w:val="008059CD"/>
    <w:rsid w:val="008059E6"/>
    <w:rsid w:val="00805B47"/>
    <w:rsid w:val="00805B8F"/>
    <w:rsid w:val="00805BBB"/>
    <w:rsid w:val="00805BF6"/>
    <w:rsid w:val="00805C02"/>
    <w:rsid w:val="00805C5F"/>
    <w:rsid w:val="00805D0D"/>
    <w:rsid w:val="00805D45"/>
    <w:rsid w:val="00805DBB"/>
    <w:rsid w:val="00805F94"/>
    <w:rsid w:val="00805FBF"/>
    <w:rsid w:val="00806066"/>
    <w:rsid w:val="008060D2"/>
    <w:rsid w:val="008060F4"/>
    <w:rsid w:val="0080612E"/>
    <w:rsid w:val="008066D2"/>
    <w:rsid w:val="00806733"/>
    <w:rsid w:val="00806742"/>
    <w:rsid w:val="0080682E"/>
    <w:rsid w:val="008069C1"/>
    <w:rsid w:val="00806A3A"/>
    <w:rsid w:val="00806B20"/>
    <w:rsid w:val="00806B23"/>
    <w:rsid w:val="00806BBD"/>
    <w:rsid w:val="00806C04"/>
    <w:rsid w:val="00806CAF"/>
    <w:rsid w:val="00806DE9"/>
    <w:rsid w:val="00806E37"/>
    <w:rsid w:val="00806E9E"/>
    <w:rsid w:val="008070F0"/>
    <w:rsid w:val="008073FF"/>
    <w:rsid w:val="0080748A"/>
    <w:rsid w:val="008074A6"/>
    <w:rsid w:val="00807573"/>
    <w:rsid w:val="0080769C"/>
    <w:rsid w:val="00807797"/>
    <w:rsid w:val="008077A1"/>
    <w:rsid w:val="008078F9"/>
    <w:rsid w:val="00807A25"/>
    <w:rsid w:val="00807A46"/>
    <w:rsid w:val="00807AF5"/>
    <w:rsid w:val="00807C37"/>
    <w:rsid w:val="00807F75"/>
    <w:rsid w:val="0081017C"/>
    <w:rsid w:val="00810187"/>
    <w:rsid w:val="00810198"/>
    <w:rsid w:val="0081025D"/>
    <w:rsid w:val="0081037A"/>
    <w:rsid w:val="00810512"/>
    <w:rsid w:val="008105E0"/>
    <w:rsid w:val="008106BE"/>
    <w:rsid w:val="008107E1"/>
    <w:rsid w:val="008107EA"/>
    <w:rsid w:val="00810B0E"/>
    <w:rsid w:val="00810BE2"/>
    <w:rsid w:val="00810DAE"/>
    <w:rsid w:val="00810FD9"/>
    <w:rsid w:val="00811284"/>
    <w:rsid w:val="008114E0"/>
    <w:rsid w:val="00811707"/>
    <w:rsid w:val="00811736"/>
    <w:rsid w:val="00811943"/>
    <w:rsid w:val="00811A0A"/>
    <w:rsid w:val="00811D51"/>
    <w:rsid w:val="00811DB8"/>
    <w:rsid w:val="00811E30"/>
    <w:rsid w:val="00811F7B"/>
    <w:rsid w:val="00811FEC"/>
    <w:rsid w:val="00811FFD"/>
    <w:rsid w:val="0081200F"/>
    <w:rsid w:val="008120DF"/>
    <w:rsid w:val="00812114"/>
    <w:rsid w:val="0081212D"/>
    <w:rsid w:val="00812302"/>
    <w:rsid w:val="008125EF"/>
    <w:rsid w:val="00812780"/>
    <w:rsid w:val="008129F2"/>
    <w:rsid w:val="00812AED"/>
    <w:rsid w:val="00812BFA"/>
    <w:rsid w:val="00812CD8"/>
    <w:rsid w:val="00812DD3"/>
    <w:rsid w:val="00813019"/>
    <w:rsid w:val="00813037"/>
    <w:rsid w:val="00813038"/>
    <w:rsid w:val="0081320A"/>
    <w:rsid w:val="008136E2"/>
    <w:rsid w:val="0081372F"/>
    <w:rsid w:val="0081379B"/>
    <w:rsid w:val="008139E8"/>
    <w:rsid w:val="00813A92"/>
    <w:rsid w:val="00813C39"/>
    <w:rsid w:val="00813D54"/>
    <w:rsid w:val="00813DF1"/>
    <w:rsid w:val="00813ED0"/>
    <w:rsid w:val="00813FAD"/>
    <w:rsid w:val="00813FCE"/>
    <w:rsid w:val="00814040"/>
    <w:rsid w:val="00814635"/>
    <w:rsid w:val="008147C7"/>
    <w:rsid w:val="008147E8"/>
    <w:rsid w:val="00814926"/>
    <w:rsid w:val="00814965"/>
    <w:rsid w:val="0081499B"/>
    <w:rsid w:val="00814AF7"/>
    <w:rsid w:val="00814B5D"/>
    <w:rsid w:val="00814DB2"/>
    <w:rsid w:val="00814E95"/>
    <w:rsid w:val="00814EBB"/>
    <w:rsid w:val="00814F11"/>
    <w:rsid w:val="00815067"/>
    <w:rsid w:val="00815326"/>
    <w:rsid w:val="00815358"/>
    <w:rsid w:val="008153A7"/>
    <w:rsid w:val="008153DB"/>
    <w:rsid w:val="008154B2"/>
    <w:rsid w:val="0081550E"/>
    <w:rsid w:val="0081558E"/>
    <w:rsid w:val="0081561E"/>
    <w:rsid w:val="00815649"/>
    <w:rsid w:val="008156DB"/>
    <w:rsid w:val="0081585B"/>
    <w:rsid w:val="00815AC8"/>
    <w:rsid w:val="00815B6F"/>
    <w:rsid w:val="00815C2A"/>
    <w:rsid w:val="00815D9D"/>
    <w:rsid w:val="00815FE5"/>
    <w:rsid w:val="00816207"/>
    <w:rsid w:val="0081629D"/>
    <w:rsid w:val="008162EF"/>
    <w:rsid w:val="00816317"/>
    <w:rsid w:val="008163C5"/>
    <w:rsid w:val="00816665"/>
    <w:rsid w:val="008166BD"/>
    <w:rsid w:val="008168C7"/>
    <w:rsid w:val="00816919"/>
    <w:rsid w:val="0081696E"/>
    <w:rsid w:val="00816B9A"/>
    <w:rsid w:val="00816BE2"/>
    <w:rsid w:val="00816D8E"/>
    <w:rsid w:val="00816F01"/>
    <w:rsid w:val="0081710B"/>
    <w:rsid w:val="00817277"/>
    <w:rsid w:val="008174ED"/>
    <w:rsid w:val="00817524"/>
    <w:rsid w:val="00817702"/>
    <w:rsid w:val="0081782E"/>
    <w:rsid w:val="0081784E"/>
    <w:rsid w:val="0081798E"/>
    <w:rsid w:val="00817D76"/>
    <w:rsid w:val="0082000D"/>
    <w:rsid w:val="00820039"/>
    <w:rsid w:val="0082046E"/>
    <w:rsid w:val="00820525"/>
    <w:rsid w:val="00820538"/>
    <w:rsid w:val="008205CD"/>
    <w:rsid w:val="008207CC"/>
    <w:rsid w:val="0082092C"/>
    <w:rsid w:val="008209E1"/>
    <w:rsid w:val="00820A6A"/>
    <w:rsid w:val="00820B0A"/>
    <w:rsid w:val="00820D67"/>
    <w:rsid w:val="00820DC1"/>
    <w:rsid w:val="008211B2"/>
    <w:rsid w:val="008211B5"/>
    <w:rsid w:val="00821452"/>
    <w:rsid w:val="00821473"/>
    <w:rsid w:val="008215DA"/>
    <w:rsid w:val="008218A1"/>
    <w:rsid w:val="0082193A"/>
    <w:rsid w:val="00821AD1"/>
    <w:rsid w:val="00821C38"/>
    <w:rsid w:val="00821D1E"/>
    <w:rsid w:val="00821DAC"/>
    <w:rsid w:val="00821E11"/>
    <w:rsid w:val="00821E6A"/>
    <w:rsid w:val="00821E98"/>
    <w:rsid w:val="00821F74"/>
    <w:rsid w:val="00821FB1"/>
    <w:rsid w:val="0082202C"/>
    <w:rsid w:val="00822114"/>
    <w:rsid w:val="00822195"/>
    <w:rsid w:val="0082226F"/>
    <w:rsid w:val="00822274"/>
    <w:rsid w:val="00822288"/>
    <w:rsid w:val="00822350"/>
    <w:rsid w:val="008224D2"/>
    <w:rsid w:val="008225B5"/>
    <w:rsid w:val="00822770"/>
    <w:rsid w:val="008229FE"/>
    <w:rsid w:val="00822AA4"/>
    <w:rsid w:val="00822ABF"/>
    <w:rsid w:val="00822B51"/>
    <w:rsid w:val="00822BD9"/>
    <w:rsid w:val="00822C7C"/>
    <w:rsid w:val="00822D6A"/>
    <w:rsid w:val="00822D78"/>
    <w:rsid w:val="00822E0D"/>
    <w:rsid w:val="00822F0C"/>
    <w:rsid w:val="0082301F"/>
    <w:rsid w:val="008230A5"/>
    <w:rsid w:val="00823116"/>
    <w:rsid w:val="0082324F"/>
    <w:rsid w:val="00823362"/>
    <w:rsid w:val="0082349D"/>
    <w:rsid w:val="00823572"/>
    <w:rsid w:val="008235DD"/>
    <w:rsid w:val="00823817"/>
    <w:rsid w:val="00823878"/>
    <w:rsid w:val="00823883"/>
    <w:rsid w:val="00823896"/>
    <w:rsid w:val="008238F2"/>
    <w:rsid w:val="008239F3"/>
    <w:rsid w:val="00823ACD"/>
    <w:rsid w:val="00823B0B"/>
    <w:rsid w:val="00823C52"/>
    <w:rsid w:val="00823D24"/>
    <w:rsid w:val="00823D8B"/>
    <w:rsid w:val="00823EA6"/>
    <w:rsid w:val="00823EBA"/>
    <w:rsid w:val="00823FB3"/>
    <w:rsid w:val="008240B1"/>
    <w:rsid w:val="00824191"/>
    <w:rsid w:val="00824261"/>
    <w:rsid w:val="008242EE"/>
    <w:rsid w:val="008244CF"/>
    <w:rsid w:val="008244FB"/>
    <w:rsid w:val="008246AC"/>
    <w:rsid w:val="008246C8"/>
    <w:rsid w:val="008247C7"/>
    <w:rsid w:val="0082499D"/>
    <w:rsid w:val="008249CD"/>
    <w:rsid w:val="00824A1E"/>
    <w:rsid w:val="00824A4C"/>
    <w:rsid w:val="00824BF8"/>
    <w:rsid w:val="00824ED9"/>
    <w:rsid w:val="00824F2E"/>
    <w:rsid w:val="008251CF"/>
    <w:rsid w:val="00825406"/>
    <w:rsid w:val="008254CF"/>
    <w:rsid w:val="008254D4"/>
    <w:rsid w:val="008254E9"/>
    <w:rsid w:val="008256D7"/>
    <w:rsid w:val="0082585C"/>
    <w:rsid w:val="00825C20"/>
    <w:rsid w:val="00825DAA"/>
    <w:rsid w:val="00825DFC"/>
    <w:rsid w:val="008260FD"/>
    <w:rsid w:val="008262CC"/>
    <w:rsid w:val="00826305"/>
    <w:rsid w:val="00826366"/>
    <w:rsid w:val="0082641C"/>
    <w:rsid w:val="00826618"/>
    <w:rsid w:val="008266AF"/>
    <w:rsid w:val="008267CE"/>
    <w:rsid w:val="008269EE"/>
    <w:rsid w:val="00826A12"/>
    <w:rsid w:val="00826B98"/>
    <w:rsid w:val="00826BD0"/>
    <w:rsid w:val="00826CC9"/>
    <w:rsid w:val="00826D2F"/>
    <w:rsid w:val="00826F2E"/>
    <w:rsid w:val="00827004"/>
    <w:rsid w:val="00827043"/>
    <w:rsid w:val="008273CC"/>
    <w:rsid w:val="00827486"/>
    <w:rsid w:val="008274EF"/>
    <w:rsid w:val="008275CC"/>
    <w:rsid w:val="00827617"/>
    <w:rsid w:val="008276B0"/>
    <w:rsid w:val="0082781F"/>
    <w:rsid w:val="00827AC1"/>
    <w:rsid w:val="00827E87"/>
    <w:rsid w:val="00827E8D"/>
    <w:rsid w:val="008301A2"/>
    <w:rsid w:val="008302EE"/>
    <w:rsid w:val="00830322"/>
    <w:rsid w:val="00830761"/>
    <w:rsid w:val="00830952"/>
    <w:rsid w:val="00830CAD"/>
    <w:rsid w:val="00830CC2"/>
    <w:rsid w:val="00830D2D"/>
    <w:rsid w:val="00830EA5"/>
    <w:rsid w:val="00830F83"/>
    <w:rsid w:val="0083106E"/>
    <w:rsid w:val="008310A3"/>
    <w:rsid w:val="00831111"/>
    <w:rsid w:val="008311A6"/>
    <w:rsid w:val="008312F9"/>
    <w:rsid w:val="008313C0"/>
    <w:rsid w:val="00831572"/>
    <w:rsid w:val="008316E6"/>
    <w:rsid w:val="00831810"/>
    <w:rsid w:val="0083185C"/>
    <w:rsid w:val="00831917"/>
    <w:rsid w:val="00831CF7"/>
    <w:rsid w:val="00831D23"/>
    <w:rsid w:val="00831DFB"/>
    <w:rsid w:val="00831FB5"/>
    <w:rsid w:val="008321E3"/>
    <w:rsid w:val="008323C3"/>
    <w:rsid w:val="00832432"/>
    <w:rsid w:val="0083248B"/>
    <w:rsid w:val="0083252B"/>
    <w:rsid w:val="0083258B"/>
    <w:rsid w:val="008325B5"/>
    <w:rsid w:val="00832616"/>
    <w:rsid w:val="00832718"/>
    <w:rsid w:val="0083274D"/>
    <w:rsid w:val="00832CBD"/>
    <w:rsid w:val="00832DB6"/>
    <w:rsid w:val="00832E6A"/>
    <w:rsid w:val="00832F5A"/>
    <w:rsid w:val="00833174"/>
    <w:rsid w:val="00833337"/>
    <w:rsid w:val="0083365C"/>
    <w:rsid w:val="00833883"/>
    <w:rsid w:val="00833A86"/>
    <w:rsid w:val="00833D3B"/>
    <w:rsid w:val="00833FE9"/>
    <w:rsid w:val="008342B6"/>
    <w:rsid w:val="00834326"/>
    <w:rsid w:val="00834340"/>
    <w:rsid w:val="00834476"/>
    <w:rsid w:val="008346D8"/>
    <w:rsid w:val="00834811"/>
    <w:rsid w:val="0083492C"/>
    <w:rsid w:val="0083499D"/>
    <w:rsid w:val="00834AE1"/>
    <w:rsid w:val="00834C45"/>
    <w:rsid w:val="00834DAE"/>
    <w:rsid w:val="00834DEF"/>
    <w:rsid w:val="00834DFC"/>
    <w:rsid w:val="00834E13"/>
    <w:rsid w:val="00834F4C"/>
    <w:rsid w:val="00835024"/>
    <w:rsid w:val="00835062"/>
    <w:rsid w:val="00835291"/>
    <w:rsid w:val="008353AF"/>
    <w:rsid w:val="008356EC"/>
    <w:rsid w:val="0083589F"/>
    <w:rsid w:val="008359AB"/>
    <w:rsid w:val="00835A83"/>
    <w:rsid w:val="00835B95"/>
    <w:rsid w:val="00835CEA"/>
    <w:rsid w:val="00835DEE"/>
    <w:rsid w:val="00835E1E"/>
    <w:rsid w:val="00835FF8"/>
    <w:rsid w:val="00836003"/>
    <w:rsid w:val="00836034"/>
    <w:rsid w:val="00836043"/>
    <w:rsid w:val="00836165"/>
    <w:rsid w:val="008361E3"/>
    <w:rsid w:val="008364EB"/>
    <w:rsid w:val="008364F5"/>
    <w:rsid w:val="00836621"/>
    <w:rsid w:val="00836623"/>
    <w:rsid w:val="0083674F"/>
    <w:rsid w:val="008367CB"/>
    <w:rsid w:val="00836937"/>
    <w:rsid w:val="0083697E"/>
    <w:rsid w:val="00836AF3"/>
    <w:rsid w:val="00836DE1"/>
    <w:rsid w:val="00837000"/>
    <w:rsid w:val="00837147"/>
    <w:rsid w:val="008371BA"/>
    <w:rsid w:val="00837305"/>
    <w:rsid w:val="0083732D"/>
    <w:rsid w:val="008373BA"/>
    <w:rsid w:val="008373D1"/>
    <w:rsid w:val="008373E5"/>
    <w:rsid w:val="008373EA"/>
    <w:rsid w:val="0083772E"/>
    <w:rsid w:val="00837842"/>
    <w:rsid w:val="00837881"/>
    <w:rsid w:val="00837885"/>
    <w:rsid w:val="00837943"/>
    <w:rsid w:val="00837981"/>
    <w:rsid w:val="008379B6"/>
    <w:rsid w:val="00837AA0"/>
    <w:rsid w:val="00837AEB"/>
    <w:rsid w:val="00837B61"/>
    <w:rsid w:val="00837BC9"/>
    <w:rsid w:val="00837D8D"/>
    <w:rsid w:val="00837E07"/>
    <w:rsid w:val="00840068"/>
    <w:rsid w:val="008400F8"/>
    <w:rsid w:val="008401D3"/>
    <w:rsid w:val="0084033C"/>
    <w:rsid w:val="00840592"/>
    <w:rsid w:val="008405FD"/>
    <w:rsid w:val="008407AD"/>
    <w:rsid w:val="008407E7"/>
    <w:rsid w:val="00840B2F"/>
    <w:rsid w:val="00840B69"/>
    <w:rsid w:val="00840BBA"/>
    <w:rsid w:val="00840BF7"/>
    <w:rsid w:val="00840C20"/>
    <w:rsid w:val="00840F2B"/>
    <w:rsid w:val="008414DB"/>
    <w:rsid w:val="008415B8"/>
    <w:rsid w:val="00841871"/>
    <w:rsid w:val="008418E3"/>
    <w:rsid w:val="008419BA"/>
    <w:rsid w:val="008419FB"/>
    <w:rsid w:val="00841CE6"/>
    <w:rsid w:val="0084200B"/>
    <w:rsid w:val="0084217C"/>
    <w:rsid w:val="0084234C"/>
    <w:rsid w:val="008423F5"/>
    <w:rsid w:val="00842536"/>
    <w:rsid w:val="008425E6"/>
    <w:rsid w:val="00842858"/>
    <w:rsid w:val="00842C77"/>
    <w:rsid w:val="00842CD0"/>
    <w:rsid w:val="00842E4F"/>
    <w:rsid w:val="00842E5A"/>
    <w:rsid w:val="00842F17"/>
    <w:rsid w:val="008431DF"/>
    <w:rsid w:val="0084344F"/>
    <w:rsid w:val="00843695"/>
    <w:rsid w:val="00843775"/>
    <w:rsid w:val="008437DE"/>
    <w:rsid w:val="0084391D"/>
    <w:rsid w:val="0084397D"/>
    <w:rsid w:val="00843989"/>
    <w:rsid w:val="00843A56"/>
    <w:rsid w:val="00843BB9"/>
    <w:rsid w:val="00843BD3"/>
    <w:rsid w:val="00843C33"/>
    <w:rsid w:val="00843CFC"/>
    <w:rsid w:val="00843E20"/>
    <w:rsid w:val="00843FB4"/>
    <w:rsid w:val="00844212"/>
    <w:rsid w:val="00844247"/>
    <w:rsid w:val="00844357"/>
    <w:rsid w:val="008443D7"/>
    <w:rsid w:val="0084445F"/>
    <w:rsid w:val="0084450F"/>
    <w:rsid w:val="008446B5"/>
    <w:rsid w:val="008446D5"/>
    <w:rsid w:val="00844792"/>
    <w:rsid w:val="008447F2"/>
    <w:rsid w:val="00844AAD"/>
    <w:rsid w:val="00844B37"/>
    <w:rsid w:val="00844CD0"/>
    <w:rsid w:val="00844DB2"/>
    <w:rsid w:val="00844DFD"/>
    <w:rsid w:val="0084503D"/>
    <w:rsid w:val="0084541B"/>
    <w:rsid w:val="008454DA"/>
    <w:rsid w:val="008454DE"/>
    <w:rsid w:val="00845553"/>
    <w:rsid w:val="008455E0"/>
    <w:rsid w:val="00845613"/>
    <w:rsid w:val="00845803"/>
    <w:rsid w:val="00845828"/>
    <w:rsid w:val="00845892"/>
    <w:rsid w:val="00845CEC"/>
    <w:rsid w:val="00845D07"/>
    <w:rsid w:val="00845D31"/>
    <w:rsid w:val="00846010"/>
    <w:rsid w:val="008460F3"/>
    <w:rsid w:val="00846258"/>
    <w:rsid w:val="0084628D"/>
    <w:rsid w:val="00846372"/>
    <w:rsid w:val="008464A9"/>
    <w:rsid w:val="008464CE"/>
    <w:rsid w:val="00846535"/>
    <w:rsid w:val="00846544"/>
    <w:rsid w:val="00846568"/>
    <w:rsid w:val="0084665C"/>
    <w:rsid w:val="00846660"/>
    <w:rsid w:val="00846749"/>
    <w:rsid w:val="008469AC"/>
    <w:rsid w:val="00846BD0"/>
    <w:rsid w:val="00846DCF"/>
    <w:rsid w:val="00846E8D"/>
    <w:rsid w:val="0084704F"/>
    <w:rsid w:val="00847129"/>
    <w:rsid w:val="008473B0"/>
    <w:rsid w:val="00847414"/>
    <w:rsid w:val="0084754E"/>
    <w:rsid w:val="00847551"/>
    <w:rsid w:val="008476CD"/>
    <w:rsid w:val="00847810"/>
    <w:rsid w:val="008478B5"/>
    <w:rsid w:val="0084792A"/>
    <w:rsid w:val="008479DC"/>
    <w:rsid w:val="00847C53"/>
    <w:rsid w:val="00847CC9"/>
    <w:rsid w:val="00847E18"/>
    <w:rsid w:val="00847F3E"/>
    <w:rsid w:val="00847FE3"/>
    <w:rsid w:val="008500B2"/>
    <w:rsid w:val="008500D9"/>
    <w:rsid w:val="00850202"/>
    <w:rsid w:val="008502F5"/>
    <w:rsid w:val="00850502"/>
    <w:rsid w:val="00850952"/>
    <w:rsid w:val="00850AC5"/>
    <w:rsid w:val="00850C32"/>
    <w:rsid w:val="00850C4A"/>
    <w:rsid w:val="00850D08"/>
    <w:rsid w:val="00850D1A"/>
    <w:rsid w:val="00850F19"/>
    <w:rsid w:val="00850F1A"/>
    <w:rsid w:val="008511C1"/>
    <w:rsid w:val="00851238"/>
    <w:rsid w:val="00851239"/>
    <w:rsid w:val="00851369"/>
    <w:rsid w:val="0085141F"/>
    <w:rsid w:val="00851605"/>
    <w:rsid w:val="0085160B"/>
    <w:rsid w:val="008517DF"/>
    <w:rsid w:val="0085189E"/>
    <w:rsid w:val="008518CD"/>
    <w:rsid w:val="0085197C"/>
    <w:rsid w:val="00851A92"/>
    <w:rsid w:val="00851AD9"/>
    <w:rsid w:val="00851D74"/>
    <w:rsid w:val="00851DE8"/>
    <w:rsid w:val="00851F80"/>
    <w:rsid w:val="00852012"/>
    <w:rsid w:val="00852094"/>
    <w:rsid w:val="0085244F"/>
    <w:rsid w:val="00852603"/>
    <w:rsid w:val="00852720"/>
    <w:rsid w:val="00852727"/>
    <w:rsid w:val="00852764"/>
    <w:rsid w:val="008528A7"/>
    <w:rsid w:val="00852988"/>
    <w:rsid w:val="00852AE7"/>
    <w:rsid w:val="00852BE5"/>
    <w:rsid w:val="00852D7A"/>
    <w:rsid w:val="00852E14"/>
    <w:rsid w:val="00852EBE"/>
    <w:rsid w:val="00852F6A"/>
    <w:rsid w:val="00852F7E"/>
    <w:rsid w:val="008530C2"/>
    <w:rsid w:val="00853271"/>
    <w:rsid w:val="00853296"/>
    <w:rsid w:val="008532DE"/>
    <w:rsid w:val="00853860"/>
    <w:rsid w:val="00853A73"/>
    <w:rsid w:val="00853B06"/>
    <w:rsid w:val="00853C58"/>
    <w:rsid w:val="00853D5E"/>
    <w:rsid w:val="00853E0E"/>
    <w:rsid w:val="00853E7B"/>
    <w:rsid w:val="00853ED9"/>
    <w:rsid w:val="00853F07"/>
    <w:rsid w:val="00853F11"/>
    <w:rsid w:val="0085417E"/>
    <w:rsid w:val="008541A1"/>
    <w:rsid w:val="008542D9"/>
    <w:rsid w:val="00854574"/>
    <w:rsid w:val="00854970"/>
    <w:rsid w:val="00854AD2"/>
    <w:rsid w:val="00854B17"/>
    <w:rsid w:val="00854D44"/>
    <w:rsid w:val="0085518C"/>
    <w:rsid w:val="0085533C"/>
    <w:rsid w:val="00855572"/>
    <w:rsid w:val="008555A3"/>
    <w:rsid w:val="008555A4"/>
    <w:rsid w:val="00855A07"/>
    <w:rsid w:val="00855BC3"/>
    <w:rsid w:val="00855BD0"/>
    <w:rsid w:val="00855CA3"/>
    <w:rsid w:val="00855EA1"/>
    <w:rsid w:val="00855EC5"/>
    <w:rsid w:val="00856257"/>
    <w:rsid w:val="008562AE"/>
    <w:rsid w:val="008565A0"/>
    <w:rsid w:val="0085668B"/>
    <w:rsid w:val="008566D9"/>
    <w:rsid w:val="00856829"/>
    <w:rsid w:val="0085695A"/>
    <w:rsid w:val="0085698F"/>
    <w:rsid w:val="00856C21"/>
    <w:rsid w:val="00856E4F"/>
    <w:rsid w:val="00856E70"/>
    <w:rsid w:val="00856EA5"/>
    <w:rsid w:val="00856F9E"/>
    <w:rsid w:val="0085728C"/>
    <w:rsid w:val="008574C7"/>
    <w:rsid w:val="00857504"/>
    <w:rsid w:val="00857573"/>
    <w:rsid w:val="00857666"/>
    <w:rsid w:val="008577CA"/>
    <w:rsid w:val="00857A07"/>
    <w:rsid w:val="00857A32"/>
    <w:rsid w:val="00857B59"/>
    <w:rsid w:val="00857B98"/>
    <w:rsid w:val="00857BF5"/>
    <w:rsid w:val="00857DE7"/>
    <w:rsid w:val="0085D2F0"/>
    <w:rsid w:val="00860054"/>
    <w:rsid w:val="008600CA"/>
    <w:rsid w:val="0086011A"/>
    <w:rsid w:val="00860151"/>
    <w:rsid w:val="00860247"/>
    <w:rsid w:val="008603AA"/>
    <w:rsid w:val="008603BF"/>
    <w:rsid w:val="008603D3"/>
    <w:rsid w:val="008605B5"/>
    <w:rsid w:val="008605F4"/>
    <w:rsid w:val="008606C9"/>
    <w:rsid w:val="0086075A"/>
    <w:rsid w:val="00860897"/>
    <w:rsid w:val="008608CA"/>
    <w:rsid w:val="00860964"/>
    <w:rsid w:val="0086096C"/>
    <w:rsid w:val="00860987"/>
    <w:rsid w:val="00860A47"/>
    <w:rsid w:val="00860FFC"/>
    <w:rsid w:val="0086106C"/>
    <w:rsid w:val="008612BD"/>
    <w:rsid w:val="008618A9"/>
    <w:rsid w:val="00861932"/>
    <w:rsid w:val="00861A0A"/>
    <w:rsid w:val="00861B43"/>
    <w:rsid w:val="00861BC3"/>
    <w:rsid w:val="00861CFC"/>
    <w:rsid w:val="00861D31"/>
    <w:rsid w:val="00861DAB"/>
    <w:rsid w:val="00861F8A"/>
    <w:rsid w:val="008620DC"/>
    <w:rsid w:val="00862151"/>
    <w:rsid w:val="008621F9"/>
    <w:rsid w:val="00862474"/>
    <w:rsid w:val="0086278D"/>
    <w:rsid w:val="00862ACC"/>
    <w:rsid w:val="00862D73"/>
    <w:rsid w:val="00862D80"/>
    <w:rsid w:val="008631C5"/>
    <w:rsid w:val="00863556"/>
    <w:rsid w:val="0086377D"/>
    <w:rsid w:val="00863AF3"/>
    <w:rsid w:val="00863BBB"/>
    <w:rsid w:val="00863CA9"/>
    <w:rsid w:val="00863E66"/>
    <w:rsid w:val="00863E6C"/>
    <w:rsid w:val="00863EE8"/>
    <w:rsid w:val="00864061"/>
    <w:rsid w:val="00864166"/>
    <w:rsid w:val="008644CB"/>
    <w:rsid w:val="008647E5"/>
    <w:rsid w:val="00864866"/>
    <w:rsid w:val="008648D1"/>
    <w:rsid w:val="00864ACF"/>
    <w:rsid w:val="00864B63"/>
    <w:rsid w:val="00864C14"/>
    <w:rsid w:val="00864C87"/>
    <w:rsid w:val="00864CBB"/>
    <w:rsid w:val="00864D92"/>
    <w:rsid w:val="00864DBA"/>
    <w:rsid w:val="00864E14"/>
    <w:rsid w:val="00864E23"/>
    <w:rsid w:val="00864ED3"/>
    <w:rsid w:val="00865074"/>
    <w:rsid w:val="0086511D"/>
    <w:rsid w:val="0086521D"/>
    <w:rsid w:val="008652AD"/>
    <w:rsid w:val="00865323"/>
    <w:rsid w:val="00865613"/>
    <w:rsid w:val="00865653"/>
    <w:rsid w:val="00865864"/>
    <w:rsid w:val="008658CD"/>
    <w:rsid w:val="008659F8"/>
    <w:rsid w:val="00865B5C"/>
    <w:rsid w:val="0086616A"/>
    <w:rsid w:val="008661BB"/>
    <w:rsid w:val="00866324"/>
    <w:rsid w:val="00866426"/>
    <w:rsid w:val="008664E7"/>
    <w:rsid w:val="0086668A"/>
    <w:rsid w:val="008666A6"/>
    <w:rsid w:val="008667ED"/>
    <w:rsid w:val="00866800"/>
    <w:rsid w:val="00866C39"/>
    <w:rsid w:val="00866DDD"/>
    <w:rsid w:val="00866E62"/>
    <w:rsid w:val="00866F77"/>
    <w:rsid w:val="00867042"/>
    <w:rsid w:val="008672AF"/>
    <w:rsid w:val="008672B7"/>
    <w:rsid w:val="008675A9"/>
    <w:rsid w:val="008676B8"/>
    <w:rsid w:val="008676F1"/>
    <w:rsid w:val="0086780D"/>
    <w:rsid w:val="00867841"/>
    <w:rsid w:val="00867A30"/>
    <w:rsid w:val="00867A4B"/>
    <w:rsid w:val="00867BFC"/>
    <w:rsid w:val="00867C0C"/>
    <w:rsid w:val="00867C52"/>
    <w:rsid w:val="00867C70"/>
    <w:rsid w:val="00867CFE"/>
    <w:rsid w:val="00870010"/>
    <w:rsid w:val="00870045"/>
    <w:rsid w:val="008701D2"/>
    <w:rsid w:val="00870326"/>
    <w:rsid w:val="008706B2"/>
    <w:rsid w:val="0087075A"/>
    <w:rsid w:val="00870808"/>
    <w:rsid w:val="00870862"/>
    <w:rsid w:val="00870C7D"/>
    <w:rsid w:val="00870E59"/>
    <w:rsid w:val="00870F42"/>
    <w:rsid w:val="00870FAD"/>
    <w:rsid w:val="008711FD"/>
    <w:rsid w:val="00871547"/>
    <w:rsid w:val="0087154E"/>
    <w:rsid w:val="00871711"/>
    <w:rsid w:val="00871761"/>
    <w:rsid w:val="0087177D"/>
    <w:rsid w:val="008717B9"/>
    <w:rsid w:val="0087181E"/>
    <w:rsid w:val="00871852"/>
    <w:rsid w:val="00871A86"/>
    <w:rsid w:val="00871ADD"/>
    <w:rsid w:val="00871CFE"/>
    <w:rsid w:val="0087212E"/>
    <w:rsid w:val="0087214A"/>
    <w:rsid w:val="00872209"/>
    <w:rsid w:val="00872236"/>
    <w:rsid w:val="008722D0"/>
    <w:rsid w:val="00872372"/>
    <w:rsid w:val="0087237E"/>
    <w:rsid w:val="0087241E"/>
    <w:rsid w:val="00872481"/>
    <w:rsid w:val="0087249D"/>
    <w:rsid w:val="00872728"/>
    <w:rsid w:val="0087290F"/>
    <w:rsid w:val="00872916"/>
    <w:rsid w:val="0087298C"/>
    <w:rsid w:val="00872BA2"/>
    <w:rsid w:val="00872BFE"/>
    <w:rsid w:val="00872C2B"/>
    <w:rsid w:val="00872E3B"/>
    <w:rsid w:val="00872E9F"/>
    <w:rsid w:val="00872EB5"/>
    <w:rsid w:val="00872F63"/>
    <w:rsid w:val="00872FA8"/>
    <w:rsid w:val="008730C0"/>
    <w:rsid w:val="0087327A"/>
    <w:rsid w:val="008732F5"/>
    <w:rsid w:val="008733CA"/>
    <w:rsid w:val="00873552"/>
    <w:rsid w:val="00873705"/>
    <w:rsid w:val="00873717"/>
    <w:rsid w:val="0087389C"/>
    <w:rsid w:val="00873B7E"/>
    <w:rsid w:val="00873BB5"/>
    <w:rsid w:val="00873BC6"/>
    <w:rsid w:val="00873C47"/>
    <w:rsid w:val="00873D1B"/>
    <w:rsid w:val="008740A2"/>
    <w:rsid w:val="00874156"/>
    <w:rsid w:val="00874235"/>
    <w:rsid w:val="008742BD"/>
    <w:rsid w:val="00874571"/>
    <w:rsid w:val="0087458C"/>
    <w:rsid w:val="0087459D"/>
    <w:rsid w:val="0087470B"/>
    <w:rsid w:val="00874722"/>
    <w:rsid w:val="0087487A"/>
    <w:rsid w:val="008748D6"/>
    <w:rsid w:val="00874956"/>
    <w:rsid w:val="00874B60"/>
    <w:rsid w:val="00874C5A"/>
    <w:rsid w:val="00874E85"/>
    <w:rsid w:val="008752A5"/>
    <w:rsid w:val="008752DC"/>
    <w:rsid w:val="008753C2"/>
    <w:rsid w:val="00875500"/>
    <w:rsid w:val="0087556A"/>
    <w:rsid w:val="008755B1"/>
    <w:rsid w:val="008755FE"/>
    <w:rsid w:val="008756C3"/>
    <w:rsid w:val="0087587C"/>
    <w:rsid w:val="00875911"/>
    <w:rsid w:val="0087615D"/>
    <w:rsid w:val="008761A9"/>
    <w:rsid w:val="00876259"/>
    <w:rsid w:val="008764C4"/>
    <w:rsid w:val="00876566"/>
    <w:rsid w:val="00876596"/>
    <w:rsid w:val="008765F0"/>
    <w:rsid w:val="00876619"/>
    <w:rsid w:val="00876650"/>
    <w:rsid w:val="008766A1"/>
    <w:rsid w:val="00876798"/>
    <w:rsid w:val="008767CB"/>
    <w:rsid w:val="00876899"/>
    <w:rsid w:val="008768D7"/>
    <w:rsid w:val="00876B94"/>
    <w:rsid w:val="00876D41"/>
    <w:rsid w:val="00876F53"/>
    <w:rsid w:val="0087730D"/>
    <w:rsid w:val="00877367"/>
    <w:rsid w:val="00877400"/>
    <w:rsid w:val="0087746D"/>
    <w:rsid w:val="008776AC"/>
    <w:rsid w:val="0087787D"/>
    <w:rsid w:val="0087788A"/>
    <w:rsid w:val="0087795A"/>
    <w:rsid w:val="00877A03"/>
    <w:rsid w:val="00877F1F"/>
    <w:rsid w:val="00877F8B"/>
    <w:rsid w:val="008800E8"/>
    <w:rsid w:val="008803FB"/>
    <w:rsid w:val="008806DD"/>
    <w:rsid w:val="008806F8"/>
    <w:rsid w:val="00880858"/>
    <w:rsid w:val="008808B4"/>
    <w:rsid w:val="008808D4"/>
    <w:rsid w:val="00880925"/>
    <w:rsid w:val="00880AD6"/>
    <w:rsid w:val="00880D46"/>
    <w:rsid w:val="0088100F"/>
    <w:rsid w:val="00881053"/>
    <w:rsid w:val="00881279"/>
    <w:rsid w:val="008812A2"/>
    <w:rsid w:val="008812DF"/>
    <w:rsid w:val="00881496"/>
    <w:rsid w:val="00881565"/>
    <w:rsid w:val="00881637"/>
    <w:rsid w:val="00881763"/>
    <w:rsid w:val="0088181F"/>
    <w:rsid w:val="00881864"/>
    <w:rsid w:val="00881BBE"/>
    <w:rsid w:val="00881BD3"/>
    <w:rsid w:val="00881C47"/>
    <w:rsid w:val="00881C98"/>
    <w:rsid w:val="00881CF0"/>
    <w:rsid w:val="00881CFD"/>
    <w:rsid w:val="00881D6E"/>
    <w:rsid w:val="00881DC0"/>
    <w:rsid w:val="00881E00"/>
    <w:rsid w:val="00881E27"/>
    <w:rsid w:val="008820DF"/>
    <w:rsid w:val="008821C5"/>
    <w:rsid w:val="00882370"/>
    <w:rsid w:val="008824B5"/>
    <w:rsid w:val="008824CC"/>
    <w:rsid w:val="0088265E"/>
    <w:rsid w:val="00882A84"/>
    <w:rsid w:val="00882A85"/>
    <w:rsid w:val="00882BDB"/>
    <w:rsid w:val="00882CAE"/>
    <w:rsid w:val="00882CBC"/>
    <w:rsid w:val="00882CE4"/>
    <w:rsid w:val="00882D84"/>
    <w:rsid w:val="00882DBD"/>
    <w:rsid w:val="00882E53"/>
    <w:rsid w:val="00882E85"/>
    <w:rsid w:val="00882FAC"/>
    <w:rsid w:val="00882FC7"/>
    <w:rsid w:val="00883182"/>
    <w:rsid w:val="0088319A"/>
    <w:rsid w:val="008831B5"/>
    <w:rsid w:val="008832FE"/>
    <w:rsid w:val="008833AB"/>
    <w:rsid w:val="0088349D"/>
    <w:rsid w:val="0088356B"/>
    <w:rsid w:val="00883BD2"/>
    <w:rsid w:val="00883C2F"/>
    <w:rsid w:val="00883E56"/>
    <w:rsid w:val="00883E9C"/>
    <w:rsid w:val="00883F85"/>
    <w:rsid w:val="008840C0"/>
    <w:rsid w:val="00884297"/>
    <w:rsid w:val="00884441"/>
    <w:rsid w:val="008846B9"/>
    <w:rsid w:val="00884A9F"/>
    <w:rsid w:val="00884B77"/>
    <w:rsid w:val="00884D5F"/>
    <w:rsid w:val="00884D81"/>
    <w:rsid w:val="00884F09"/>
    <w:rsid w:val="00885079"/>
    <w:rsid w:val="00885097"/>
    <w:rsid w:val="008852BC"/>
    <w:rsid w:val="008853BB"/>
    <w:rsid w:val="00885894"/>
    <w:rsid w:val="00885C21"/>
    <w:rsid w:val="00885F07"/>
    <w:rsid w:val="00885F35"/>
    <w:rsid w:val="00885F40"/>
    <w:rsid w:val="00885F4C"/>
    <w:rsid w:val="00885F54"/>
    <w:rsid w:val="00886086"/>
    <w:rsid w:val="0088608D"/>
    <w:rsid w:val="00886104"/>
    <w:rsid w:val="0088623F"/>
    <w:rsid w:val="0088647A"/>
    <w:rsid w:val="00886563"/>
    <w:rsid w:val="008865C4"/>
    <w:rsid w:val="008867E5"/>
    <w:rsid w:val="008869A9"/>
    <w:rsid w:val="00886ACE"/>
    <w:rsid w:val="00886B45"/>
    <w:rsid w:val="00886B7F"/>
    <w:rsid w:val="00886B80"/>
    <w:rsid w:val="00886CCE"/>
    <w:rsid w:val="00886E94"/>
    <w:rsid w:val="0088709A"/>
    <w:rsid w:val="0088734D"/>
    <w:rsid w:val="008873A7"/>
    <w:rsid w:val="0088750B"/>
    <w:rsid w:val="008876AE"/>
    <w:rsid w:val="00887AA2"/>
    <w:rsid w:val="00887DEE"/>
    <w:rsid w:val="00887EC2"/>
    <w:rsid w:val="00887FA2"/>
    <w:rsid w:val="008901AC"/>
    <w:rsid w:val="0089028F"/>
    <w:rsid w:val="008902A9"/>
    <w:rsid w:val="00890388"/>
    <w:rsid w:val="008903DF"/>
    <w:rsid w:val="0089042B"/>
    <w:rsid w:val="008904D6"/>
    <w:rsid w:val="00890663"/>
    <w:rsid w:val="00890719"/>
    <w:rsid w:val="00890A1D"/>
    <w:rsid w:val="00890AC4"/>
    <w:rsid w:val="00890F56"/>
    <w:rsid w:val="00890F66"/>
    <w:rsid w:val="008912D8"/>
    <w:rsid w:val="00891355"/>
    <w:rsid w:val="00891365"/>
    <w:rsid w:val="00891400"/>
    <w:rsid w:val="0089144F"/>
    <w:rsid w:val="0089150D"/>
    <w:rsid w:val="0089163B"/>
    <w:rsid w:val="00891B5B"/>
    <w:rsid w:val="00891BB1"/>
    <w:rsid w:val="00891BF9"/>
    <w:rsid w:val="00891DE2"/>
    <w:rsid w:val="00892016"/>
    <w:rsid w:val="0089211D"/>
    <w:rsid w:val="008922FB"/>
    <w:rsid w:val="008923CA"/>
    <w:rsid w:val="008925FF"/>
    <w:rsid w:val="0089260A"/>
    <w:rsid w:val="00892763"/>
    <w:rsid w:val="00892842"/>
    <w:rsid w:val="00892A7D"/>
    <w:rsid w:val="00892B75"/>
    <w:rsid w:val="00892DBD"/>
    <w:rsid w:val="00892F15"/>
    <w:rsid w:val="00892F74"/>
    <w:rsid w:val="008931B2"/>
    <w:rsid w:val="00893315"/>
    <w:rsid w:val="008933F3"/>
    <w:rsid w:val="00893464"/>
    <w:rsid w:val="008934BB"/>
    <w:rsid w:val="008934DA"/>
    <w:rsid w:val="00893554"/>
    <w:rsid w:val="008935A3"/>
    <w:rsid w:val="0089361E"/>
    <w:rsid w:val="0089382F"/>
    <w:rsid w:val="0089398A"/>
    <w:rsid w:val="00893BCC"/>
    <w:rsid w:val="00893CBF"/>
    <w:rsid w:val="00893E8E"/>
    <w:rsid w:val="008940A6"/>
    <w:rsid w:val="0089422A"/>
    <w:rsid w:val="008942AC"/>
    <w:rsid w:val="008943CC"/>
    <w:rsid w:val="00894537"/>
    <w:rsid w:val="0089482F"/>
    <w:rsid w:val="00894A1D"/>
    <w:rsid w:val="00894AD4"/>
    <w:rsid w:val="00894E89"/>
    <w:rsid w:val="00894FC3"/>
    <w:rsid w:val="008952D8"/>
    <w:rsid w:val="0089532F"/>
    <w:rsid w:val="0089550E"/>
    <w:rsid w:val="00895545"/>
    <w:rsid w:val="0089556E"/>
    <w:rsid w:val="0089560D"/>
    <w:rsid w:val="008956E2"/>
    <w:rsid w:val="0089580B"/>
    <w:rsid w:val="00895DB9"/>
    <w:rsid w:val="008960A2"/>
    <w:rsid w:val="0089610A"/>
    <w:rsid w:val="00896125"/>
    <w:rsid w:val="0089635C"/>
    <w:rsid w:val="008965CC"/>
    <w:rsid w:val="0089669F"/>
    <w:rsid w:val="00896895"/>
    <w:rsid w:val="008969E2"/>
    <w:rsid w:val="00896AA1"/>
    <w:rsid w:val="00896CF3"/>
    <w:rsid w:val="00896D17"/>
    <w:rsid w:val="00896EB1"/>
    <w:rsid w:val="0089709D"/>
    <w:rsid w:val="008971BF"/>
    <w:rsid w:val="0089731F"/>
    <w:rsid w:val="0089734A"/>
    <w:rsid w:val="008973D4"/>
    <w:rsid w:val="00897502"/>
    <w:rsid w:val="008975BD"/>
    <w:rsid w:val="008975EC"/>
    <w:rsid w:val="00897652"/>
    <w:rsid w:val="008977E4"/>
    <w:rsid w:val="00897883"/>
    <w:rsid w:val="00897981"/>
    <w:rsid w:val="00897FFA"/>
    <w:rsid w:val="008A0281"/>
    <w:rsid w:val="008A0329"/>
    <w:rsid w:val="008A0545"/>
    <w:rsid w:val="008A0588"/>
    <w:rsid w:val="008A05C8"/>
    <w:rsid w:val="008A060A"/>
    <w:rsid w:val="008A07D8"/>
    <w:rsid w:val="008A0819"/>
    <w:rsid w:val="008A087F"/>
    <w:rsid w:val="008A0AB7"/>
    <w:rsid w:val="008A0BCE"/>
    <w:rsid w:val="008A0CAA"/>
    <w:rsid w:val="008A0D4B"/>
    <w:rsid w:val="008A0EFA"/>
    <w:rsid w:val="008A0F22"/>
    <w:rsid w:val="008A0F4E"/>
    <w:rsid w:val="008A10D5"/>
    <w:rsid w:val="008A11D0"/>
    <w:rsid w:val="008A12F6"/>
    <w:rsid w:val="008A13BC"/>
    <w:rsid w:val="008A146F"/>
    <w:rsid w:val="008A14B0"/>
    <w:rsid w:val="008A1634"/>
    <w:rsid w:val="008A17DE"/>
    <w:rsid w:val="008A1A12"/>
    <w:rsid w:val="008A1BC5"/>
    <w:rsid w:val="008A1D2B"/>
    <w:rsid w:val="008A1E09"/>
    <w:rsid w:val="008A1FBD"/>
    <w:rsid w:val="008A2107"/>
    <w:rsid w:val="008A2396"/>
    <w:rsid w:val="008A23E6"/>
    <w:rsid w:val="008A248D"/>
    <w:rsid w:val="008A249B"/>
    <w:rsid w:val="008A24F5"/>
    <w:rsid w:val="008A256F"/>
    <w:rsid w:val="008A25BA"/>
    <w:rsid w:val="008A28E3"/>
    <w:rsid w:val="008A2980"/>
    <w:rsid w:val="008A29C3"/>
    <w:rsid w:val="008A2A0E"/>
    <w:rsid w:val="008A2C28"/>
    <w:rsid w:val="008A2D91"/>
    <w:rsid w:val="008A2DE4"/>
    <w:rsid w:val="008A2F35"/>
    <w:rsid w:val="008A2F38"/>
    <w:rsid w:val="008A2F48"/>
    <w:rsid w:val="008A301B"/>
    <w:rsid w:val="008A3061"/>
    <w:rsid w:val="008A32D9"/>
    <w:rsid w:val="008A32F6"/>
    <w:rsid w:val="008A3519"/>
    <w:rsid w:val="008A3539"/>
    <w:rsid w:val="008A35B9"/>
    <w:rsid w:val="008A3AA3"/>
    <w:rsid w:val="008A3C72"/>
    <w:rsid w:val="008A3D03"/>
    <w:rsid w:val="008A3D6D"/>
    <w:rsid w:val="008A3E55"/>
    <w:rsid w:val="008A3F72"/>
    <w:rsid w:val="008A413C"/>
    <w:rsid w:val="008A42E5"/>
    <w:rsid w:val="008A43C0"/>
    <w:rsid w:val="008A45A5"/>
    <w:rsid w:val="008A45F7"/>
    <w:rsid w:val="008A472D"/>
    <w:rsid w:val="008A47CC"/>
    <w:rsid w:val="008A4CCE"/>
    <w:rsid w:val="008A4D47"/>
    <w:rsid w:val="008A4DB3"/>
    <w:rsid w:val="008A4F32"/>
    <w:rsid w:val="008A4F4D"/>
    <w:rsid w:val="008A515A"/>
    <w:rsid w:val="008A521D"/>
    <w:rsid w:val="008A5538"/>
    <w:rsid w:val="008A5571"/>
    <w:rsid w:val="008A5684"/>
    <w:rsid w:val="008A5742"/>
    <w:rsid w:val="008A597E"/>
    <w:rsid w:val="008A5A81"/>
    <w:rsid w:val="008A5AA1"/>
    <w:rsid w:val="008A5ACA"/>
    <w:rsid w:val="008A5BF6"/>
    <w:rsid w:val="008A5E78"/>
    <w:rsid w:val="008A5F16"/>
    <w:rsid w:val="008A61BF"/>
    <w:rsid w:val="008A6299"/>
    <w:rsid w:val="008A62B0"/>
    <w:rsid w:val="008A6339"/>
    <w:rsid w:val="008A65D8"/>
    <w:rsid w:val="008A668A"/>
    <w:rsid w:val="008A66CC"/>
    <w:rsid w:val="008A683F"/>
    <w:rsid w:val="008A69A8"/>
    <w:rsid w:val="008A6A4D"/>
    <w:rsid w:val="008A6BBE"/>
    <w:rsid w:val="008A6F62"/>
    <w:rsid w:val="008A703C"/>
    <w:rsid w:val="008A70FD"/>
    <w:rsid w:val="008A731E"/>
    <w:rsid w:val="008A736F"/>
    <w:rsid w:val="008A7388"/>
    <w:rsid w:val="008A7541"/>
    <w:rsid w:val="008A7A69"/>
    <w:rsid w:val="008A7C81"/>
    <w:rsid w:val="008A7CD2"/>
    <w:rsid w:val="008A7EB1"/>
    <w:rsid w:val="008B0063"/>
    <w:rsid w:val="008B009E"/>
    <w:rsid w:val="008B01CD"/>
    <w:rsid w:val="008B0489"/>
    <w:rsid w:val="008B0712"/>
    <w:rsid w:val="008B0776"/>
    <w:rsid w:val="008B078B"/>
    <w:rsid w:val="008B07A7"/>
    <w:rsid w:val="008B07E1"/>
    <w:rsid w:val="008B08AA"/>
    <w:rsid w:val="008B0CBD"/>
    <w:rsid w:val="008B0CC7"/>
    <w:rsid w:val="008B0DB0"/>
    <w:rsid w:val="008B0F18"/>
    <w:rsid w:val="008B0F1B"/>
    <w:rsid w:val="008B108B"/>
    <w:rsid w:val="008B112A"/>
    <w:rsid w:val="008B1282"/>
    <w:rsid w:val="008B12F9"/>
    <w:rsid w:val="008B1463"/>
    <w:rsid w:val="008B150C"/>
    <w:rsid w:val="008B1559"/>
    <w:rsid w:val="008B1700"/>
    <w:rsid w:val="008B17CD"/>
    <w:rsid w:val="008B180F"/>
    <w:rsid w:val="008B1E5B"/>
    <w:rsid w:val="008B1EE1"/>
    <w:rsid w:val="008B219D"/>
    <w:rsid w:val="008B22E8"/>
    <w:rsid w:val="008B23DE"/>
    <w:rsid w:val="008B25FC"/>
    <w:rsid w:val="008B2621"/>
    <w:rsid w:val="008B26E8"/>
    <w:rsid w:val="008B28FF"/>
    <w:rsid w:val="008B293F"/>
    <w:rsid w:val="008B2AB3"/>
    <w:rsid w:val="008B2D1D"/>
    <w:rsid w:val="008B2D7D"/>
    <w:rsid w:val="008B2F52"/>
    <w:rsid w:val="008B312F"/>
    <w:rsid w:val="008B320A"/>
    <w:rsid w:val="008B3474"/>
    <w:rsid w:val="008B349F"/>
    <w:rsid w:val="008B3872"/>
    <w:rsid w:val="008B39FF"/>
    <w:rsid w:val="008B3A09"/>
    <w:rsid w:val="008B3A19"/>
    <w:rsid w:val="008B3AC9"/>
    <w:rsid w:val="008B3B44"/>
    <w:rsid w:val="008B3CC5"/>
    <w:rsid w:val="008B3CF3"/>
    <w:rsid w:val="008B3EE1"/>
    <w:rsid w:val="008B3F47"/>
    <w:rsid w:val="008B3F70"/>
    <w:rsid w:val="008B4011"/>
    <w:rsid w:val="008B453A"/>
    <w:rsid w:val="008B470F"/>
    <w:rsid w:val="008B482E"/>
    <w:rsid w:val="008B4919"/>
    <w:rsid w:val="008B4A95"/>
    <w:rsid w:val="008B4DEF"/>
    <w:rsid w:val="008B4F2C"/>
    <w:rsid w:val="008B4FF5"/>
    <w:rsid w:val="008B502B"/>
    <w:rsid w:val="008B506F"/>
    <w:rsid w:val="008B5076"/>
    <w:rsid w:val="008B525F"/>
    <w:rsid w:val="008B526D"/>
    <w:rsid w:val="008B527D"/>
    <w:rsid w:val="008B54BB"/>
    <w:rsid w:val="008B550B"/>
    <w:rsid w:val="008B5775"/>
    <w:rsid w:val="008B58E7"/>
    <w:rsid w:val="008B5C41"/>
    <w:rsid w:val="008B6094"/>
    <w:rsid w:val="008B60CE"/>
    <w:rsid w:val="008B6265"/>
    <w:rsid w:val="008B62AD"/>
    <w:rsid w:val="008B63EE"/>
    <w:rsid w:val="008B64B5"/>
    <w:rsid w:val="008B662C"/>
    <w:rsid w:val="008B6850"/>
    <w:rsid w:val="008B689D"/>
    <w:rsid w:val="008B6AE0"/>
    <w:rsid w:val="008B6C69"/>
    <w:rsid w:val="008B6E32"/>
    <w:rsid w:val="008B6F6A"/>
    <w:rsid w:val="008B6F91"/>
    <w:rsid w:val="008B6FF3"/>
    <w:rsid w:val="008B7048"/>
    <w:rsid w:val="008B7194"/>
    <w:rsid w:val="008B71C3"/>
    <w:rsid w:val="008B7275"/>
    <w:rsid w:val="008B73AE"/>
    <w:rsid w:val="008B73C3"/>
    <w:rsid w:val="008B74FB"/>
    <w:rsid w:val="008B7545"/>
    <w:rsid w:val="008B76A9"/>
    <w:rsid w:val="008B774C"/>
    <w:rsid w:val="008B79E0"/>
    <w:rsid w:val="008B7AF9"/>
    <w:rsid w:val="008B7C29"/>
    <w:rsid w:val="008B7C4B"/>
    <w:rsid w:val="008B7D0A"/>
    <w:rsid w:val="008C02E5"/>
    <w:rsid w:val="008C0567"/>
    <w:rsid w:val="008C066D"/>
    <w:rsid w:val="008C0788"/>
    <w:rsid w:val="008C094C"/>
    <w:rsid w:val="008C0CF2"/>
    <w:rsid w:val="008C0E87"/>
    <w:rsid w:val="008C0FD1"/>
    <w:rsid w:val="008C1090"/>
    <w:rsid w:val="008C10B6"/>
    <w:rsid w:val="008C175F"/>
    <w:rsid w:val="008C1840"/>
    <w:rsid w:val="008C186A"/>
    <w:rsid w:val="008C1A1B"/>
    <w:rsid w:val="008C1BB2"/>
    <w:rsid w:val="008C1C6C"/>
    <w:rsid w:val="008C1DF0"/>
    <w:rsid w:val="008C2080"/>
    <w:rsid w:val="008C222B"/>
    <w:rsid w:val="008C2348"/>
    <w:rsid w:val="008C2369"/>
    <w:rsid w:val="008C245D"/>
    <w:rsid w:val="008C248C"/>
    <w:rsid w:val="008C25F5"/>
    <w:rsid w:val="008C2A58"/>
    <w:rsid w:val="008C2C95"/>
    <w:rsid w:val="008C2CD9"/>
    <w:rsid w:val="008C2D04"/>
    <w:rsid w:val="008C2EB9"/>
    <w:rsid w:val="008C2ED2"/>
    <w:rsid w:val="008C312C"/>
    <w:rsid w:val="008C3427"/>
    <w:rsid w:val="008C345C"/>
    <w:rsid w:val="008C35ED"/>
    <w:rsid w:val="008C3838"/>
    <w:rsid w:val="008C383A"/>
    <w:rsid w:val="008C3A0A"/>
    <w:rsid w:val="008C3AEE"/>
    <w:rsid w:val="008C3AFF"/>
    <w:rsid w:val="008C401C"/>
    <w:rsid w:val="008C4056"/>
    <w:rsid w:val="008C41D9"/>
    <w:rsid w:val="008C41EB"/>
    <w:rsid w:val="008C420D"/>
    <w:rsid w:val="008C4387"/>
    <w:rsid w:val="008C44A6"/>
    <w:rsid w:val="008C4578"/>
    <w:rsid w:val="008C45DA"/>
    <w:rsid w:val="008C46B4"/>
    <w:rsid w:val="008C4772"/>
    <w:rsid w:val="008C48FE"/>
    <w:rsid w:val="008C4AD2"/>
    <w:rsid w:val="008C4D74"/>
    <w:rsid w:val="008C4DDC"/>
    <w:rsid w:val="008C4DFA"/>
    <w:rsid w:val="008C4E47"/>
    <w:rsid w:val="008C4EE1"/>
    <w:rsid w:val="008C4F51"/>
    <w:rsid w:val="008C50EB"/>
    <w:rsid w:val="008C5207"/>
    <w:rsid w:val="008C5278"/>
    <w:rsid w:val="008C54AA"/>
    <w:rsid w:val="008C5576"/>
    <w:rsid w:val="008C56C4"/>
    <w:rsid w:val="008C57C0"/>
    <w:rsid w:val="008C57E5"/>
    <w:rsid w:val="008C58B5"/>
    <w:rsid w:val="008C59C1"/>
    <w:rsid w:val="008C5A8D"/>
    <w:rsid w:val="008C5BB5"/>
    <w:rsid w:val="008C5C5D"/>
    <w:rsid w:val="008C5CB8"/>
    <w:rsid w:val="008C60B5"/>
    <w:rsid w:val="008C6117"/>
    <w:rsid w:val="008C63E0"/>
    <w:rsid w:val="008C6409"/>
    <w:rsid w:val="008C64A4"/>
    <w:rsid w:val="008C6560"/>
    <w:rsid w:val="008C668E"/>
    <w:rsid w:val="008C6A28"/>
    <w:rsid w:val="008C6A81"/>
    <w:rsid w:val="008C6A9C"/>
    <w:rsid w:val="008C6B6B"/>
    <w:rsid w:val="008C6CBA"/>
    <w:rsid w:val="008C6D18"/>
    <w:rsid w:val="008C70BB"/>
    <w:rsid w:val="008C70CD"/>
    <w:rsid w:val="008C7194"/>
    <w:rsid w:val="008C73AD"/>
    <w:rsid w:val="008C73EC"/>
    <w:rsid w:val="008C746A"/>
    <w:rsid w:val="008C7739"/>
    <w:rsid w:val="008C7B5A"/>
    <w:rsid w:val="008C7B7A"/>
    <w:rsid w:val="008C7BC4"/>
    <w:rsid w:val="008C7BFA"/>
    <w:rsid w:val="008C7C9E"/>
    <w:rsid w:val="008C7D03"/>
    <w:rsid w:val="008C7EB6"/>
    <w:rsid w:val="008C7F02"/>
    <w:rsid w:val="008C7F3D"/>
    <w:rsid w:val="008C7F7E"/>
    <w:rsid w:val="008C7F9B"/>
    <w:rsid w:val="008C7FA3"/>
    <w:rsid w:val="008D010E"/>
    <w:rsid w:val="008D0171"/>
    <w:rsid w:val="008D0256"/>
    <w:rsid w:val="008D0291"/>
    <w:rsid w:val="008D0521"/>
    <w:rsid w:val="008D06C3"/>
    <w:rsid w:val="008D0CEA"/>
    <w:rsid w:val="008D0E11"/>
    <w:rsid w:val="008D0E7D"/>
    <w:rsid w:val="008D0F6E"/>
    <w:rsid w:val="008D0FFB"/>
    <w:rsid w:val="008D10CB"/>
    <w:rsid w:val="008D16B4"/>
    <w:rsid w:val="008D172B"/>
    <w:rsid w:val="008D1787"/>
    <w:rsid w:val="008D17DE"/>
    <w:rsid w:val="008D1835"/>
    <w:rsid w:val="008D194C"/>
    <w:rsid w:val="008D19C0"/>
    <w:rsid w:val="008D19E4"/>
    <w:rsid w:val="008D1B2B"/>
    <w:rsid w:val="008D1B64"/>
    <w:rsid w:val="008D1BB3"/>
    <w:rsid w:val="008D1CE7"/>
    <w:rsid w:val="008D1CFF"/>
    <w:rsid w:val="008D1DD2"/>
    <w:rsid w:val="008D1E12"/>
    <w:rsid w:val="008D20D6"/>
    <w:rsid w:val="008D2322"/>
    <w:rsid w:val="008D2449"/>
    <w:rsid w:val="008D26B0"/>
    <w:rsid w:val="008D284F"/>
    <w:rsid w:val="008D2A79"/>
    <w:rsid w:val="008D2DCB"/>
    <w:rsid w:val="008D2DEB"/>
    <w:rsid w:val="008D2E5A"/>
    <w:rsid w:val="008D2E5B"/>
    <w:rsid w:val="008D3114"/>
    <w:rsid w:val="008D3218"/>
    <w:rsid w:val="008D32E0"/>
    <w:rsid w:val="008D337A"/>
    <w:rsid w:val="008D345F"/>
    <w:rsid w:val="008D34F4"/>
    <w:rsid w:val="008D35F5"/>
    <w:rsid w:val="008D3782"/>
    <w:rsid w:val="008D3792"/>
    <w:rsid w:val="008D37B1"/>
    <w:rsid w:val="008D3B5C"/>
    <w:rsid w:val="008D3E27"/>
    <w:rsid w:val="008D3F35"/>
    <w:rsid w:val="008D4286"/>
    <w:rsid w:val="008D4552"/>
    <w:rsid w:val="008D4585"/>
    <w:rsid w:val="008D4631"/>
    <w:rsid w:val="008D4656"/>
    <w:rsid w:val="008D4734"/>
    <w:rsid w:val="008D476B"/>
    <w:rsid w:val="008D47A6"/>
    <w:rsid w:val="008D4814"/>
    <w:rsid w:val="008D483C"/>
    <w:rsid w:val="008D4872"/>
    <w:rsid w:val="008D48F9"/>
    <w:rsid w:val="008D4980"/>
    <w:rsid w:val="008D4989"/>
    <w:rsid w:val="008D4A80"/>
    <w:rsid w:val="008D4AB4"/>
    <w:rsid w:val="008D4ABD"/>
    <w:rsid w:val="008D4B15"/>
    <w:rsid w:val="008D4BD9"/>
    <w:rsid w:val="008D4C01"/>
    <w:rsid w:val="008D4C5C"/>
    <w:rsid w:val="008D4F43"/>
    <w:rsid w:val="008D517C"/>
    <w:rsid w:val="008D51B4"/>
    <w:rsid w:val="008D5219"/>
    <w:rsid w:val="008D53D7"/>
    <w:rsid w:val="008D550F"/>
    <w:rsid w:val="008D55C3"/>
    <w:rsid w:val="008D55FD"/>
    <w:rsid w:val="008D580C"/>
    <w:rsid w:val="008D58FE"/>
    <w:rsid w:val="008D5993"/>
    <w:rsid w:val="008D5AC3"/>
    <w:rsid w:val="008D5AD9"/>
    <w:rsid w:val="008D5C4D"/>
    <w:rsid w:val="008D5CF1"/>
    <w:rsid w:val="008D5D05"/>
    <w:rsid w:val="008D60FA"/>
    <w:rsid w:val="008D61A1"/>
    <w:rsid w:val="008D61A3"/>
    <w:rsid w:val="008D63E1"/>
    <w:rsid w:val="008D651C"/>
    <w:rsid w:val="008D6805"/>
    <w:rsid w:val="008D68F7"/>
    <w:rsid w:val="008D6A0F"/>
    <w:rsid w:val="008D6A3A"/>
    <w:rsid w:val="008D6BA1"/>
    <w:rsid w:val="008D6BDD"/>
    <w:rsid w:val="008D6DE1"/>
    <w:rsid w:val="008D73B6"/>
    <w:rsid w:val="008D741B"/>
    <w:rsid w:val="008D7894"/>
    <w:rsid w:val="008E0040"/>
    <w:rsid w:val="008E006B"/>
    <w:rsid w:val="008E0128"/>
    <w:rsid w:val="008E0429"/>
    <w:rsid w:val="008E04BB"/>
    <w:rsid w:val="008E071F"/>
    <w:rsid w:val="008E0888"/>
    <w:rsid w:val="008E0946"/>
    <w:rsid w:val="008E0B7B"/>
    <w:rsid w:val="008E0E94"/>
    <w:rsid w:val="008E0F7E"/>
    <w:rsid w:val="008E0F9D"/>
    <w:rsid w:val="008E0FC0"/>
    <w:rsid w:val="008E100A"/>
    <w:rsid w:val="008E1567"/>
    <w:rsid w:val="008E1849"/>
    <w:rsid w:val="008E186B"/>
    <w:rsid w:val="008E18CA"/>
    <w:rsid w:val="008E1945"/>
    <w:rsid w:val="008E19B0"/>
    <w:rsid w:val="008E1A3A"/>
    <w:rsid w:val="008E1A6E"/>
    <w:rsid w:val="008E1B2C"/>
    <w:rsid w:val="008E1B74"/>
    <w:rsid w:val="008E1CC2"/>
    <w:rsid w:val="008E1E22"/>
    <w:rsid w:val="008E1F8E"/>
    <w:rsid w:val="008E2257"/>
    <w:rsid w:val="008E22E4"/>
    <w:rsid w:val="008E2319"/>
    <w:rsid w:val="008E253A"/>
    <w:rsid w:val="008E25C5"/>
    <w:rsid w:val="008E2642"/>
    <w:rsid w:val="008E2653"/>
    <w:rsid w:val="008E276C"/>
    <w:rsid w:val="008E2881"/>
    <w:rsid w:val="008E289B"/>
    <w:rsid w:val="008E2950"/>
    <w:rsid w:val="008E2AAF"/>
    <w:rsid w:val="008E3061"/>
    <w:rsid w:val="008E30D5"/>
    <w:rsid w:val="008E31BB"/>
    <w:rsid w:val="008E357E"/>
    <w:rsid w:val="008E37D4"/>
    <w:rsid w:val="008E3A22"/>
    <w:rsid w:val="008E3A2E"/>
    <w:rsid w:val="008E3ADE"/>
    <w:rsid w:val="008E3C0D"/>
    <w:rsid w:val="008E3EC8"/>
    <w:rsid w:val="008E3FF4"/>
    <w:rsid w:val="008E40CB"/>
    <w:rsid w:val="008E411D"/>
    <w:rsid w:val="008E4190"/>
    <w:rsid w:val="008E41E1"/>
    <w:rsid w:val="008E420A"/>
    <w:rsid w:val="008E4213"/>
    <w:rsid w:val="008E4791"/>
    <w:rsid w:val="008E48C9"/>
    <w:rsid w:val="008E48F2"/>
    <w:rsid w:val="008E49A5"/>
    <w:rsid w:val="008E4A08"/>
    <w:rsid w:val="008E4A81"/>
    <w:rsid w:val="008E4DA4"/>
    <w:rsid w:val="008E4F3D"/>
    <w:rsid w:val="008E53D8"/>
    <w:rsid w:val="008E545F"/>
    <w:rsid w:val="008E558C"/>
    <w:rsid w:val="008E55A1"/>
    <w:rsid w:val="008E5654"/>
    <w:rsid w:val="008E56BE"/>
    <w:rsid w:val="008E571B"/>
    <w:rsid w:val="008E58A7"/>
    <w:rsid w:val="008E5984"/>
    <w:rsid w:val="008E5B4B"/>
    <w:rsid w:val="008E5D93"/>
    <w:rsid w:val="008E5DDA"/>
    <w:rsid w:val="008E5FA5"/>
    <w:rsid w:val="008E603F"/>
    <w:rsid w:val="008E611B"/>
    <w:rsid w:val="008E6205"/>
    <w:rsid w:val="008E62CB"/>
    <w:rsid w:val="008E6419"/>
    <w:rsid w:val="008E6489"/>
    <w:rsid w:val="008E6657"/>
    <w:rsid w:val="008E6766"/>
    <w:rsid w:val="008E6863"/>
    <w:rsid w:val="008E6A54"/>
    <w:rsid w:val="008E6B70"/>
    <w:rsid w:val="008E6D91"/>
    <w:rsid w:val="008E711B"/>
    <w:rsid w:val="008E71BD"/>
    <w:rsid w:val="008E71DB"/>
    <w:rsid w:val="008E72C0"/>
    <w:rsid w:val="008E734F"/>
    <w:rsid w:val="008E746F"/>
    <w:rsid w:val="008E74D1"/>
    <w:rsid w:val="008E7814"/>
    <w:rsid w:val="008E7A72"/>
    <w:rsid w:val="008E7A8E"/>
    <w:rsid w:val="008E7C2C"/>
    <w:rsid w:val="008E7CE6"/>
    <w:rsid w:val="008E7DDA"/>
    <w:rsid w:val="008E7F83"/>
    <w:rsid w:val="008E7F8A"/>
    <w:rsid w:val="008F013A"/>
    <w:rsid w:val="008F01CB"/>
    <w:rsid w:val="008F0352"/>
    <w:rsid w:val="008F039E"/>
    <w:rsid w:val="008F07B9"/>
    <w:rsid w:val="008F07EE"/>
    <w:rsid w:val="008F086A"/>
    <w:rsid w:val="008F0B61"/>
    <w:rsid w:val="008F0C9F"/>
    <w:rsid w:val="008F0DED"/>
    <w:rsid w:val="008F0E99"/>
    <w:rsid w:val="008F1317"/>
    <w:rsid w:val="008F1559"/>
    <w:rsid w:val="008F15D9"/>
    <w:rsid w:val="008F1706"/>
    <w:rsid w:val="008F1815"/>
    <w:rsid w:val="008F1829"/>
    <w:rsid w:val="008F18F5"/>
    <w:rsid w:val="008F1A3A"/>
    <w:rsid w:val="008F1B0D"/>
    <w:rsid w:val="008F1C38"/>
    <w:rsid w:val="008F1E43"/>
    <w:rsid w:val="008F2068"/>
    <w:rsid w:val="008F208B"/>
    <w:rsid w:val="008F24FF"/>
    <w:rsid w:val="008F2583"/>
    <w:rsid w:val="008F2597"/>
    <w:rsid w:val="008F25C1"/>
    <w:rsid w:val="008F2669"/>
    <w:rsid w:val="008F26D2"/>
    <w:rsid w:val="008F2816"/>
    <w:rsid w:val="008F2998"/>
    <w:rsid w:val="008F2A86"/>
    <w:rsid w:val="008F2BB6"/>
    <w:rsid w:val="008F2C12"/>
    <w:rsid w:val="008F2C6B"/>
    <w:rsid w:val="008F2EFF"/>
    <w:rsid w:val="008F3111"/>
    <w:rsid w:val="008F3151"/>
    <w:rsid w:val="008F3271"/>
    <w:rsid w:val="008F33C8"/>
    <w:rsid w:val="008F33D0"/>
    <w:rsid w:val="008F3611"/>
    <w:rsid w:val="008F37DC"/>
    <w:rsid w:val="008F37FB"/>
    <w:rsid w:val="008F3908"/>
    <w:rsid w:val="008F3C3D"/>
    <w:rsid w:val="008F3D5A"/>
    <w:rsid w:val="008F3DAC"/>
    <w:rsid w:val="008F3FF5"/>
    <w:rsid w:val="008F4242"/>
    <w:rsid w:val="008F4292"/>
    <w:rsid w:val="008F4324"/>
    <w:rsid w:val="008F4401"/>
    <w:rsid w:val="008F4519"/>
    <w:rsid w:val="008F4649"/>
    <w:rsid w:val="008F46C9"/>
    <w:rsid w:val="008F47EC"/>
    <w:rsid w:val="008F4A82"/>
    <w:rsid w:val="008F4B7C"/>
    <w:rsid w:val="008F4CFF"/>
    <w:rsid w:val="008F4F07"/>
    <w:rsid w:val="008F50C5"/>
    <w:rsid w:val="008F51DC"/>
    <w:rsid w:val="008F53FB"/>
    <w:rsid w:val="008F55F9"/>
    <w:rsid w:val="008F5694"/>
    <w:rsid w:val="008F5A7F"/>
    <w:rsid w:val="008F5AA3"/>
    <w:rsid w:val="008F5B76"/>
    <w:rsid w:val="008F5F2D"/>
    <w:rsid w:val="008F5F56"/>
    <w:rsid w:val="008F61BE"/>
    <w:rsid w:val="008F6256"/>
    <w:rsid w:val="008F63FA"/>
    <w:rsid w:val="008F64F0"/>
    <w:rsid w:val="008F6519"/>
    <w:rsid w:val="008F6591"/>
    <w:rsid w:val="008F677B"/>
    <w:rsid w:val="008F6CC5"/>
    <w:rsid w:val="008F6D6F"/>
    <w:rsid w:val="008F6E19"/>
    <w:rsid w:val="008F6F00"/>
    <w:rsid w:val="008F6F6F"/>
    <w:rsid w:val="008F70F1"/>
    <w:rsid w:val="008F7189"/>
    <w:rsid w:val="008F719E"/>
    <w:rsid w:val="008F7206"/>
    <w:rsid w:val="008F72E9"/>
    <w:rsid w:val="008F743A"/>
    <w:rsid w:val="008F74D4"/>
    <w:rsid w:val="008F7825"/>
    <w:rsid w:val="008F78FA"/>
    <w:rsid w:val="008F7912"/>
    <w:rsid w:val="008F7BD5"/>
    <w:rsid w:val="008F7E3D"/>
    <w:rsid w:val="008F7EA4"/>
    <w:rsid w:val="008F7EB9"/>
    <w:rsid w:val="008F926F"/>
    <w:rsid w:val="0090005B"/>
    <w:rsid w:val="0090038C"/>
    <w:rsid w:val="009003EC"/>
    <w:rsid w:val="009005DC"/>
    <w:rsid w:val="0090075E"/>
    <w:rsid w:val="009008A1"/>
    <w:rsid w:val="009008BC"/>
    <w:rsid w:val="00900BF1"/>
    <w:rsid w:val="00900C96"/>
    <w:rsid w:val="00900D5F"/>
    <w:rsid w:val="00900D7C"/>
    <w:rsid w:val="00900E4C"/>
    <w:rsid w:val="00900E82"/>
    <w:rsid w:val="009010D7"/>
    <w:rsid w:val="009010FD"/>
    <w:rsid w:val="00901294"/>
    <w:rsid w:val="00901333"/>
    <w:rsid w:val="0090148B"/>
    <w:rsid w:val="009014CF"/>
    <w:rsid w:val="009018E4"/>
    <w:rsid w:val="00901C6B"/>
    <w:rsid w:val="00901E9F"/>
    <w:rsid w:val="00901FC9"/>
    <w:rsid w:val="0090211F"/>
    <w:rsid w:val="00902391"/>
    <w:rsid w:val="009024F7"/>
    <w:rsid w:val="009027E6"/>
    <w:rsid w:val="00902A97"/>
    <w:rsid w:val="00902B54"/>
    <w:rsid w:val="00902BBC"/>
    <w:rsid w:val="00902C0E"/>
    <w:rsid w:val="00902DB5"/>
    <w:rsid w:val="00903126"/>
    <w:rsid w:val="00903143"/>
    <w:rsid w:val="00903289"/>
    <w:rsid w:val="0090328D"/>
    <w:rsid w:val="009032BE"/>
    <w:rsid w:val="0090335A"/>
    <w:rsid w:val="00903393"/>
    <w:rsid w:val="0090345B"/>
    <w:rsid w:val="0090348E"/>
    <w:rsid w:val="009034A5"/>
    <w:rsid w:val="009035A2"/>
    <w:rsid w:val="009035E6"/>
    <w:rsid w:val="009036ED"/>
    <w:rsid w:val="00903BAB"/>
    <w:rsid w:val="00903C05"/>
    <w:rsid w:val="00903C32"/>
    <w:rsid w:val="00903C52"/>
    <w:rsid w:val="00903C69"/>
    <w:rsid w:val="00903FB7"/>
    <w:rsid w:val="0090400A"/>
    <w:rsid w:val="00904054"/>
    <w:rsid w:val="009042A3"/>
    <w:rsid w:val="009042C2"/>
    <w:rsid w:val="0090449C"/>
    <w:rsid w:val="009044C4"/>
    <w:rsid w:val="00904534"/>
    <w:rsid w:val="0090463D"/>
    <w:rsid w:val="009046BE"/>
    <w:rsid w:val="00904894"/>
    <w:rsid w:val="009048D1"/>
    <w:rsid w:val="00904931"/>
    <w:rsid w:val="00904A42"/>
    <w:rsid w:val="0090533C"/>
    <w:rsid w:val="00905453"/>
    <w:rsid w:val="009055DE"/>
    <w:rsid w:val="009058CE"/>
    <w:rsid w:val="00905A60"/>
    <w:rsid w:val="00905BC8"/>
    <w:rsid w:val="00905BCA"/>
    <w:rsid w:val="00905D7D"/>
    <w:rsid w:val="009062F0"/>
    <w:rsid w:val="0090632F"/>
    <w:rsid w:val="009064D2"/>
    <w:rsid w:val="00906604"/>
    <w:rsid w:val="00906869"/>
    <w:rsid w:val="009068D0"/>
    <w:rsid w:val="00906955"/>
    <w:rsid w:val="0090696F"/>
    <w:rsid w:val="00906B17"/>
    <w:rsid w:val="00906B24"/>
    <w:rsid w:val="00906B95"/>
    <w:rsid w:val="00906D16"/>
    <w:rsid w:val="00906E12"/>
    <w:rsid w:val="00906E36"/>
    <w:rsid w:val="00906ED0"/>
    <w:rsid w:val="00906EE5"/>
    <w:rsid w:val="00907085"/>
    <w:rsid w:val="0090710B"/>
    <w:rsid w:val="009071F2"/>
    <w:rsid w:val="00907248"/>
    <w:rsid w:val="0090727B"/>
    <w:rsid w:val="009072EA"/>
    <w:rsid w:val="009072F9"/>
    <w:rsid w:val="0090735B"/>
    <w:rsid w:val="00907603"/>
    <w:rsid w:val="0090760F"/>
    <w:rsid w:val="00907783"/>
    <w:rsid w:val="009078B7"/>
    <w:rsid w:val="00907AC3"/>
    <w:rsid w:val="00907BDC"/>
    <w:rsid w:val="00907C79"/>
    <w:rsid w:val="00907D12"/>
    <w:rsid w:val="00907DC9"/>
    <w:rsid w:val="00907E03"/>
    <w:rsid w:val="00907F75"/>
    <w:rsid w:val="00907FEE"/>
    <w:rsid w:val="0091039E"/>
    <w:rsid w:val="00910565"/>
    <w:rsid w:val="009106F3"/>
    <w:rsid w:val="009107A1"/>
    <w:rsid w:val="009107D6"/>
    <w:rsid w:val="00910B75"/>
    <w:rsid w:val="00910D90"/>
    <w:rsid w:val="00910DE4"/>
    <w:rsid w:val="00910E61"/>
    <w:rsid w:val="00910F32"/>
    <w:rsid w:val="009111DF"/>
    <w:rsid w:val="009112D4"/>
    <w:rsid w:val="009112FC"/>
    <w:rsid w:val="00911537"/>
    <w:rsid w:val="00911737"/>
    <w:rsid w:val="00911773"/>
    <w:rsid w:val="00911874"/>
    <w:rsid w:val="0091195E"/>
    <w:rsid w:val="009119C9"/>
    <w:rsid w:val="00911A8F"/>
    <w:rsid w:val="00911AF8"/>
    <w:rsid w:val="00911B34"/>
    <w:rsid w:val="00911B61"/>
    <w:rsid w:val="00911C44"/>
    <w:rsid w:val="00911D2D"/>
    <w:rsid w:val="00911E4D"/>
    <w:rsid w:val="00911F1D"/>
    <w:rsid w:val="00911FE6"/>
    <w:rsid w:val="00912045"/>
    <w:rsid w:val="009121D8"/>
    <w:rsid w:val="009124FD"/>
    <w:rsid w:val="009127CA"/>
    <w:rsid w:val="00912800"/>
    <w:rsid w:val="00912CC2"/>
    <w:rsid w:val="00912CFA"/>
    <w:rsid w:val="00912DCE"/>
    <w:rsid w:val="00912F3D"/>
    <w:rsid w:val="0091301C"/>
    <w:rsid w:val="00913235"/>
    <w:rsid w:val="00913238"/>
    <w:rsid w:val="009135A0"/>
    <w:rsid w:val="009136F7"/>
    <w:rsid w:val="00913A69"/>
    <w:rsid w:val="00913BE8"/>
    <w:rsid w:val="00913C79"/>
    <w:rsid w:val="00913CC4"/>
    <w:rsid w:val="00913D23"/>
    <w:rsid w:val="00913DB9"/>
    <w:rsid w:val="00913DE8"/>
    <w:rsid w:val="00913F11"/>
    <w:rsid w:val="00913F34"/>
    <w:rsid w:val="00914111"/>
    <w:rsid w:val="009141CA"/>
    <w:rsid w:val="009141EC"/>
    <w:rsid w:val="00914209"/>
    <w:rsid w:val="0091422A"/>
    <w:rsid w:val="009142FD"/>
    <w:rsid w:val="009143B4"/>
    <w:rsid w:val="00914437"/>
    <w:rsid w:val="0091464F"/>
    <w:rsid w:val="00914799"/>
    <w:rsid w:val="00914A24"/>
    <w:rsid w:val="00914B80"/>
    <w:rsid w:val="00914C22"/>
    <w:rsid w:val="00914E33"/>
    <w:rsid w:val="00915028"/>
    <w:rsid w:val="009150A6"/>
    <w:rsid w:val="009153A5"/>
    <w:rsid w:val="009154D8"/>
    <w:rsid w:val="009156A4"/>
    <w:rsid w:val="00915AC5"/>
    <w:rsid w:val="00915C23"/>
    <w:rsid w:val="00915C2D"/>
    <w:rsid w:val="00915CCE"/>
    <w:rsid w:val="00915EFB"/>
    <w:rsid w:val="0091607B"/>
    <w:rsid w:val="00916235"/>
    <w:rsid w:val="00916286"/>
    <w:rsid w:val="00916531"/>
    <w:rsid w:val="0091663B"/>
    <w:rsid w:val="0091669E"/>
    <w:rsid w:val="009167C2"/>
    <w:rsid w:val="00916808"/>
    <w:rsid w:val="00916833"/>
    <w:rsid w:val="00916B19"/>
    <w:rsid w:val="00916CE3"/>
    <w:rsid w:val="00916DE5"/>
    <w:rsid w:val="00916E8A"/>
    <w:rsid w:val="009170A7"/>
    <w:rsid w:val="00917187"/>
    <w:rsid w:val="009172F8"/>
    <w:rsid w:val="00917442"/>
    <w:rsid w:val="0091764F"/>
    <w:rsid w:val="009176E5"/>
    <w:rsid w:val="009177AC"/>
    <w:rsid w:val="00917821"/>
    <w:rsid w:val="009179C2"/>
    <w:rsid w:val="00917A00"/>
    <w:rsid w:val="00917BED"/>
    <w:rsid w:val="00917DDF"/>
    <w:rsid w:val="00917F8D"/>
    <w:rsid w:val="00917FFC"/>
    <w:rsid w:val="00920091"/>
    <w:rsid w:val="009201CE"/>
    <w:rsid w:val="00920202"/>
    <w:rsid w:val="009202ED"/>
    <w:rsid w:val="009203AF"/>
    <w:rsid w:val="0092063E"/>
    <w:rsid w:val="0092080F"/>
    <w:rsid w:val="00920D1A"/>
    <w:rsid w:val="00920F8A"/>
    <w:rsid w:val="00921038"/>
    <w:rsid w:val="009210E0"/>
    <w:rsid w:val="00921193"/>
    <w:rsid w:val="009211A5"/>
    <w:rsid w:val="0092128F"/>
    <w:rsid w:val="0092135A"/>
    <w:rsid w:val="009215F1"/>
    <w:rsid w:val="00921611"/>
    <w:rsid w:val="00921804"/>
    <w:rsid w:val="00921AF3"/>
    <w:rsid w:val="00921B11"/>
    <w:rsid w:val="00921D04"/>
    <w:rsid w:val="00921D36"/>
    <w:rsid w:val="00921F63"/>
    <w:rsid w:val="00921FA4"/>
    <w:rsid w:val="00922148"/>
    <w:rsid w:val="009221E2"/>
    <w:rsid w:val="00922220"/>
    <w:rsid w:val="0092222B"/>
    <w:rsid w:val="009222C0"/>
    <w:rsid w:val="00922305"/>
    <w:rsid w:val="00922339"/>
    <w:rsid w:val="009223B0"/>
    <w:rsid w:val="009223F3"/>
    <w:rsid w:val="00922442"/>
    <w:rsid w:val="009224C7"/>
    <w:rsid w:val="00922684"/>
    <w:rsid w:val="00922706"/>
    <w:rsid w:val="00922737"/>
    <w:rsid w:val="00922755"/>
    <w:rsid w:val="00922859"/>
    <w:rsid w:val="009229E7"/>
    <w:rsid w:val="00922AB1"/>
    <w:rsid w:val="00922DF3"/>
    <w:rsid w:val="009234BE"/>
    <w:rsid w:val="009234C4"/>
    <w:rsid w:val="00923C44"/>
    <w:rsid w:val="00923C9D"/>
    <w:rsid w:val="00923CEF"/>
    <w:rsid w:val="00923D46"/>
    <w:rsid w:val="00923E6D"/>
    <w:rsid w:val="00923F2C"/>
    <w:rsid w:val="0092408A"/>
    <w:rsid w:val="009240E7"/>
    <w:rsid w:val="0092415C"/>
    <w:rsid w:val="00924473"/>
    <w:rsid w:val="009244B8"/>
    <w:rsid w:val="0092468C"/>
    <w:rsid w:val="009246B8"/>
    <w:rsid w:val="009246DE"/>
    <w:rsid w:val="00924750"/>
    <w:rsid w:val="009247EF"/>
    <w:rsid w:val="00924823"/>
    <w:rsid w:val="00924900"/>
    <w:rsid w:val="009249D6"/>
    <w:rsid w:val="00924BDF"/>
    <w:rsid w:val="00924C85"/>
    <w:rsid w:val="00924CA2"/>
    <w:rsid w:val="00924D7C"/>
    <w:rsid w:val="00924EB7"/>
    <w:rsid w:val="00925077"/>
    <w:rsid w:val="00925319"/>
    <w:rsid w:val="0092537E"/>
    <w:rsid w:val="009257CF"/>
    <w:rsid w:val="009257E2"/>
    <w:rsid w:val="009258BE"/>
    <w:rsid w:val="00925B37"/>
    <w:rsid w:val="00925BE2"/>
    <w:rsid w:val="00925C0C"/>
    <w:rsid w:val="00925D2A"/>
    <w:rsid w:val="00925DA9"/>
    <w:rsid w:val="00925DB0"/>
    <w:rsid w:val="00925E89"/>
    <w:rsid w:val="009260A8"/>
    <w:rsid w:val="009261A2"/>
    <w:rsid w:val="00926276"/>
    <w:rsid w:val="00926279"/>
    <w:rsid w:val="00926484"/>
    <w:rsid w:val="009264BC"/>
    <w:rsid w:val="009265CE"/>
    <w:rsid w:val="00926902"/>
    <w:rsid w:val="00926A11"/>
    <w:rsid w:val="00926B2E"/>
    <w:rsid w:val="00926ED0"/>
    <w:rsid w:val="00926F77"/>
    <w:rsid w:val="00926FF3"/>
    <w:rsid w:val="0092701E"/>
    <w:rsid w:val="00927053"/>
    <w:rsid w:val="00927066"/>
    <w:rsid w:val="009270C8"/>
    <w:rsid w:val="0092710F"/>
    <w:rsid w:val="009273CE"/>
    <w:rsid w:val="0092740F"/>
    <w:rsid w:val="009277DE"/>
    <w:rsid w:val="00927963"/>
    <w:rsid w:val="00927AF4"/>
    <w:rsid w:val="00927C19"/>
    <w:rsid w:val="00927C9A"/>
    <w:rsid w:val="00927CF6"/>
    <w:rsid w:val="00927F4D"/>
    <w:rsid w:val="00927F5A"/>
    <w:rsid w:val="00930089"/>
    <w:rsid w:val="00930201"/>
    <w:rsid w:val="00930213"/>
    <w:rsid w:val="00930220"/>
    <w:rsid w:val="00930330"/>
    <w:rsid w:val="00930376"/>
    <w:rsid w:val="009303AB"/>
    <w:rsid w:val="009303B3"/>
    <w:rsid w:val="009303E1"/>
    <w:rsid w:val="009306BF"/>
    <w:rsid w:val="009306D7"/>
    <w:rsid w:val="009307B7"/>
    <w:rsid w:val="00930838"/>
    <w:rsid w:val="00930986"/>
    <w:rsid w:val="00930CF7"/>
    <w:rsid w:val="00930D62"/>
    <w:rsid w:val="00930F31"/>
    <w:rsid w:val="009310CB"/>
    <w:rsid w:val="009312AA"/>
    <w:rsid w:val="00931383"/>
    <w:rsid w:val="009314A7"/>
    <w:rsid w:val="0093157E"/>
    <w:rsid w:val="009315A6"/>
    <w:rsid w:val="00931678"/>
    <w:rsid w:val="0093175C"/>
    <w:rsid w:val="009317B2"/>
    <w:rsid w:val="0093192E"/>
    <w:rsid w:val="00931A31"/>
    <w:rsid w:val="00931A36"/>
    <w:rsid w:val="00931AAD"/>
    <w:rsid w:val="00931C6A"/>
    <w:rsid w:val="00931C72"/>
    <w:rsid w:val="00931DA1"/>
    <w:rsid w:val="00931E17"/>
    <w:rsid w:val="00932013"/>
    <w:rsid w:val="00932217"/>
    <w:rsid w:val="009323D5"/>
    <w:rsid w:val="009324C6"/>
    <w:rsid w:val="009325AA"/>
    <w:rsid w:val="0093263D"/>
    <w:rsid w:val="00932B07"/>
    <w:rsid w:val="00932BEA"/>
    <w:rsid w:val="00932EEE"/>
    <w:rsid w:val="00932F50"/>
    <w:rsid w:val="00932FCB"/>
    <w:rsid w:val="0093312C"/>
    <w:rsid w:val="009332C8"/>
    <w:rsid w:val="009333A3"/>
    <w:rsid w:val="009335C5"/>
    <w:rsid w:val="009335D7"/>
    <w:rsid w:val="009335FB"/>
    <w:rsid w:val="009336AB"/>
    <w:rsid w:val="00933C47"/>
    <w:rsid w:val="00933C67"/>
    <w:rsid w:val="00933D10"/>
    <w:rsid w:val="00933D3C"/>
    <w:rsid w:val="00933D83"/>
    <w:rsid w:val="00933E7C"/>
    <w:rsid w:val="00933F84"/>
    <w:rsid w:val="0093411B"/>
    <w:rsid w:val="00934168"/>
    <w:rsid w:val="009343B3"/>
    <w:rsid w:val="0093453B"/>
    <w:rsid w:val="00934645"/>
    <w:rsid w:val="00934797"/>
    <w:rsid w:val="009347D8"/>
    <w:rsid w:val="0093483B"/>
    <w:rsid w:val="0093484C"/>
    <w:rsid w:val="0093484E"/>
    <w:rsid w:val="00934911"/>
    <w:rsid w:val="00934B40"/>
    <w:rsid w:val="00934CF5"/>
    <w:rsid w:val="00934E7C"/>
    <w:rsid w:val="00934EBD"/>
    <w:rsid w:val="00935054"/>
    <w:rsid w:val="00935133"/>
    <w:rsid w:val="00935682"/>
    <w:rsid w:val="00935695"/>
    <w:rsid w:val="00935A70"/>
    <w:rsid w:val="00935A73"/>
    <w:rsid w:val="00935B38"/>
    <w:rsid w:val="00935B7E"/>
    <w:rsid w:val="00935DEA"/>
    <w:rsid w:val="00935DF5"/>
    <w:rsid w:val="00935E19"/>
    <w:rsid w:val="00935E1C"/>
    <w:rsid w:val="00935F6C"/>
    <w:rsid w:val="0093611E"/>
    <w:rsid w:val="00936289"/>
    <w:rsid w:val="00936296"/>
    <w:rsid w:val="00936580"/>
    <w:rsid w:val="009365AE"/>
    <w:rsid w:val="009366FB"/>
    <w:rsid w:val="009368DB"/>
    <w:rsid w:val="0093696A"/>
    <w:rsid w:val="00936B21"/>
    <w:rsid w:val="00936B85"/>
    <w:rsid w:val="00936EC3"/>
    <w:rsid w:val="00936F17"/>
    <w:rsid w:val="00936F76"/>
    <w:rsid w:val="009370EF"/>
    <w:rsid w:val="00937721"/>
    <w:rsid w:val="00937930"/>
    <w:rsid w:val="0093796F"/>
    <w:rsid w:val="00937A0E"/>
    <w:rsid w:val="00937A65"/>
    <w:rsid w:val="00937D43"/>
    <w:rsid w:val="00937E33"/>
    <w:rsid w:val="00937EF2"/>
    <w:rsid w:val="009400E9"/>
    <w:rsid w:val="009401E3"/>
    <w:rsid w:val="00940246"/>
    <w:rsid w:val="009403DA"/>
    <w:rsid w:val="00940511"/>
    <w:rsid w:val="00940530"/>
    <w:rsid w:val="0094053A"/>
    <w:rsid w:val="009407DF"/>
    <w:rsid w:val="00940AE5"/>
    <w:rsid w:val="00940B56"/>
    <w:rsid w:val="00940BEE"/>
    <w:rsid w:val="00940BF6"/>
    <w:rsid w:val="00940C4C"/>
    <w:rsid w:val="00940FED"/>
    <w:rsid w:val="009411AA"/>
    <w:rsid w:val="00941270"/>
    <w:rsid w:val="0094128E"/>
    <w:rsid w:val="00941388"/>
    <w:rsid w:val="009414DB"/>
    <w:rsid w:val="00941652"/>
    <w:rsid w:val="00941910"/>
    <w:rsid w:val="00941BB1"/>
    <w:rsid w:val="00941D93"/>
    <w:rsid w:val="009421AC"/>
    <w:rsid w:val="009423CA"/>
    <w:rsid w:val="009425DC"/>
    <w:rsid w:val="00942814"/>
    <w:rsid w:val="00942838"/>
    <w:rsid w:val="0094284B"/>
    <w:rsid w:val="00942D27"/>
    <w:rsid w:val="00943002"/>
    <w:rsid w:val="00943100"/>
    <w:rsid w:val="009433B2"/>
    <w:rsid w:val="00943492"/>
    <w:rsid w:val="009434AF"/>
    <w:rsid w:val="009435BD"/>
    <w:rsid w:val="009436CB"/>
    <w:rsid w:val="009436D7"/>
    <w:rsid w:val="009436EE"/>
    <w:rsid w:val="0094374F"/>
    <w:rsid w:val="00943A69"/>
    <w:rsid w:val="00944072"/>
    <w:rsid w:val="00944317"/>
    <w:rsid w:val="00944355"/>
    <w:rsid w:val="00944392"/>
    <w:rsid w:val="009443DB"/>
    <w:rsid w:val="009443F9"/>
    <w:rsid w:val="0094451D"/>
    <w:rsid w:val="0094454A"/>
    <w:rsid w:val="00944579"/>
    <w:rsid w:val="0094486A"/>
    <w:rsid w:val="009449B3"/>
    <w:rsid w:val="00944A60"/>
    <w:rsid w:val="00944CEB"/>
    <w:rsid w:val="00944EC9"/>
    <w:rsid w:val="0094502D"/>
    <w:rsid w:val="0094505A"/>
    <w:rsid w:val="009450CD"/>
    <w:rsid w:val="009452F4"/>
    <w:rsid w:val="00945330"/>
    <w:rsid w:val="00945490"/>
    <w:rsid w:val="00945580"/>
    <w:rsid w:val="0094560C"/>
    <w:rsid w:val="009459BD"/>
    <w:rsid w:val="00945B96"/>
    <w:rsid w:val="00945F10"/>
    <w:rsid w:val="00945F27"/>
    <w:rsid w:val="00946332"/>
    <w:rsid w:val="00946459"/>
    <w:rsid w:val="0094647F"/>
    <w:rsid w:val="0094654D"/>
    <w:rsid w:val="00946744"/>
    <w:rsid w:val="00946856"/>
    <w:rsid w:val="0094689F"/>
    <w:rsid w:val="0094697A"/>
    <w:rsid w:val="00946AD6"/>
    <w:rsid w:val="00946B42"/>
    <w:rsid w:val="00946BFF"/>
    <w:rsid w:val="00946CF4"/>
    <w:rsid w:val="00946DD8"/>
    <w:rsid w:val="0094705A"/>
    <w:rsid w:val="009470CE"/>
    <w:rsid w:val="009471FA"/>
    <w:rsid w:val="00947224"/>
    <w:rsid w:val="00947313"/>
    <w:rsid w:val="00947339"/>
    <w:rsid w:val="00947345"/>
    <w:rsid w:val="009473B5"/>
    <w:rsid w:val="009473F1"/>
    <w:rsid w:val="0094746E"/>
    <w:rsid w:val="009474F5"/>
    <w:rsid w:val="00947671"/>
    <w:rsid w:val="00947917"/>
    <w:rsid w:val="00947A6C"/>
    <w:rsid w:val="00947C5F"/>
    <w:rsid w:val="00947C63"/>
    <w:rsid w:val="00947CAB"/>
    <w:rsid w:val="00947CCD"/>
    <w:rsid w:val="00947E57"/>
    <w:rsid w:val="00947E58"/>
    <w:rsid w:val="009501AC"/>
    <w:rsid w:val="00950429"/>
    <w:rsid w:val="0095047F"/>
    <w:rsid w:val="009504DE"/>
    <w:rsid w:val="0095059B"/>
    <w:rsid w:val="0095081A"/>
    <w:rsid w:val="00950930"/>
    <w:rsid w:val="00950970"/>
    <w:rsid w:val="00950A16"/>
    <w:rsid w:val="00950B81"/>
    <w:rsid w:val="00950BE1"/>
    <w:rsid w:val="00950BF2"/>
    <w:rsid w:val="00950C27"/>
    <w:rsid w:val="00950D7C"/>
    <w:rsid w:val="00950E5B"/>
    <w:rsid w:val="00950FC8"/>
    <w:rsid w:val="009510A9"/>
    <w:rsid w:val="009511A0"/>
    <w:rsid w:val="00951263"/>
    <w:rsid w:val="009512F3"/>
    <w:rsid w:val="009515AA"/>
    <w:rsid w:val="00951774"/>
    <w:rsid w:val="00951805"/>
    <w:rsid w:val="0095185B"/>
    <w:rsid w:val="009519F9"/>
    <w:rsid w:val="00951C60"/>
    <w:rsid w:val="00951EDB"/>
    <w:rsid w:val="0095225D"/>
    <w:rsid w:val="00952595"/>
    <w:rsid w:val="00952644"/>
    <w:rsid w:val="00952867"/>
    <w:rsid w:val="00952949"/>
    <w:rsid w:val="00952B17"/>
    <w:rsid w:val="00952D59"/>
    <w:rsid w:val="00952E94"/>
    <w:rsid w:val="00952F8F"/>
    <w:rsid w:val="00952FCC"/>
    <w:rsid w:val="00953026"/>
    <w:rsid w:val="0095306B"/>
    <w:rsid w:val="0095321C"/>
    <w:rsid w:val="00953561"/>
    <w:rsid w:val="00953631"/>
    <w:rsid w:val="0095374A"/>
    <w:rsid w:val="00953A17"/>
    <w:rsid w:val="00953B43"/>
    <w:rsid w:val="00953BC8"/>
    <w:rsid w:val="00953E42"/>
    <w:rsid w:val="00953F87"/>
    <w:rsid w:val="00954192"/>
    <w:rsid w:val="009542F9"/>
    <w:rsid w:val="009545F6"/>
    <w:rsid w:val="00954695"/>
    <w:rsid w:val="009547BD"/>
    <w:rsid w:val="00954994"/>
    <w:rsid w:val="00954BBA"/>
    <w:rsid w:val="00954C28"/>
    <w:rsid w:val="00954C69"/>
    <w:rsid w:val="00954E30"/>
    <w:rsid w:val="00954E95"/>
    <w:rsid w:val="00954F7D"/>
    <w:rsid w:val="009550B6"/>
    <w:rsid w:val="009551A7"/>
    <w:rsid w:val="009552CF"/>
    <w:rsid w:val="0095538A"/>
    <w:rsid w:val="00955470"/>
    <w:rsid w:val="009556B3"/>
    <w:rsid w:val="009558D3"/>
    <w:rsid w:val="009559B1"/>
    <w:rsid w:val="00955A52"/>
    <w:rsid w:val="00955B52"/>
    <w:rsid w:val="00955C0E"/>
    <w:rsid w:val="00956165"/>
    <w:rsid w:val="009563ED"/>
    <w:rsid w:val="00956433"/>
    <w:rsid w:val="00956446"/>
    <w:rsid w:val="0095666A"/>
    <w:rsid w:val="00956809"/>
    <w:rsid w:val="0095688F"/>
    <w:rsid w:val="00956A79"/>
    <w:rsid w:val="00956CD1"/>
    <w:rsid w:val="00956CDE"/>
    <w:rsid w:val="00956F5B"/>
    <w:rsid w:val="00957002"/>
    <w:rsid w:val="00957067"/>
    <w:rsid w:val="009570E7"/>
    <w:rsid w:val="0095744A"/>
    <w:rsid w:val="00957480"/>
    <w:rsid w:val="0095770B"/>
    <w:rsid w:val="00957965"/>
    <w:rsid w:val="00957AF0"/>
    <w:rsid w:val="00957BC2"/>
    <w:rsid w:val="00957CA4"/>
    <w:rsid w:val="00957E4E"/>
    <w:rsid w:val="00957FC1"/>
    <w:rsid w:val="00958051"/>
    <w:rsid w:val="0095EBE2"/>
    <w:rsid w:val="00960167"/>
    <w:rsid w:val="00960224"/>
    <w:rsid w:val="009603C1"/>
    <w:rsid w:val="00960433"/>
    <w:rsid w:val="009606E6"/>
    <w:rsid w:val="00960767"/>
    <w:rsid w:val="00960813"/>
    <w:rsid w:val="00960A16"/>
    <w:rsid w:val="00960A87"/>
    <w:rsid w:val="00960B7A"/>
    <w:rsid w:val="00960FF3"/>
    <w:rsid w:val="0096100A"/>
    <w:rsid w:val="0096133B"/>
    <w:rsid w:val="0096138D"/>
    <w:rsid w:val="0096187C"/>
    <w:rsid w:val="0096190F"/>
    <w:rsid w:val="00961A52"/>
    <w:rsid w:val="00961AE0"/>
    <w:rsid w:val="00961BB8"/>
    <w:rsid w:val="00961E2A"/>
    <w:rsid w:val="00961E54"/>
    <w:rsid w:val="00961E5D"/>
    <w:rsid w:val="0096209C"/>
    <w:rsid w:val="00962142"/>
    <w:rsid w:val="009621C7"/>
    <w:rsid w:val="009622B1"/>
    <w:rsid w:val="009623FD"/>
    <w:rsid w:val="00962630"/>
    <w:rsid w:val="009629AA"/>
    <w:rsid w:val="00962B16"/>
    <w:rsid w:val="00962BD3"/>
    <w:rsid w:val="00962C3A"/>
    <w:rsid w:val="00962D56"/>
    <w:rsid w:val="00962F19"/>
    <w:rsid w:val="00963253"/>
    <w:rsid w:val="00963418"/>
    <w:rsid w:val="009634CD"/>
    <w:rsid w:val="009635B1"/>
    <w:rsid w:val="009635DF"/>
    <w:rsid w:val="00963747"/>
    <w:rsid w:val="00963827"/>
    <w:rsid w:val="0096382E"/>
    <w:rsid w:val="0096385A"/>
    <w:rsid w:val="0096395B"/>
    <w:rsid w:val="009639C4"/>
    <w:rsid w:val="00963A19"/>
    <w:rsid w:val="00963A7C"/>
    <w:rsid w:val="00963C9D"/>
    <w:rsid w:val="00963D23"/>
    <w:rsid w:val="00963E59"/>
    <w:rsid w:val="00964017"/>
    <w:rsid w:val="0096406E"/>
    <w:rsid w:val="009642D2"/>
    <w:rsid w:val="0096447A"/>
    <w:rsid w:val="00964529"/>
    <w:rsid w:val="00964542"/>
    <w:rsid w:val="009645ED"/>
    <w:rsid w:val="009646F8"/>
    <w:rsid w:val="00964747"/>
    <w:rsid w:val="009649EE"/>
    <w:rsid w:val="00964B39"/>
    <w:rsid w:val="00964B81"/>
    <w:rsid w:val="00964CA5"/>
    <w:rsid w:val="00964D43"/>
    <w:rsid w:val="00964E62"/>
    <w:rsid w:val="00964E86"/>
    <w:rsid w:val="00964E89"/>
    <w:rsid w:val="00964E95"/>
    <w:rsid w:val="00964F6C"/>
    <w:rsid w:val="0096502D"/>
    <w:rsid w:val="00965192"/>
    <w:rsid w:val="009651BD"/>
    <w:rsid w:val="009651EA"/>
    <w:rsid w:val="009651FF"/>
    <w:rsid w:val="00965291"/>
    <w:rsid w:val="00965367"/>
    <w:rsid w:val="009653FD"/>
    <w:rsid w:val="00965440"/>
    <w:rsid w:val="00965589"/>
    <w:rsid w:val="00965B60"/>
    <w:rsid w:val="00965DF9"/>
    <w:rsid w:val="00965E42"/>
    <w:rsid w:val="00965EEC"/>
    <w:rsid w:val="00965FA3"/>
    <w:rsid w:val="00965FB7"/>
    <w:rsid w:val="00966310"/>
    <w:rsid w:val="0096638B"/>
    <w:rsid w:val="0096660F"/>
    <w:rsid w:val="0096663E"/>
    <w:rsid w:val="00966645"/>
    <w:rsid w:val="009666BD"/>
    <w:rsid w:val="009667B5"/>
    <w:rsid w:val="009668C6"/>
    <w:rsid w:val="009669A0"/>
    <w:rsid w:val="00966CA3"/>
    <w:rsid w:val="00966CB1"/>
    <w:rsid w:val="0096710D"/>
    <w:rsid w:val="009674A1"/>
    <w:rsid w:val="009675FF"/>
    <w:rsid w:val="00967701"/>
    <w:rsid w:val="009677DA"/>
    <w:rsid w:val="00967C33"/>
    <w:rsid w:val="00967DF2"/>
    <w:rsid w:val="00967E3B"/>
    <w:rsid w:val="00967ED6"/>
    <w:rsid w:val="00967F24"/>
    <w:rsid w:val="00970052"/>
    <w:rsid w:val="0097030A"/>
    <w:rsid w:val="00970373"/>
    <w:rsid w:val="00970493"/>
    <w:rsid w:val="00970531"/>
    <w:rsid w:val="009705F2"/>
    <w:rsid w:val="0097062A"/>
    <w:rsid w:val="0097073B"/>
    <w:rsid w:val="009709BE"/>
    <w:rsid w:val="00970A85"/>
    <w:rsid w:val="00970C03"/>
    <w:rsid w:val="00970DCE"/>
    <w:rsid w:val="00970DE6"/>
    <w:rsid w:val="00970E23"/>
    <w:rsid w:val="00970EBA"/>
    <w:rsid w:val="00970EC1"/>
    <w:rsid w:val="0097107A"/>
    <w:rsid w:val="009712D0"/>
    <w:rsid w:val="009712F0"/>
    <w:rsid w:val="0097130F"/>
    <w:rsid w:val="0097150F"/>
    <w:rsid w:val="0097164C"/>
    <w:rsid w:val="009716BE"/>
    <w:rsid w:val="00971961"/>
    <w:rsid w:val="00971C13"/>
    <w:rsid w:val="00972003"/>
    <w:rsid w:val="0097212B"/>
    <w:rsid w:val="00972170"/>
    <w:rsid w:val="00972266"/>
    <w:rsid w:val="009722C3"/>
    <w:rsid w:val="00972486"/>
    <w:rsid w:val="0097272F"/>
    <w:rsid w:val="00972743"/>
    <w:rsid w:val="009727BE"/>
    <w:rsid w:val="0097288D"/>
    <w:rsid w:val="0097292B"/>
    <w:rsid w:val="00972A8F"/>
    <w:rsid w:val="00972ABB"/>
    <w:rsid w:val="00972D0A"/>
    <w:rsid w:val="0097303B"/>
    <w:rsid w:val="009730F1"/>
    <w:rsid w:val="009731C3"/>
    <w:rsid w:val="00973239"/>
    <w:rsid w:val="009732BA"/>
    <w:rsid w:val="009733D1"/>
    <w:rsid w:val="00973499"/>
    <w:rsid w:val="009734E5"/>
    <w:rsid w:val="0097350C"/>
    <w:rsid w:val="009737DC"/>
    <w:rsid w:val="00973829"/>
    <w:rsid w:val="009739C2"/>
    <w:rsid w:val="00973A4B"/>
    <w:rsid w:val="00973AC5"/>
    <w:rsid w:val="00973AF3"/>
    <w:rsid w:val="00973BBB"/>
    <w:rsid w:val="00973CC5"/>
    <w:rsid w:val="00973D0D"/>
    <w:rsid w:val="00973DE5"/>
    <w:rsid w:val="00973E11"/>
    <w:rsid w:val="00973E6F"/>
    <w:rsid w:val="0097400C"/>
    <w:rsid w:val="00974028"/>
    <w:rsid w:val="009740CE"/>
    <w:rsid w:val="009741D4"/>
    <w:rsid w:val="0097420D"/>
    <w:rsid w:val="009742C1"/>
    <w:rsid w:val="009743ED"/>
    <w:rsid w:val="009746AD"/>
    <w:rsid w:val="009748B0"/>
    <w:rsid w:val="009748C2"/>
    <w:rsid w:val="009748D7"/>
    <w:rsid w:val="00974A44"/>
    <w:rsid w:val="00974D1D"/>
    <w:rsid w:val="00974F97"/>
    <w:rsid w:val="009750E6"/>
    <w:rsid w:val="00975110"/>
    <w:rsid w:val="00975322"/>
    <w:rsid w:val="00975341"/>
    <w:rsid w:val="009753CB"/>
    <w:rsid w:val="0097540A"/>
    <w:rsid w:val="0097541D"/>
    <w:rsid w:val="00975580"/>
    <w:rsid w:val="009755C8"/>
    <w:rsid w:val="00975675"/>
    <w:rsid w:val="009756C4"/>
    <w:rsid w:val="009756D6"/>
    <w:rsid w:val="009759C5"/>
    <w:rsid w:val="00975A60"/>
    <w:rsid w:val="00975A9B"/>
    <w:rsid w:val="00975AFA"/>
    <w:rsid w:val="00975BC6"/>
    <w:rsid w:val="00975D57"/>
    <w:rsid w:val="00975E79"/>
    <w:rsid w:val="00976025"/>
    <w:rsid w:val="00976173"/>
    <w:rsid w:val="009762A0"/>
    <w:rsid w:val="0097632B"/>
    <w:rsid w:val="0097633E"/>
    <w:rsid w:val="009763A6"/>
    <w:rsid w:val="009763F2"/>
    <w:rsid w:val="00976462"/>
    <w:rsid w:val="00976476"/>
    <w:rsid w:val="009767F6"/>
    <w:rsid w:val="00976C08"/>
    <w:rsid w:val="00976C1E"/>
    <w:rsid w:val="00976DAA"/>
    <w:rsid w:val="00977158"/>
    <w:rsid w:val="009772DD"/>
    <w:rsid w:val="00977366"/>
    <w:rsid w:val="00977369"/>
    <w:rsid w:val="009773D4"/>
    <w:rsid w:val="009774C5"/>
    <w:rsid w:val="009774EB"/>
    <w:rsid w:val="009774F7"/>
    <w:rsid w:val="00977521"/>
    <w:rsid w:val="0097757A"/>
    <w:rsid w:val="009775E2"/>
    <w:rsid w:val="00977784"/>
    <w:rsid w:val="00977A42"/>
    <w:rsid w:val="00980127"/>
    <w:rsid w:val="0098026D"/>
    <w:rsid w:val="009802C7"/>
    <w:rsid w:val="00980467"/>
    <w:rsid w:val="009804F7"/>
    <w:rsid w:val="00980768"/>
    <w:rsid w:val="009808B1"/>
    <w:rsid w:val="00980B3A"/>
    <w:rsid w:val="00980BA1"/>
    <w:rsid w:val="00980BBE"/>
    <w:rsid w:val="00980CDD"/>
    <w:rsid w:val="009811DA"/>
    <w:rsid w:val="009812F3"/>
    <w:rsid w:val="00981327"/>
    <w:rsid w:val="00981458"/>
    <w:rsid w:val="00981474"/>
    <w:rsid w:val="00981744"/>
    <w:rsid w:val="00981815"/>
    <w:rsid w:val="00981992"/>
    <w:rsid w:val="009819DF"/>
    <w:rsid w:val="00981AE1"/>
    <w:rsid w:val="00981BEB"/>
    <w:rsid w:val="00981D38"/>
    <w:rsid w:val="00981D85"/>
    <w:rsid w:val="00981E1F"/>
    <w:rsid w:val="00981E72"/>
    <w:rsid w:val="00981E9B"/>
    <w:rsid w:val="00982080"/>
    <w:rsid w:val="00982181"/>
    <w:rsid w:val="009821D2"/>
    <w:rsid w:val="009824AC"/>
    <w:rsid w:val="00982828"/>
    <w:rsid w:val="00982976"/>
    <w:rsid w:val="00982AB5"/>
    <w:rsid w:val="00982B63"/>
    <w:rsid w:val="00982D03"/>
    <w:rsid w:val="00982D3E"/>
    <w:rsid w:val="00982D4D"/>
    <w:rsid w:val="00982E25"/>
    <w:rsid w:val="00983253"/>
    <w:rsid w:val="009832FE"/>
    <w:rsid w:val="00983396"/>
    <w:rsid w:val="009833AA"/>
    <w:rsid w:val="0098366B"/>
    <w:rsid w:val="0098384D"/>
    <w:rsid w:val="00983912"/>
    <w:rsid w:val="009839DB"/>
    <w:rsid w:val="00983BA5"/>
    <w:rsid w:val="00983C5C"/>
    <w:rsid w:val="00983E74"/>
    <w:rsid w:val="009842FB"/>
    <w:rsid w:val="0098443E"/>
    <w:rsid w:val="00984659"/>
    <w:rsid w:val="009846B1"/>
    <w:rsid w:val="0098474E"/>
    <w:rsid w:val="009847BC"/>
    <w:rsid w:val="00984B89"/>
    <w:rsid w:val="00984BB3"/>
    <w:rsid w:val="0098504A"/>
    <w:rsid w:val="0098532F"/>
    <w:rsid w:val="0098541E"/>
    <w:rsid w:val="0098550E"/>
    <w:rsid w:val="009855E8"/>
    <w:rsid w:val="0098560E"/>
    <w:rsid w:val="00985871"/>
    <w:rsid w:val="00985895"/>
    <w:rsid w:val="00985AEA"/>
    <w:rsid w:val="00985BE4"/>
    <w:rsid w:val="00985D3A"/>
    <w:rsid w:val="00985EBE"/>
    <w:rsid w:val="00985FE9"/>
    <w:rsid w:val="00985FF8"/>
    <w:rsid w:val="00986298"/>
    <w:rsid w:val="00986734"/>
    <w:rsid w:val="009867E7"/>
    <w:rsid w:val="00986991"/>
    <w:rsid w:val="009869A6"/>
    <w:rsid w:val="00986AB3"/>
    <w:rsid w:val="00986E09"/>
    <w:rsid w:val="009871E5"/>
    <w:rsid w:val="00987220"/>
    <w:rsid w:val="00987314"/>
    <w:rsid w:val="00987554"/>
    <w:rsid w:val="009877BD"/>
    <w:rsid w:val="00987A86"/>
    <w:rsid w:val="00987ABE"/>
    <w:rsid w:val="00987D1D"/>
    <w:rsid w:val="00987F43"/>
    <w:rsid w:val="0098DDE2"/>
    <w:rsid w:val="00990049"/>
    <w:rsid w:val="0099005E"/>
    <w:rsid w:val="009900C9"/>
    <w:rsid w:val="00990129"/>
    <w:rsid w:val="00990241"/>
    <w:rsid w:val="0099026A"/>
    <w:rsid w:val="009902C2"/>
    <w:rsid w:val="0099039C"/>
    <w:rsid w:val="00990475"/>
    <w:rsid w:val="009905EA"/>
    <w:rsid w:val="00990791"/>
    <w:rsid w:val="0099089F"/>
    <w:rsid w:val="00990960"/>
    <w:rsid w:val="00990A59"/>
    <w:rsid w:val="00990AC7"/>
    <w:rsid w:val="00990B52"/>
    <w:rsid w:val="00990B5D"/>
    <w:rsid w:val="00990D20"/>
    <w:rsid w:val="00990EB7"/>
    <w:rsid w:val="00990F33"/>
    <w:rsid w:val="0099104A"/>
    <w:rsid w:val="00991246"/>
    <w:rsid w:val="00991287"/>
    <w:rsid w:val="00991349"/>
    <w:rsid w:val="009913F2"/>
    <w:rsid w:val="0099140E"/>
    <w:rsid w:val="00991456"/>
    <w:rsid w:val="009915DC"/>
    <w:rsid w:val="0099175E"/>
    <w:rsid w:val="00991783"/>
    <w:rsid w:val="009917A8"/>
    <w:rsid w:val="009917BF"/>
    <w:rsid w:val="009917FE"/>
    <w:rsid w:val="00991C5D"/>
    <w:rsid w:val="00991D67"/>
    <w:rsid w:val="00991D9C"/>
    <w:rsid w:val="00991EA7"/>
    <w:rsid w:val="009920E0"/>
    <w:rsid w:val="009925C7"/>
    <w:rsid w:val="0099270E"/>
    <w:rsid w:val="00992810"/>
    <w:rsid w:val="00992B34"/>
    <w:rsid w:val="00992BCA"/>
    <w:rsid w:val="00992BF2"/>
    <w:rsid w:val="00992C96"/>
    <w:rsid w:val="009931EF"/>
    <w:rsid w:val="00993282"/>
    <w:rsid w:val="00993406"/>
    <w:rsid w:val="0099346F"/>
    <w:rsid w:val="00993589"/>
    <w:rsid w:val="009936F4"/>
    <w:rsid w:val="0099385E"/>
    <w:rsid w:val="0099398B"/>
    <w:rsid w:val="0099398D"/>
    <w:rsid w:val="00993C0A"/>
    <w:rsid w:val="00993E66"/>
    <w:rsid w:val="00994040"/>
    <w:rsid w:val="0099409C"/>
    <w:rsid w:val="009941BB"/>
    <w:rsid w:val="00994284"/>
    <w:rsid w:val="0099431E"/>
    <w:rsid w:val="00994411"/>
    <w:rsid w:val="0099446E"/>
    <w:rsid w:val="009944FD"/>
    <w:rsid w:val="009946EA"/>
    <w:rsid w:val="009949F8"/>
    <w:rsid w:val="00994A2A"/>
    <w:rsid w:val="00994B71"/>
    <w:rsid w:val="00994D4D"/>
    <w:rsid w:val="00994D93"/>
    <w:rsid w:val="00994D97"/>
    <w:rsid w:val="00994EC3"/>
    <w:rsid w:val="009955EB"/>
    <w:rsid w:val="00995B53"/>
    <w:rsid w:val="00995B80"/>
    <w:rsid w:val="00995CEA"/>
    <w:rsid w:val="00995DC8"/>
    <w:rsid w:val="00995DF7"/>
    <w:rsid w:val="00995E39"/>
    <w:rsid w:val="00995E51"/>
    <w:rsid w:val="009960F0"/>
    <w:rsid w:val="00996337"/>
    <w:rsid w:val="009963FF"/>
    <w:rsid w:val="0099640B"/>
    <w:rsid w:val="009966BC"/>
    <w:rsid w:val="0099672E"/>
    <w:rsid w:val="009969F1"/>
    <w:rsid w:val="00996A13"/>
    <w:rsid w:val="00996A8D"/>
    <w:rsid w:val="00996AE3"/>
    <w:rsid w:val="00996B9A"/>
    <w:rsid w:val="00996DC4"/>
    <w:rsid w:val="00996DF1"/>
    <w:rsid w:val="00996E3A"/>
    <w:rsid w:val="00996F2B"/>
    <w:rsid w:val="0099700A"/>
    <w:rsid w:val="00997211"/>
    <w:rsid w:val="00997505"/>
    <w:rsid w:val="00997608"/>
    <w:rsid w:val="00997750"/>
    <w:rsid w:val="00997839"/>
    <w:rsid w:val="00997B2D"/>
    <w:rsid w:val="00997D25"/>
    <w:rsid w:val="00997D9E"/>
    <w:rsid w:val="00997E71"/>
    <w:rsid w:val="00997FD1"/>
    <w:rsid w:val="009A029F"/>
    <w:rsid w:val="009A0370"/>
    <w:rsid w:val="009A05AE"/>
    <w:rsid w:val="009A065E"/>
    <w:rsid w:val="009A07C7"/>
    <w:rsid w:val="009A086C"/>
    <w:rsid w:val="009A0926"/>
    <w:rsid w:val="009A0D64"/>
    <w:rsid w:val="009A0E1C"/>
    <w:rsid w:val="009A0FD0"/>
    <w:rsid w:val="009A10CF"/>
    <w:rsid w:val="009A12BF"/>
    <w:rsid w:val="009A139E"/>
    <w:rsid w:val="009A1635"/>
    <w:rsid w:val="009A1683"/>
    <w:rsid w:val="009A195D"/>
    <w:rsid w:val="009A1971"/>
    <w:rsid w:val="009A1AC2"/>
    <w:rsid w:val="009A1C04"/>
    <w:rsid w:val="009A1CF8"/>
    <w:rsid w:val="009A1F75"/>
    <w:rsid w:val="009A2190"/>
    <w:rsid w:val="009A21A9"/>
    <w:rsid w:val="009A23B6"/>
    <w:rsid w:val="009A24C3"/>
    <w:rsid w:val="009A2572"/>
    <w:rsid w:val="009A264C"/>
    <w:rsid w:val="009A2684"/>
    <w:rsid w:val="009A2689"/>
    <w:rsid w:val="009A28C9"/>
    <w:rsid w:val="009A2B6E"/>
    <w:rsid w:val="009A2B86"/>
    <w:rsid w:val="009A2CC9"/>
    <w:rsid w:val="009A312C"/>
    <w:rsid w:val="009A32DA"/>
    <w:rsid w:val="009A357E"/>
    <w:rsid w:val="009A361F"/>
    <w:rsid w:val="009A3879"/>
    <w:rsid w:val="009A3930"/>
    <w:rsid w:val="009A3954"/>
    <w:rsid w:val="009A3A0D"/>
    <w:rsid w:val="009A3A49"/>
    <w:rsid w:val="009A3D33"/>
    <w:rsid w:val="009A3E1E"/>
    <w:rsid w:val="009A40DD"/>
    <w:rsid w:val="009A41F2"/>
    <w:rsid w:val="009A42E3"/>
    <w:rsid w:val="009A4371"/>
    <w:rsid w:val="009A43E7"/>
    <w:rsid w:val="009A492F"/>
    <w:rsid w:val="009A49CB"/>
    <w:rsid w:val="009A49D7"/>
    <w:rsid w:val="009A4A07"/>
    <w:rsid w:val="009A4AC4"/>
    <w:rsid w:val="009A4C21"/>
    <w:rsid w:val="009A5117"/>
    <w:rsid w:val="009A5153"/>
    <w:rsid w:val="009A5399"/>
    <w:rsid w:val="009A5643"/>
    <w:rsid w:val="009A566C"/>
    <w:rsid w:val="009A5720"/>
    <w:rsid w:val="009A5817"/>
    <w:rsid w:val="009A596C"/>
    <w:rsid w:val="009A5A92"/>
    <w:rsid w:val="009A5C17"/>
    <w:rsid w:val="009A5D93"/>
    <w:rsid w:val="009A5E27"/>
    <w:rsid w:val="009A5E9B"/>
    <w:rsid w:val="009A61C2"/>
    <w:rsid w:val="009A62C0"/>
    <w:rsid w:val="009A6344"/>
    <w:rsid w:val="009A6352"/>
    <w:rsid w:val="009A65A3"/>
    <w:rsid w:val="009A6874"/>
    <w:rsid w:val="009A696E"/>
    <w:rsid w:val="009A6B80"/>
    <w:rsid w:val="009A6CDE"/>
    <w:rsid w:val="009A6DB8"/>
    <w:rsid w:val="009A6E14"/>
    <w:rsid w:val="009A6F21"/>
    <w:rsid w:val="009A6F4C"/>
    <w:rsid w:val="009A70AD"/>
    <w:rsid w:val="009A70D6"/>
    <w:rsid w:val="009A71B3"/>
    <w:rsid w:val="009A720A"/>
    <w:rsid w:val="009A73DC"/>
    <w:rsid w:val="009A7424"/>
    <w:rsid w:val="009A74D2"/>
    <w:rsid w:val="009A750F"/>
    <w:rsid w:val="009A7584"/>
    <w:rsid w:val="009A792A"/>
    <w:rsid w:val="009A79BB"/>
    <w:rsid w:val="009A7A2A"/>
    <w:rsid w:val="009A7AF1"/>
    <w:rsid w:val="009A7B80"/>
    <w:rsid w:val="009A7CEB"/>
    <w:rsid w:val="009A7D30"/>
    <w:rsid w:val="009A7D47"/>
    <w:rsid w:val="009A7E84"/>
    <w:rsid w:val="009A7EFA"/>
    <w:rsid w:val="009A7F8F"/>
    <w:rsid w:val="009A7F9B"/>
    <w:rsid w:val="009B01E2"/>
    <w:rsid w:val="009B0254"/>
    <w:rsid w:val="009B0492"/>
    <w:rsid w:val="009B04A5"/>
    <w:rsid w:val="009B0597"/>
    <w:rsid w:val="009B05E3"/>
    <w:rsid w:val="009B0620"/>
    <w:rsid w:val="009B0913"/>
    <w:rsid w:val="009B0A28"/>
    <w:rsid w:val="009B0A98"/>
    <w:rsid w:val="009B0BF3"/>
    <w:rsid w:val="009B10A4"/>
    <w:rsid w:val="009B11FB"/>
    <w:rsid w:val="009B1537"/>
    <w:rsid w:val="009B168D"/>
    <w:rsid w:val="009B168F"/>
    <w:rsid w:val="009B186D"/>
    <w:rsid w:val="009B19EA"/>
    <w:rsid w:val="009B1B7C"/>
    <w:rsid w:val="009B1C95"/>
    <w:rsid w:val="009B1DA4"/>
    <w:rsid w:val="009B1DCB"/>
    <w:rsid w:val="009B23D1"/>
    <w:rsid w:val="009B2429"/>
    <w:rsid w:val="009B244C"/>
    <w:rsid w:val="009B2463"/>
    <w:rsid w:val="009B2729"/>
    <w:rsid w:val="009B27C4"/>
    <w:rsid w:val="009B2C06"/>
    <w:rsid w:val="009B2C13"/>
    <w:rsid w:val="009B2C46"/>
    <w:rsid w:val="009B2DA1"/>
    <w:rsid w:val="009B2DC2"/>
    <w:rsid w:val="009B2ED0"/>
    <w:rsid w:val="009B2F7F"/>
    <w:rsid w:val="009B2FFE"/>
    <w:rsid w:val="009B3201"/>
    <w:rsid w:val="009B32B2"/>
    <w:rsid w:val="009B333C"/>
    <w:rsid w:val="009B3395"/>
    <w:rsid w:val="009B33AE"/>
    <w:rsid w:val="009B3511"/>
    <w:rsid w:val="009B35CE"/>
    <w:rsid w:val="009B37D8"/>
    <w:rsid w:val="009B392C"/>
    <w:rsid w:val="009B3C00"/>
    <w:rsid w:val="009B3C71"/>
    <w:rsid w:val="009B3CEB"/>
    <w:rsid w:val="009B3D07"/>
    <w:rsid w:val="009B3D15"/>
    <w:rsid w:val="009B3F49"/>
    <w:rsid w:val="009B3FA6"/>
    <w:rsid w:val="009B4178"/>
    <w:rsid w:val="009B477E"/>
    <w:rsid w:val="009B47AE"/>
    <w:rsid w:val="009B4990"/>
    <w:rsid w:val="009B4AC0"/>
    <w:rsid w:val="009B4BD5"/>
    <w:rsid w:val="009B4BE7"/>
    <w:rsid w:val="009B4D14"/>
    <w:rsid w:val="009B4D9F"/>
    <w:rsid w:val="009B4E02"/>
    <w:rsid w:val="009B5251"/>
    <w:rsid w:val="009B52E5"/>
    <w:rsid w:val="009B5584"/>
    <w:rsid w:val="009B5AE5"/>
    <w:rsid w:val="009B5EB1"/>
    <w:rsid w:val="009B5F68"/>
    <w:rsid w:val="009B5FDC"/>
    <w:rsid w:val="009B6028"/>
    <w:rsid w:val="009B641F"/>
    <w:rsid w:val="009B645E"/>
    <w:rsid w:val="009B655E"/>
    <w:rsid w:val="009B66F3"/>
    <w:rsid w:val="009B6769"/>
    <w:rsid w:val="009B68BB"/>
    <w:rsid w:val="009B697A"/>
    <w:rsid w:val="009B6A6B"/>
    <w:rsid w:val="009B6A82"/>
    <w:rsid w:val="009B6AC2"/>
    <w:rsid w:val="009B6EE9"/>
    <w:rsid w:val="009B71DF"/>
    <w:rsid w:val="009B7206"/>
    <w:rsid w:val="009B735A"/>
    <w:rsid w:val="009B7904"/>
    <w:rsid w:val="009B7B82"/>
    <w:rsid w:val="009B7CE8"/>
    <w:rsid w:val="009B7E20"/>
    <w:rsid w:val="009B7EB9"/>
    <w:rsid w:val="009B7F1F"/>
    <w:rsid w:val="009B7F50"/>
    <w:rsid w:val="009B7F56"/>
    <w:rsid w:val="009B7FD6"/>
    <w:rsid w:val="009C03D1"/>
    <w:rsid w:val="009C0461"/>
    <w:rsid w:val="009C067C"/>
    <w:rsid w:val="009C07A4"/>
    <w:rsid w:val="009C07B4"/>
    <w:rsid w:val="009C0827"/>
    <w:rsid w:val="009C0992"/>
    <w:rsid w:val="009C0ABD"/>
    <w:rsid w:val="009C0B7B"/>
    <w:rsid w:val="009C0C43"/>
    <w:rsid w:val="009C0C8D"/>
    <w:rsid w:val="009C0E0F"/>
    <w:rsid w:val="009C10E8"/>
    <w:rsid w:val="009C110C"/>
    <w:rsid w:val="009C1285"/>
    <w:rsid w:val="009C1311"/>
    <w:rsid w:val="009C13D7"/>
    <w:rsid w:val="009C1536"/>
    <w:rsid w:val="009C1627"/>
    <w:rsid w:val="009C162C"/>
    <w:rsid w:val="009C16B6"/>
    <w:rsid w:val="009C173F"/>
    <w:rsid w:val="009C174F"/>
    <w:rsid w:val="009C1AD5"/>
    <w:rsid w:val="009C1BA0"/>
    <w:rsid w:val="009C1C61"/>
    <w:rsid w:val="009C1EF8"/>
    <w:rsid w:val="009C21B1"/>
    <w:rsid w:val="009C21F5"/>
    <w:rsid w:val="009C22DA"/>
    <w:rsid w:val="009C23D6"/>
    <w:rsid w:val="009C2489"/>
    <w:rsid w:val="009C25E3"/>
    <w:rsid w:val="009C27E5"/>
    <w:rsid w:val="009C28EE"/>
    <w:rsid w:val="009C2A41"/>
    <w:rsid w:val="009C2B67"/>
    <w:rsid w:val="009C2D3B"/>
    <w:rsid w:val="009C2DAF"/>
    <w:rsid w:val="009C2F20"/>
    <w:rsid w:val="009C2FC7"/>
    <w:rsid w:val="009C305B"/>
    <w:rsid w:val="009C31FB"/>
    <w:rsid w:val="009C31FD"/>
    <w:rsid w:val="009C33DB"/>
    <w:rsid w:val="009C36F2"/>
    <w:rsid w:val="009C386E"/>
    <w:rsid w:val="009C3A71"/>
    <w:rsid w:val="009C3C94"/>
    <w:rsid w:val="009C3D92"/>
    <w:rsid w:val="009C3E4F"/>
    <w:rsid w:val="009C3F61"/>
    <w:rsid w:val="009C400A"/>
    <w:rsid w:val="009C40E4"/>
    <w:rsid w:val="009C4102"/>
    <w:rsid w:val="009C4179"/>
    <w:rsid w:val="009C433D"/>
    <w:rsid w:val="009C44E4"/>
    <w:rsid w:val="009C4587"/>
    <w:rsid w:val="009C46F9"/>
    <w:rsid w:val="009C4779"/>
    <w:rsid w:val="009C4791"/>
    <w:rsid w:val="009C4888"/>
    <w:rsid w:val="009C4974"/>
    <w:rsid w:val="009C4A4E"/>
    <w:rsid w:val="009C4A94"/>
    <w:rsid w:val="009C4ABF"/>
    <w:rsid w:val="009C4B80"/>
    <w:rsid w:val="009C4C1D"/>
    <w:rsid w:val="009C4C6F"/>
    <w:rsid w:val="009C4D22"/>
    <w:rsid w:val="009C4E63"/>
    <w:rsid w:val="009C4F2E"/>
    <w:rsid w:val="009C4F80"/>
    <w:rsid w:val="009C4F98"/>
    <w:rsid w:val="009C5038"/>
    <w:rsid w:val="009C5058"/>
    <w:rsid w:val="009C51E2"/>
    <w:rsid w:val="009C51F4"/>
    <w:rsid w:val="009C5323"/>
    <w:rsid w:val="009C545A"/>
    <w:rsid w:val="009C547B"/>
    <w:rsid w:val="009C5535"/>
    <w:rsid w:val="009C56E5"/>
    <w:rsid w:val="009C577B"/>
    <w:rsid w:val="009C5821"/>
    <w:rsid w:val="009C5990"/>
    <w:rsid w:val="009C59A6"/>
    <w:rsid w:val="009C5A1A"/>
    <w:rsid w:val="009C5CA3"/>
    <w:rsid w:val="009C64CF"/>
    <w:rsid w:val="009C6783"/>
    <w:rsid w:val="009C697E"/>
    <w:rsid w:val="009C69A7"/>
    <w:rsid w:val="009C69BA"/>
    <w:rsid w:val="009C6A00"/>
    <w:rsid w:val="009C6A85"/>
    <w:rsid w:val="009C6AF9"/>
    <w:rsid w:val="009C6B1C"/>
    <w:rsid w:val="009C6B26"/>
    <w:rsid w:val="009C6B3F"/>
    <w:rsid w:val="009C6C14"/>
    <w:rsid w:val="009C6C97"/>
    <w:rsid w:val="009C6E99"/>
    <w:rsid w:val="009C6FB1"/>
    <w:rsid w:val="009C70FB"/>
    <w:rsid w:val="009C727C"/>
    <w:rsid w:val="009C7294"/>
    <w:rsid w:val="009C74C5"/>
    <w:rsid w:val="009C75E1"/>
    <w:rsid w:val="009C768C"/>
    <w:rsid w:val="009C77E4"/>
    <w:rsid w:val="009C786D"/>
    <w:rsid w:val="009C79C9"/>
    <w:rsid w:val="009C7ACD"/>
    <w:rsid w:val="009C7BEF"/>
    <w:rsid w:val="009C7CE7"/>
    <w:rsid w:val="009C7D78"/>
    <w:rsid w:val="009C7D9B"/>
    <w:rsid w:val="009C7DE0"/>
    <w:rsid w:val="009C7F4F"/>
    <w:rsid w:val="009C7F70"/>
    <w:rsid w:val="009C7FD2"/>
    <w:rsid w:val="009D00F4"/>
    <w:rsid w:val="009D02AC"/>
    <w:rsid w:val="009D0400"/>
    <w:rsid w:val="009D0626"/>
    <w:rsid w:val="009D0661"/>
    <w:rsid w:val="009D06E2"/>
    <w:rsid w:val="009D0741"/>
    <w:rsid w:val="009D07A8"/>
    <w:rsid w:val="009D07E1"/>
    <w:rsid w:val="009D07F7"/>
    <w:rsid w:val="009D08DC"/>
    <w:rsid w:val="009D09AD"/>
    <w:rsid w:val="009D0A01"/>
    <w:rsid w:val="009D0B13"/>
    <w:rsid w:val="009D0CEB"/>
    <w:rsid w:val="009D0D59"/>
    <w:rsid w:val="009D0D95"/>
    <w:rsid w:val="009D0E2F"/>
    <w:rsid w:val="009D115E"/>
    <w:rsid w:val="009D1191"/>
    <w:rsid w:val="009D11C8"/>
    <w:rsid w:val="009D11E1"/>
    <w:rsid w:val="009D127A"/>
    <w:rsid w:val="009D1384"/>
    <w:rsid w:val="009D1428"/>
    <w:rsid w:val="009D18B1"/>
    <w:rsid w:val="009D1A7B"/>
    <w:rsid w:val="009D1D97"/>
    <w:rsid w:val="009D1EB5"/>
    <w:rsid w:val="009D1F09"/>
    <w:rsid w:val="009D2039"/>
    <w:rsid w:val="009D20CF"/>
    <w:rsid w:val="009D2388"/>
    <w:rsid w:val="009D24E6"/>
    <w:rsid w:val="009D2AEB"/>
    <w:rsid w:val="009D2CC1"/>
    <w:rsid w:val="009D2CFB"/>
    <w:rsid w:val="009D2EEF"/>
    <w:rsid w:val="009D3084"/>
    <w:rsid w:val="009D32DA"/>
    <w:rsid w:val="009D33BD"/>
    <w:rsid w:val="009D3468"/>
    <w:rsid w:val="009D34B3"/>
    <w:rsid w:val="009D3528"/>
    <w:rsid w:val="009D35D8"/>
    <w:rsid w:val="009D3914"/>
    <w:rsid w:val="009D3972"/>
    <w:rsid w:val="009D3BAF"/>
    <w:rsid w:val="009D3F7C"/>
    <w:rsid w:val="009D3F9A"/>
    <w:rsid w:val="009D3FDE"/>
    <w:rsid w:val="009D4008"/>
    <w:rsid w:val="009D42C2"/>
    <w:rsid w:val="009D440C"/>
    <w:rsid w:val="009D4601"/>
    <w:rsid w:val="009D4645"/>
    <w:rsid w:val="009D4866"/>
    <w:rsid w:val="009D495F"/>
    <w:rsid w:val="009D496B"/>
    <w:rsid w:val="009D49E4"/>
    <w:rsid w:val="009D4A96"/>
    <w:rsid w:val="009D4AB0"/>
    <w:rsid w:val="009D4C81"/>
    <w:rsid w:val="009D4D24"/>
    <w:rsid w:val="009D4D31"/>
    <w:rsid w:val="009D4FD9"/>
    <w:rsid w:val="009D5209"/>
    <w:rsid w:val="009D578B"/>
    <w:rsid w:val="009D5962"/>
    <w:rsid w:val="009D5B20"/>
    <w:rsid w:val="009D5B6B"/>
    <w:rsid w:val="009D5C78"/>
    <w:rsid w:val="009D5E75"/>
    <w:rsid w:val="009D6070"/>
    <w:rsid w:val="009D6309"/>
    <w:rsid w:val="009D6316"/>
    <w:rsid w:val="009D646E"/>
    <w:rsid w:val="009D64BB"/>
    <w:rsid w:val="009D65D5"/>
    <w:rsid w:val="009D65DB"/>
    <w:rsid w:val="009D6679"/>
    <w:rsid w:val="009D66E4"/>
    <w:rsid w:val="009D699F"/>
    <w:rsid w:val="009D6A9C"/>
    <w:rsid w:val="009D6ADE"/>
    <w:rsid w:val="009D6BCA"/>
    <w:rsid w:val="009D6BDA"/>
    <w:rsid w:val="009D6C45"/>
    <w:rsid w:val="009D6CBA"/>
    <w:rsid w:val="009D6D36"/>
    <w:rsid w:val="009D6EEC"/>
    <w:rsid w:val="009D73A4"/>
    <w:rsid w:val="009D7478"/>
    <w:rsid w:val="009D789D"/>
    <w:rsid w:val="009D78F6"/>
    <w:rsid w:val="009D794F"/>
    <w:rsid w:val="009D7A69"/>
    <w:rsid w:val="009D7D59"/>
    <w:rsid w:val="009D7EB2"/>
    <w:rsid w:val="009D7F66"/>
    <w:rsid w:val="009E00B1"/>
    <w:rsid w:val="009E0109"/>
    <w:rsid w:val="009E048D"/>
    <w:rsid w:val="009E053A"/>
    <w:rsid w:val="009E0590"/>
    <w:rsid w:val="009E062E"/>
    <w:rsid w:val="009E06A8"/>
    <w:rsid w:val="009E06F0"/>
    <w:rsid w:val="009E078E"/>
    <w:rsid w:val="009E07C9"/>
    <w:rsid w:val="009E0936"/>
    <w:rsid w:val="009E0993"/>
    <w:rsid w:val="009E0A13"/>
    <w:rsid w:val="009E0A8A"/>
    <w:rsid w:val="009E0BAC"/>
    <w:rsid w:val="009E1017"/>
    <w:rsid w:val="009E1136"/>
    <w:rsid w:val="009E1313"/>
    <w:rsid w:val="009E1ABD"/>
    <w:rsid w:val="009E1ADF"/>
    <w:rsid w:val="009E1C99"/>
    <w:rsid w:val="009E1F26"/>
    <w:rsid w:val="009E1F66"/>
    <w:rsid w:val="009E21D4"/>
    <w:rsid w:val="009E2211"/>
    <w:rsid w:val="009E23A1"/>
    <w:rsid w:val="009E24A4"/>
    <w:rsid w:val="009E28C3"/>
    <w:rsid w:val="009E2B04"/>
    <w:rsid w:val="009E2B6C"/>
    <w:rsid w:val="009E2C77"/>
    <w:rsid w:val="009E3075"/>
    <w:rsid w:val="009E307B"/>
    <w:rsid w:val="009E30AD"/>
    <w:rsid w:val="009E3170"/>
    <w:rsid w:val="009E3220"/>
    <w:rsid w:val="009E3258"/>
    <w:rsid w:val="009E327D"/>
    <w:rsid w:val="009E3385"/>
    <w:rsid w:val="009E34D0"/>
    <w:rsid w:val="009E3545"/>
    <w:rsid w:val="009E36EA"/>
    <w:rsid w:val="009E36FB"/>
    <w:rsid w:val="009E3704"/>
    <w:rsid w:val="009E3778"/>
    <w:rsid w:val="009E3A3A"/>
    <w:rsid w:val="009E3AC0"/>
    <w:rsid w:val="009E3B06"/>
    <w:rsid w:val="009E3E62"/>
    <w:rsid w:val="009E4014"/>
    <w:rsid w:val="009E438E"/>
    <w:rsid w:val="009E43A5"/>
    <w:rsid w:val="009E43F9"/>
    <w:rsid w:val="009E4404"/>
    <w:rsid w:val="009E47B2"/>
    <w:rsid w:val="009E4808"/>
    <w:rsid w:val="009E493D"/>
    <w:rsid w:val="009E49E3"/>
    <w:rsid w:val="009E4A05"/>
    <w:rsid w:val="009E4C0A"/>
    <w:rsid w:val="009E4CDD"/>
    <w:rsid w:val="009E4DA7"/>
    <w:rsid w:val="009E4DDD"/>
    <w:rsid w:val="009E4DFF"/>
    <w:rsid w:val="009E4E62"/>
    <w:rsid w:val="009E4EA9"/>
    <w:rsid w:val="009E4F55"/>
    <w:rsid w:val="009E4FE1"/>
    <w:rsid w:val="009E500D"/>
    <w:rsid w:val="009E52D1"/>
    <w:rsid w:val="009E548E"/>
    <w:rsid w:val="009E54A9"/>
    <w:rsid w:val="009E553B"/>
    <w:rsid w:val="009E559B"/>
    <w:rsid w:val="009E5692"/>
    <w:rsid w:val="009E5729"/>
    <w:rsid w:val="009E5847"/>
    <w:rsid w:val="009E5976"/>
    <w:rsid w:val="009E5993"/>
    <w:rsid w:val="009E5B1E"/>
    <w:rsid w:val="009E5DA6"/>
    <w:rsid w:val="009E5E6D"/>
    <w:rsid w:val="009E5E6F"/>
    <w:rsid w:val="009E5FB6"/>
    <w:rsid w:val="009E601E"/>
    <w:rsid w:val="009E62B0"/>
    <w:rsid w:val="009E64F4"/>
    <w:rsid w:val="009E68A1"/>
    <w:rsid w:val="009E68B1"/>
    <w:rsid w:val="009E69DE"/>
    <w:rsid w:val="009E6BB1"/>
    <w:rsid w:val="009E6C06"/>
    <w:rsid w:val="009E6D59"/>
    <w:rsid w:val="009E6E6E"/>
    <w:rsid w:val="009E6EDB"/>
    <w:rsid w:val="009E6F0E"/>
    <w:rsid w:val="009E7129"/>
    <w:rsid w:val="009E71EC"/>
    <w:rsid w:val="009E7287"/>
    <w:rsid w:val="009E72C5"/>
    <w:rsid w:val="009E73B3"/>
    <w:rsid w:val="009E74B8"/>
    <w:rsid w:val="009E757B"/>
    <w:rsid w:val="009E7647"/>
    <w:rsid w:val="009E769A"/>
    <w:rsid w:val="009E772D"/>
    <w:rsid w:val="009E7B60"/>
    <w:rsid w:val="009E7DAF"/>
    <w:rsid w:val="009E7E3F"/>
    <w:rsid w:val="009E7F22"/>
    <w:rsid w:val="009E7FF5"/>
    <w:rsid w:val="009F0050"/>
    <w:rsid w:val="009F008B"/>
    <w:rsid w:val="009F0093"/>
    <w:rsid w:val="009F00F8"/>
    <w:rsid w:val="009F01B7"/>
    <w:rsid w:val="009F02BB"/>
    <w:rsid w:val="009F02DE"/>
    <w:rsid w:val="009F0362"/>
    <w:rsid w:val="009F0600"/>
    <w:rsid w:val="009F06FB"/>
    <w:rsid w:val="009F0713"/>
    <w:rsid w:val="009F085F"/>
    <w:rsid w:val="009F0CD4"/>
    <w:rsid w:val="009F0D8C"/>
    <w:rsid w:val="009F0DAA"/>
    <w:rsid w:val="009F0FD7"/>
    <w:rsid w:val="009F0FDA"/>
    <w:rsid w:val="009F123F"/>
    <w:rsid w:val="009F143E"/>
    <w:rsid w:val="009F1637"/>
    <w:rsid w:val="009F1705"/>
    <w:rsid w:val="009F194E"/>
    <w:rsid w:val="009F1B1A"/>
    <w:rsid w:val="009F1BCA"/>
    <w:rsid w:val="009F1D7E"/>
    <w:rsid w:val="009F1EF5"/>
    <w:rsid w:val="009F1F1B"/>
    <w:rsid w:val="009F1F78"/>
    <w:rsid w:val="009F1F9D"/>
    <w:rsid w:val="009F2072"/>
    <w:rsid w:val="009F211D"/>
    <w:rsid w:val="009F212B"/>
    <w:rsid w:val="009F2314"/>
    <w:rsid w:val="009F23E1"/>
    <w:rsid w:val="009F2561"/>
    <w:rsid w:val="009F274F"/>
    <w:rsid w:val="009F2938"/>
    <w:rsid w:val="009F2C01"/>
    <w:rsid w:val="009F2F35"/>
    <w:rsid w:val="009F2F89"/>
    <w:rsid w:val="009F2F9F"/>
    <w:rsid w:val="009F3030"/>
    <w:rsid w:val="009F303A"/>
    <w:rsid w:val="009F305E"/>
    <w:rsid w:val="009F30E6"/>
    <w:rsid w:val="009F317E"/>
    <w:rsid w:val="009F322E"/>
    <w:rsid w:val="009F331A"/>
    <w:rsid w:val="009F352F"/>
    <w:rsid w:val="009F35DA"/>
    <w:rsid w:val="009F36E9"/>
    <w:rsid w:val="009F3717"/>
    <w:rsid w:val="009F3895"/>
    <w:rsid w:val="009F3937"/>
    <w:rsid w:val="009F3A6B"/>
    <w:rsid w:val="009F3B5F"/>
    <w:rsid w:val="009F3B7D"/>
    <w:rsid w:val="009F3D20"/>
    <w:rsid w:val="009F3EB6"/>
    <w:rsid w:val="009F3ECB"/>
    <w:rsid w:val="009F4034"/>
    <w:rsid w:val="009F40FC"/>
    <w:rsid w:val="009F4244"/>
    <w:rsid w:val="009F4254"/>
    <w:rsid w:val="009F42DE"/>
    <w:rsid w:val="009F43BD"/>
    <w:rsid w:val="009F4569"/>
    <w:rsid w:val="009F4861"/>
    <w:rsid w:val="009F4941"/>
    <w:rsid w:val="009F4A0A"/>
    <w:rsid w:val="009F4C6A"/>
    <w:rsid w:val="009F4D84"/>
    <w:rsid w:val="009F4DCD"/>
    <w:rsid w:val="009F4E5C"/>
    <w:rsid w:val="009F5014"/>
    <w:rsid w:val="009F50FE"/>
    <w:rsid w:val="009F544C"/>
    <w:rsid w:val="009F56FA"/>
    <w:rsid w:val="009F574D"/>
    <w:rsid w:val="009F57C1"/>
    <w:rsid w:val="009F5B30"/>
    <w:rsid w:val="009F5C43"/>
    <w:rsid w:val="009F5C93"/>
    <w:rsid w:val="009F5CE9"/>
    <w:rsid w:val="009F5D20"/>
    <w:rsid w:val="009F5E60"/>
    <w:rsid w:val="009F60ED"/>
    <w:rsid w:val="009F61DE"/>
    <w:rsid w:val="009F6832"/>
    <w:rsid w:val="009F6B24"/>
    <w:rsid w:val="009F6C02"/>
    <w:rsid w:val="009F6D7E"/>
    <w:rsid w:val="009F6EBB"/>
    <w:rsid w:val="009F707C"/>
    <w:rsid w:val="009F7136"/>
    <w:rsid w:val="009F7199"/>
    <w:rsid w:val="009F71C9"/>
    <w:rsid w:val="009F72DE"/>
    <w:rsid w:val="009F7394"/>
    <w:rsid w:val="009F7598"/>
    <w:rsid w:val="009F7B3F"/>
    <w:rsid w:val="009F7B76"/>
    <w:rsid w:val="009F7BDB"/>
    <w:rsid w:val="009F7BE7"/>
    <w:rsid w:val="009F7C93"/>
    <w:rsid w:val="009F7D66"/>
    <w:rsid w:val="009F7ED3"/>
    <w:rsid w:val="009F7F2A"/>
    <w:rsid w:val="00A000C2"/>
    <w:rsid w:val="00A00128"/>
    <w:rsid w:val="00A00197"/>
    <w:rsid w:val="00A0028C"/>
    <w:rsid w:val="00A002D9"/>
    <w:rsid w:val="00A00302"/>
    <w:rsid w:val="00A00491"/>
    <w:rsid w:val="00A00494"/>
    <w:rsid w:val="00A00653"/>
    <w:rsid w:val="00A00873"/>
    <w:rsid w:val="00A00948"/>
    <w:rsid w:val="00A00B71"/>
    <w:rsid w:val="00A00C49"/>
    <w:rsid w:val="00A01132"/>
    <w:rsid w:val="00A0137A"/>
    <w:rsid w:val="00A0142A"/>
    <w:rsid w:val="00A01438"/>
    <w:rsid w:val="00A01440"/>
    <w:rsid w:val="00A01670"/>
    <w:rsid w:val="00A01706"/>
    <w:rsid w:val="00A01896"/>
    <w:rsid w:val="00A018AA"/>
    <w:rsid w:val="00A01959"/>
    <w:rsid w:val="00A01977"/>
    <w:rsid w:val="00A01A2D"/>
    <w:rsid w:val="00A01B1E"/>
    <w:rsid w:val="00A01F32"/>
    <w:rsid w:val="00A0226B"/>
    <w:rsid w:val="00A02328"/>
    <w:rsid w:val="00A02616"/>
    <w:rsid w:val="00A0267B"/>
    <w:rsid w:val="00A026EF"/>
    <w:rsid w:val="00A027B4"/>
    <w:rsid w:val="00A0287D"/>
    <w:rsid w:val="00A028AF"/>
    <w:rsid w:val="00A02989"/>
    <w:rsid w:val="00A02BD3"/>
    <w:rsid w:val="00A02CDB"/>
    <w:rsid w:val="00A02D9B"/>
    <w:rsid w:val="00A02DE5"/>
    <w:rsid w:val="00A02EFB"/>
    <w:rsid w:val="00A02FE8"/>
    <w:rsid w:val="00A03107"/>
    <w:rsid w:val="00A03144"/>
    <w:rsid w:val="00A03174"/>
    <w:rsid w:val="00A031A0"/>
    <w:rsid w:val="00A033EB"/>
    <w:rsid w:val="00A03575"/>
    <w:rsid w:val="00A0357A"/>
    <w:rsid w:val="00A0359A"/>
    <w:rsid w:val="00A035BD"/>
    <w:rsid w:val="00A03789"/>
    <w:rsid w:val="00A0390B"/>
    <w:rsid w:val="00A03954"/>
    <w:rsid w:val="00A03A76"/>
    <w:rsid w:val="00A03D05"/>
    <w:rsid w:val="00A04188"/>
    <w:rsid w:val="00A0424C"/>
    <w:rsid w:val="00A04312"/>
    <w:rsid w:val="00A0441E"/>
    <w:rsid w:val="00A04730"/>
    <w:rsid w:val="00A04779"/>
    <w:rsid w:val="00A04995"/>
    <w:rsid w:val="00A04B70"/>
    <w:rsid w:val="00A04DF5"/>
    <w:rsid w:val="00A04EC3"/>
    <w:rsid w:val="00A04F45"/>
    <w:rsid w:val="00A04F7D"/>
    <w:rsid w:val="00A04FEC"/>
    <w:rsid w:val="00A0526A"/>
    <w:rsid w:val="00A05523"/>
    <w:rsid w:val="00A0568E"/>
    <w:rsid w:val="00A057D3"/>
    <w:rsid w:val="00A058F3"/>
    <w:rsid w:val="00A05A70"/>
    <w:rsid w:val="00A05BCE"/>
    <w:rsid w:val="00A05D16"/>
    <w:rsid w:val="00A05E74"/>
    <w:rsid w:val="00A05EB4"/>
    <w:rsid w:val="00A0604A"/>
    <w:rsid w:val="00A060AC"/>
    <w:rsid w:val="00A06373"/>
    <w:rsid w:val="00A06411"/>
    <w:rsid w:val="00A0642A"/>
    <w:rsid w:val="00A06525"/>
    <w:rsid w:val="00A06685"/>
    <w:rsid w:val="00A066CA"/>
    <w:rsid w:val="00A066E7"/>
    <w:rsid w:val="00A06840"/>
    <w:rsid w:val="00A06971"/>
    <w:rsid w:val="00A069E5"/>
    <w:rsid w:val="00A06A44"/>
    <w:rsid w:val="00A06C54"/>
    <w:rsid w:val="00A06D63"/>
    <w:rsid w:val="00A06D7E"/>
    <w:rsid w:val="00A06E78"/>
    <w:rsid w:val="00A06F17"/>
    <w:rsid w:val="00A070E2"/>
    <w:rsid w:val="00A07242"/>
    <w:rsid w:val="00A0737E"/>
    <w:rsid w:val="00A07479"/>
    <w:rsid w:val="00A077A5"/>
    <w:rsid w:val="00A078B1"/>
    <w:rsid w:val="00A078C2"/>
    <w:rsid w:val="00A07916"/>
    <w:rsid w:val="00A07ADE"/>
    <w:rsid w:val="00A07DD8"/>
    <w:rsid w:val="00A07DEE"/>
    <w:rsid w:val="00A07E96"/>
    <w:rsid w:val="00A07EA5"/>
    <w:rsid w:val="00A100D9"/>
    <w:rsid w:val="00A100EC"/>
    <w:rsid w:val="00A10150"/>
    <w:rsid w:val="00A1016E"/>
    <w:rsid w:val="00A10297"/>
    <w:rsid w:val="00A10860"/>
    <w:rsid w:val="00A108A3"/>
    <w:rsid w:val="00A10929"/>
    <w:rsid w:val="00A10ACA"/>
    <w:rsid w:val="00A10B91"/>
    <w:rsid w:val="00A10CCD"/>
    <w:rsid w:val="00A10D24"/>
    <w:rsid w:val="00A10D42"/>
    <w:rsid w:val="00A10DDF"/>
    <w:rsid w:val="00A10EA7"/>
    <w:rsid w:val="00A10F93"/>
    <w:rsid w:val="00A11075"/>
    <w:rsid w:val="00A11284"/>
    <w:rsid w:val="00A1132E"/>
    <w:rsid w:val="00A114C2"/>
    <w:rsid w:val="00A114C9"/>
    <w:rsid w:val="00A11599"/>
    <w:rsid w:val="00A117E7"/>
    <w:rsid w:val="00A1188C"/>
    <w:rsid w:val="00A118EF"/>
    <w:rsid w:val="00A118F1"/>
    <w:rsid w:val="00A11926"/>
    <w:rsid w:val="00A11A4B"/>
    <w:rsid w:val="00A11A62"/>
    <w:rsid w:val="00A11AA5"/>
    <w:rsid w:val="00A11CA4"/>
    <w:rsid w:val="00A11F9B"/>
    <w:rsid w:val="00A1219E"/>
    <w:rsid w:val="00A12202"/>
    <w:rsid w:val="00A123A0"/>
    <w:rsid w:val="00A123F3"/>
    <w:rsid w:val="00A12733"/>
    <w:rsid w:val="00A12841"/>
    <w:rsid w:val="00A128F8"/>
    <w:rsid w:val="00A129CE"/>
    <w:rsid w:val="00A12A90"/>
    <w:rsid w:val="00A12AFD"/>
    <w:rsid w:val="00A12B9A"/>
    <w:rsid w:val="00A12D51"/>
    <w:rsid w:val="00A12E60"/>
    <w:rsid w:val="00A12F79"/>
    <w:rsid w:val="00A12FFA"/>
    <w:rsid w:val="00A13124"/>
    <w:rsid w:val="00A13141"/>
    <w:rsid w:val="00A13288"/>
    <w:rsid w:val="00A13385"/>
    <w:rsid w:val="00A1338C"/>
    <w:rsid w:val="00A1347E"/>
    <w:rsid w:val="00A13482"/>
    <w:rsid w:val="00A1359C"/>
    <w:rsid w:val="00A136B6"/>
    <w:rsid w:val="00A1391B"/>
    <w:rsid w:val="00A13BBC"/>
    <w:rsid w:val="00A13CEC"/>
    <w:rsid w:val="00A13E2E"/>
    <w:rsid w:val="00A13F25"/>
    <w:rsid w:val="00A1413C"/>
    <w:rsid w:val="00A1416B"/>
    <w:rsid w:val="00A141B4"/>
    <w:rsid w:val="00A1459C"/>
    <w:rsid w:val="00A1498B"/>
    <w:rsid w:val="00A14B6A"/>
    <w:rsid w:val="00A14EAE"/>
    <w:rsid w:val="00A14FB9"/>
    <w:rsid w:val="00A15115"/>
    <w:rsid w:val="00A15190"/>
    <w:rsid w:val="00A1526B"/>
    <w:rsid w:val="00A152AA"/>
    <w:rsid w:val="00A153AE"/>
    <w:rsid w:val="00A156E3"/>
    <w:rsid w:val="00A157FE"/>
    <w:rsid w:val="00A15C15"/>
    <w:rsid w:val="00A15C5A"/>
    <w:rsid w:val="00A15DB1"/>
    <w:rsid w:val="00A15E17"/>
    <w:rsid w:val="00A1647F"/>
    <w:rsid w:val="00A1653B"/>
    <w:rsid w:val="00A165AF"/>
    <w:rsid w:val="00A16869"/>
    <w:rsid w:val="00A168C8"/>
    <w:rsid w:val="00A16965"/>
    <w:rsid w:val="00A16973"/>
    <w:rsid w:val="00A169A2"/>
    <w:rsid w:val="00A169D0"/>
    <w:rsid w:val="00A16B09"/>
    <w:rsid w:val="00A16B26"/>
    <w:rsid w:val="00A16E63"/>
    <w:rsid w:val="00A16F54"/>
    <w:rsid w:val="00A16F55"/>
    <w:rsid w:val="00A16FD6"/>
    <w:rsid w:val="00A172A1"/>
    <w:rsid w:val="00A17401"/>
    <w:rsid w:val="00A17707"/>
    <w:rsid w:val="00A178E6"/>
    <w:rsid w:val="00A1795E"/>
    <w:rsid w:val="00A179B9"/>
    <w:rsid w:val="00A179CA"/>
    <w:rsid w:val="00A17ADC"/>
    <w:rsid w:val="00A17BB2"/>
    <w:rsid w:val="00A17FC8"/>
    <w:rsid w:val="00A20013"/>
    <w:rsid w:val="00A2042E"/>
    <w:rsid w:val="00A2054E"/>
    <w:rsid w:val="00A205D6"/>
    <w:rsid w:val="00A20BEB"/>
    <w:rsid w:val="00A20E81"/>
    <w:rsid w:val="00A211C4"/>
    <w:rsid w:val="00A211EB"/>
    <w:rsid w:val="00A211F4"/>
    <w:rsid w:val="00A21286"/>
    <w:rsid w:val="00A213DF"/>
    <w:rsid w:val="00A21423"/>
    <w:rsid w:val="00A214D4"/>
    <w:rsid w:val="00A2161F"/>
    <w:rsid w:val="00A21655"/>
    <w:rsid w:val="00A219E0"/>
    <w:rsid w:val="00A21C6D"/>
    <w:rsid w:val="00A21CF0"/>
    <w:rsid w:val="00A21DFD"/>
    <w:rsid w:val="00A2215C"/>
    <w:rsid w:val="00A22272"/>
    <w:rsid w:val="00A222EC"/>
    <w:rsid w:val="00A22434"/>
    <w:rsid w:val="00A224A3"/>
    <w:rsid w:val="00A2286A"/>
    <w:rsid w:val="00A22893"/>
    <w:rsid w:val="00A22959"/>
    <w:rsid w:val="00A22983"/>
    <w:rsid w:val="00A22A6B"/>
    <w:rsid w:val="00A22AB2"/>
    <w:rsid w:val="00A22B98"/>
    <w:rsid w:val="00A22BEE"/>
    <w:rsid w:val="00A22E4B"/>
    <w:rsid w:val="00A22E83"/>
    <w:rsid w:val="00A22E9D"/>
    <w:rsid w:val="00A22ED6"/>
    <w:rsid w:val="00A22F70"/>
    <w:rsid w:val="00A23135"/>
    <w:rsid w:val="00A231C1"/>
    <w:rsid w:val="00A23250"/>
    <w:rsid w:val="00A232C5"/>
    <w:rsid w:val="00A232E4"/>
    <w:rsid w:val="00A232E8"/>
    <w:rsid w:val="00A233A2"/>
    <w:rsid w:val="00A23499"/>
    <w:rsid w:val="00A2349C"/>
    <w:rsid w:val="00A23515"/>
    <w:rsid w:val="00A23534"/>
    <w:rsid w:val="00A2369F"/>
    <w:rsid w:val="00A236BC"/>
    <w:rsid w:val="00A237AB"/>
    <w:rsid w:val="00A239F6"/>
    <w:rsid w:val="00A239F8"/>
    <w:rsid w:val="00A23AA8"/>
    <w:rsid w:val="00A23AD7"/>
    <w:rsid w:val="00A23AF4"/>
    <w:rsid w:val="00A23BC8"/>
    <w:rsid w:val="00A23CD8"/>
    <w:rsid w:val="00A23CDD"/>
    <w:rsid w:val="00A23E7D"/>
    <w:rsid w:val="00A23F70"/>
    <w:rsid w:val="00A24374"/>
    <w:rsid w:val="00A24424"/>
    <w:rsid w:val="00A2459C"/>
    <w:rsid w:val="00A2464D"/>
    <w:rsid w:val="00A246D2"/>
    <w:rsid w:val="00A24715"/>
    <w:rsid w:val="00A247F9"/>
    <w:rsid w:val="00A2482C"/>
    <w:rsid w:val="00A24884"/>
    <w:rsid w:val="00A248B6"/>
    <w:rsid w:val="00A248F6"/>
    <w:rsid w:val="00A24940"/>
    <w:rsid w:val="00A24A0A"/>
    <w:rsid w:val="00A24AA2"/>
    <w:rsid w:val="00A24AAB"/>
    <w:rsid w:val="00A24D82"/>
    <w:rsid w:val="00A25105"/>
    <w:rsid w:val="00A251A4"/>
    <w:rsid w:val="00A251E7"/>
    <w:rsid w:val="00A254B7"/>
    <w:rsid w:val="00A2570D"/>
    <w:rsid w:val="00A2585D"/>
    <w:rsid w:val="00A25A31"/>
    <w:rsid w:val="00A25A5A"/>
    <w:rsid w:val="00A25A64"/>
    <w:rsid w:val="00A25C02"/>
    <w:rsid w:val="00A25D16"/>
    <w:rsid w:val="00A25DD3"/>
    <w:rsid w:val="00A25E37"/>
    <w:rsid w:val="00A25E46"/>
    <w:rsid w:val="00A26202"/>
    <w:rsid w:val="00A2622A"/>
    <w:rsid w:val="00A265EC"/>
    <w:rsid w:val="00A266CC"/>
    <w:rsid w:val="00A268DC"/>
    <w:rsid w:val="00A2692B"/>
    <w:rsid w:val="00A269BF"/>
    <w:rsid w:val="00A26C00"/>
    <w:rsid w:val="00A26F11"/>
    <w:rsid w:val="00A272DF"/>
    <w:rsid w:val="00A273F8"/>
    <w:rsid w:val="00A27497"/>
    <w:rsid w:val="00A2759A"/>
    <w:rsid w:val="00A2792D"/>
    <w:rsid w:val="00A2799D"/>
    <w:rsid w:val="00A27A43"/>
    <w:rsid w:val="00A27A5A"/>
    <w:rsid w:val="00A27ABB"/>
    <w:rsid w:val="00A27B8D"/>
    <w:rsid w:val="00A27D72"/>
    <w:rsid w:val="00A27DB2"/>
    <w:rsid w:val="00A30235"/>
    <w:rsid w:val="00A302CC"/>
    <w:rsid w:val="00A30317"/>
    <w:rsid w:val="00A3031F"/>
    <w:rsid w:val="00A306D6"/>
    <w:rsid w:val="00A30724"/>
    <w:rsid w:val="00A30785"/>
    <w:rsid w:val="00A307D9"/>
    <w:rsid w:val="00A3084A"/>
    <w:rsid w:val="00A309F5"/>
    <w:rsid w:val="00A30C4B"/>
    <w:rsid w:val="00A30C89"/>
    <w:rsid w:val="00A30DAC"/>
    <w:rsid w:val="00A30E06"/>
    <w:rsid w:val="00A30ED8"/>
    <w:rsid w:val="00A30F30"/>
    <w:rsid w:val="00A31004"/>
    <w:rsid w:val="00A3113A"/>
    <w:rsid w:val="00A31611"/>
    <w:rsid w:val="00A31A44"/>
    <w:rsid w:val="00A31C17"/>
    <w:rsid w:val="00A31E6E"/>
    <w:rsid w:val="00A31F04"/>
    <w:rsid w:val="00A31FF9"/>
    <w:rsid w:val="00A32176"/>
    <w:rsid w:val="00A3265D"/>
    <w:rsid w:val="00A327DD"/>
    <w:rsid w:val="00A328E8"/>
    <w:rsid w:val="00A3298F"/>
    <w:rsid w:val="00A329EA"/>
    <w:rsid w:val="00A32A24"/>
    <w:rsid w:val="00A32A5E"/>
    <w:rsid w:val="00A32A86"/>
    <w:rsid w:val="00A32AB0"/>
    <w:rsid w:val="00A32B8F"/>
    <w:rsid w:val="00A32E14"/>
    <w:rsid w:val="00A32E5D"/>
    <w:rsid w:val="00A32F2E"/>
    <w:rsid w:val="00A33078"/>
    <w:rsid w:val="00A33261"/>
    <w:rsid w:val="00A33487"/>
    <w:rsid w:val="00A3374D"/>
    <w:rsid w:val="00A33775"/>
    <w:rsid w:val="00A33790"/>
    <w:rsid w:val="00A3385B"/>
    <w:rsid w:val="00A33B6C"/>
    <w:rsid w:val="00A33BF5"/>
    <w:rsid w:val="00A33C5B"/>
    <w:rsid w:val="00A33C85"/>
    <w:rsid w:val="00A33E01"/>
    <w:rsid w:val="00A33ED8"/>
    <w:rsid w:val="00A33FA6"/>
    <w:rsid w:val="00A34034"/>
    <w:rsid w:val="00A340A0"/>
    <w:rsid w:val="00A3412B"/>
    <w:rsid w:val="00A34355"/>
    <w:rsid w:val="00A34356"/>
    <w:rsid w:val="00A3436D"/>
    <w:rsid w:val="00A345E5"/>
    <w:rsid w:val="00A34662"/>
    <w:rsid w:val="00A3469E"/>
    <w:rsid w:val="00A3481B"/>
    <w:rsid w:val="00A34AB4"/>
    <w:rsid w:val="00A34B19"/>
    <w:rsid w:val="00A34C1F"/>
    <w:rsid w:val="00A34C29"/>
    <w:rsid w:val="00A34D76"/>
    <w:rsid w:val="00A34E34"/>
    <w:rsid w:val="00A34E8D"/>
    <w:rsid w:val="00A34E97"/>
    <w:rsid w:val="00A34F69"/>
    <w:rsid w:val="00A3500A"/>
    <w:rsid w:val="00A3501A"/>
    <w:rsid w:val="00A35108"/>
    <w:rsid w:val="00A3513C"/>
    <w:rsid w:val="00A352B0"/>
    <w:rsid w:val="00A35454"/>
    <w:rsid w:val="00A3545F"/>
    <w:rsid w:val="00A3596C"/>
    <w:rsid w:val="00A359C1"/>
    <w:rsid w:val="00A35CD3"/>
    <w:rsid w:val="00A35EF6"/>
    <w:rsid w:val="00A360AF"/>
    <w:rsid w:val="00A365A8"/>
    <w:rsid w:val="00A36733"/>
    <w:rsid w:val="00A36843"/>
    <w:rsid w:val="00A36B45"/>
    <w:rsid w:val="00A36EB2"/>
    <w:rsid w:val="00A3705A"/>
    <w:rsid w:val="00A37117"/>
    <w:rsid w:val="00A3748E"/>
    <w:rsid w:val="00A375C0"/>
    <w:rsid w:val="00A376D1"/>
    <w:rsid w:val="00A3770B"/>
    <w:rsid w:val="00A37A0B"/>
    <w:rsid w:val="00A37ADA"/>
    <w:rsid w:val="00A37B4B"/>
    <w:rsid w:val="00A37C47"/>
    <w:rsid w:val="00A37FF0"/>
    <w:rsid w:val="00A40138"/>
    <w:rsid w:val="00A402D5"/>
    <w:rsid w:val="00A402F1"/>
    <w:rsid w:val="00A40319"/>
    <w:rsid w:val="00A403FF"/>
    <w:rsid w:val="00A4048E"/>
    <w:rsid w:val="00A404BF"/>
    <w:rsid w:val="00A405F1"/>
    <w:rsid w:val="00A40A5D"/>
    <w:rsid w:val="00A40C57"/>
    <w:rsid w:val="00A40DC9"/>
    <w:rsid w:val="00A40E82"/>
    <w:rsid w:val="00A40F37"/>
    <w:rsid w:val="00A4107E"/>
    <w:rsid w:val="00A4136C"/>
    <w:rsid w:val="00A4148A"/>
    <w:rsid w:val="00A414A3"/>
    <w:rsid w:val="00A41540"/>
    <w:rsid w:val="00A416BA"/>
    <w:rsid w:val="00A4177E"/>
    <w:rsid w:val="00A4180B"/>
    <w:rsid w:val="00A41866"/>
    <w:rsid w:val="00A41A8A"/>
    <w:rsid w:val="00A41B2B"/>
    <w:rsid w:val="00A41C77"/>
    <w:rsid w:val="00A4203A"/>
    <w:rsid w:val="00A42099"/>
    <w:rsid w:val="00A420A8"/>
    <w:rsid w:val="00A420A9"/>
    <w:rsid w:val="00A4232F"/>
    <w:rsid w:val="00A424B8"/>
    <w:rsid w:val="00A424F7"/>
    <w:rsid w:val="00A427CA"/>
    <w:rsid w:val="00A42915"/>
    <w:rsid w:val="00A42A28"/>
    <w:rsid w:val="00A42ACE"/>
    <w:rsid w:val="00A42AF6"/>
    <w:rsid w:val="00A42AF9"/>
    <w:rsid w:val="00A42B0C"/>
    <w:rsid w:val="00A42C19"/>
    <w:rsid w:val="00A42C84"/>
    <w:rsid w:val="00A42C98"/>
    <w:rsid w:val="00A42F6A"/>
    <w:rsid w:val="00A43037"/>
    <w:rsid w:val="00A4305A"/>
    <w:rsid w:val="00A4332A"/>
    <w:rsid w:val="00A43469"/>
    <w:rsid w:val="00A43576"/>
    <w:rsid w:val="00A43667"/>
    <w:rsid w:val="00A436F2"/>
    <w:rsid w:val="00A43A56"/>
    <w:rsid w:val="00A43B3B"/>
    <w:rsid w:val="00A43C13"/>
    <w:rsid w:val="00A43CD1"/>
    <w:rsid w:val="00A43FE9"/>
    <w:rsid w:val="00A44334"/>
    <w:rsid w:val="00A44654"/>
    <w:rsid w:val="00A446B3"/>
    <w:rsid w:val="00A447F7"/>
    <w:rsid w:val="00A4496D"/>
    <w:rsid w:val="00A449EF"/>
    <w:rsid w:val="00A44BA3"/>
    <w:rsid w:val="00A44BBB"/>
    <w:rsid w:val="00A44CD6"/>
    <w:rsid w:val="00A44E1E"/>
    <w:rsid w:val="00A44F53"/>
    <w:rsid w:val="00A44FB4"/>
    <w:rsid w:val="00A45428"/>
    <w:rsid w:val="00A455D1"/>
    <w:rsid w:val="00A45615"/>
    <w:rsid w:val="00A45637"/>
    <w:rsid w:val="00A456B8"/>
    <w:rsid w:val="00A456C4"/>
    <w:rsid w:val="00A4594E"/>
    <w:rsid w:val="00A45DE4"/>
    <w:rsid w:val="00A45F3E"/>
    <w:rsid w:val="00A46075"/>
    <w:rsid w:val="00A4609A"/>
    <w:rsid w:val="00A46212"/>
    <w:rsid w:val="00A46326"/>
    <w:rsid w:val="00A46343"/>
    <w:rsid w:val="00A463CE"/>
    <w:rsid w:val="00A463F2"/>
    <w:rsid w:val="00A464BF"/>
    <w:rsid w:val="00A464CB"/>
    <w:rsid w:val="00A4650F"/>
    <w:rsid w:val="00A467A2"/>
    <w:rsid w:val="00A468D8"/>
    <w:rsid w:val="00A46920"/>
    <w:rsid w:val="00A4698B"/>
    <w:rsid w:val="00A46AA8"/>
    <w:rsid w:val="00A46AB1"/>
    <w:rsid w:val="00A46BAA"/>
    <w:rsid w:val="00A46C0C"/>
    <w:rsid w:val="00A470B4"/>
    <w:rsid w:val="00A470BB"/>
    <w:rsid w:val="00A4727E"/>
    <w:rsid w:val="00A472DE"/>
    <w:rsid w:val="00A472FD"/>
    <w:rsid w:val="00A473AE"/>
    <w:rsid w:val="00A47701"/>
    <w:rsid w:val="00A47A55"/>
    <w:rsid w:val="00A47B51"/>
    <w:rsid w:val="00A47C31"/>
    <w:rsid w:val="00A47C7D"/>
    <w:rsid w:val="00A47DA6"/>
    <w:rsid w:val="00A47DCD"/>
    <w:rsid w:val="00A4CE9D"/>
    <w:rsid w:val="00A50070"/>
    <w:rsid w:val="00A50273"/>
    <w:rsid w:val="00A5056F"/>
    <w:rsid w:val="00A505AD"/>
    <w:rsid w:val="00A505AF"/>
    <w:rsid w:val="00A50666"/>
    <w:rsid w:val="00A50742"/>
    <w:rsid w:val="00A507EE"/>
    <w:rsid w:val="00A5085D"/>
    <w:rsid w:val="00A51026"/>
    <w:rsid w:val="00A512BC"/>
    <w:rsid w:val="00A513DD"/>
    <w:rsid w:val="00A51772"/>
    <w:rsid w:val="00A51866"/>
    <w:rsid w:val="00A51D64"/>
    <w:rsid w:val="00A51E2C"/>
    <w:rsid w:val="00A51F1E"/>
    <w:rsid w:val="00A5214D"/>
    <w:rsid w:val="00A522D0"/>
    <w:rsid w:val="00A52399"/>
    <w:rsid w:val="00A5239C"/>
    <w:rsid w:val="00A5290D"/>
    <w:rsid w:val="00A52A01"/>
    <w:rsid w:val="00A52A43"/>
    <w:rsid w:val="00A52B1C"/>
    <w:rsid w:val="00A52B75"/>
    <w:rsid w:val="00A52F28"/>
    <w:rsid w:val="00A52FD9"/>
    <w:rsid w:val="00A53074"/>
    <w:rsid w:val="00A5309C"/>
    <w:rsid w:val="00A53171"/>
    <w:rsid w:val="00A53323"/>
    <w:rsid w:val="00A53549"/>
    <w:rsid w:val="00A538CE"/>
    <w:rsid w:val="00A53B11"/>
    <w:rsid w:val="00A53BA8"/>
    <w:rsid w:val="00A53BDD"/>
    <w:rsid w:val="00A53BDF"/>
    <w:rsid w:val="00A53D09"/>
    <w:rsid w:val="00A53DA7"/>
    <w:rsid w:val="00A53DB4"/>
    <w:rsid w:val="00A53F26"/>
    <w:rsid w:val="00A53FBC"/>
    <w:rsid w:val="00A5403C"/>
    <w:rsid w:val="00A5405D"/>
    <w:rsid w:val="00A5417A"/>
    <w:rsid w:val="00A54292"/>
    <w:rsid w:val="00A54370"/>
    <w:rsid w:val="00A5465D"/>
    <w:rsid w:val="00A5478A"/>
    <w:rsid w:val="00A548D6"/>
    <w:rsid w:val="00A54B0E"/>
    <w:rsid w:val="00A54BC9"/>
    <w:rsid w:val="00A54C70"/>
    <w:rsid w:val="00A54C94"/>
    <w:rsid w:val="00A54CCD"/>
    <w:rsid w:val="00A54F26"/>
    <w:rsid w:val="00A5531B"/>
    <w:rsid w:val="00A553C4"/>
    <w:rsid w:val="00A557C9"/>
    <w:rsid w:val="00A55942"/>
    <w:rsid w:val="00A559C2"/>
    <w:rsid w:val="00A55B4C"/>
    <w:rsid w:val="00A55B69"/>
    <w:rsid w:val="00A55C74"/>
    <w:rsid w:val="00A55CCA"/>
    <w:rsid w:val="00A55E02"/>
    <w:rsid w:val="00A5617D"/>
    <w:rsid w:val="00A562CF"/>
    <w:rsid w:val="00A5633B"/>
    <w:rsid w:val="00A564B9"/>
    <w:rsid w:val="00A566CF"/>
    <w:rsid w:val="00A5678D"/>
    <w:rsid w:val="00A568C3"/>
    <w:rsid w:val="00A569EB"/>
    <w:rsid w:val="00A56A66"/>
    <w:rsid w:val="00A56C34"/>
    <w:rsid w:val="00A56F53"/>
    <w:rsid w:val="00A56FD5"/>
    <w:rsid w:val="00A57076"/>
    <w:rsid w:val="00A572BE"/>
    <w:rsid w:val="00A572E8"/>
    <w:rsid w:val="00A57395"/>
    <w:rsid w:val="00A5739C"/>
    <w:rsid w:val="00A5743B"/>
    <w:rsid w:val="00A57441"/>
    <w:rsid w:val="00A5750E"/>
    <w:rsid w:val="00A5762C"/>
    <w:rsid w:val="00A57681"/>
    <w:rsid w:val="00A5777F"/>
    <w:rsid w:val="00A577E7"/>
    <w:rsid w:val="00A5784B"/>
    <w:rsid w:val="00A578A2"/>
    <w:rsid w:val="00A57A6D"/>
    <w:rsid w:val="00A57BD0"/>
    <w:rsid w:val="00A57D4D"/>
    <w:rsid w:val="00A57F2F"/>
    <w:rsid w:val="00A600A3"/>
    <w:rsid w:val="00A60400"/>
    <w:rsid w:val="00A605FE"/>
    <w:rsid w:val="00A60739"/>
    <w:rsid w:val="00A6075A"/>
    <w:rsid w:val="00A6098D"/>
    <w:rsid w:val="00A609F2"/>
    <w:rsid w:val="00A60D1F"/>
    <w:rsid w:val="00A60FC2"/>
    <w:rsid w:val="00A6108A"/>
    <w:rsid w:val="00A6120E"/>
    <w:rsid w:val="00A61395"/>
    <w:rsid w:val="00A613C7"/>
    <w:rsid w:val="00A61516"/>
    <w:rsid w:val="00A615AD"/>
    <w:rsid w:val="00A617D7"/>
    <w:rsid w:val="00A61CCD"/>
    <w:rsid w:val="00A61E77"/>
    <w:rsid w:val="00A61FC5"/>
    <w:rsid w:val="00A6200E"/>
    <w:rsid w:val="00A62112"/>
    <w:rsid w:val="00A62298"/>
    <w:rsid w:val="00A6239A"/>
    <w:rsid w:val="00A623CD"/>
    <w:rsid w:val="00A62507"/>
    <w:rsid w:val="00A62829"/>
    <w:rsid w:val="00A6294E"/>
    <w:rsid w:val="00A62B23"/>
    <w:rsid w:val="00A62B32"/>
    <w:rsid w:val="00A62C41"/>
    <w:rsid w:val="00A62D25"/>
    <w:rsid w:val="00A62D94"/>
    <w:rsid w:val="00A62DFD"/>
    <w:rsid w:val="00A62ED3"/>
    <w:rsid w:val="00A62F8A"/>
    <w:rsid w:val="00A63030"/>
    <w:rsid w:val="00A63054"/>
    <w:rsid w:val="00A630FB"/>
    <w:rsid w:val="00A631CD"/>
    <w:rsid w:val="00A635B5"/>
    <w:rsid w:val="00A6365B"/>
    <w:rsid w:val="00A63749"/>
    <w:rsid w:val="00A639D3"/>
    <w:rsid w:val="00A63A06"/>
    <w:rsid w:val="00A6406B"/>
    <w:rsid w:val="00A640D3"/>
    <w:rsid w:val="00A6416F"/>
    <w:rsid w:val="00A6418D"/>
    <w:rsid w:val="00A64238"/>
    <w:rsid w:val="00A642F2"/>
    <w:rsid w:val="00A6448D"/>
    <w:rsid w:val="00A6450C"/>
    <w:rsid w:val="00A6473E"/>
    <w:rsid w:val="00A6483E"/>
    <w:rsid w:val="00A6489B"/>
    <w:rsid w:val="00A64907"/>
    <w:rsid w:val="00A64910"/>
    <w:rsid w:val="00A649BA"/>
    <w:rsid w:val="00A64A7C"/>
    <w:rsid w:val="00A64BDC"/>
    <w:rsid w:val="00A64BE8"/>
    <w:rsid w:val="00A64EF5"/>
    <w:rsid w:val="00A64F2C"/>
    <w:rsid w:val="00A64FE8"/>
    <w:rsid w:val="00A64FFB"/>
    <w:rsid w:val="00A6512E"/>
    <w:rsid w:val="00A652C2"/>
    <w:rsid w:val="00A652D7"/>
    <w:rsid w:val="00A65385"/>
    <w:rsid w:val="00A653F5"/>
    <w:rsid w:val="00A656EF"/>
    <w:rsid w:val="00A659D2"/>
    <w:rsid w:val="00A65C6C"/>
    <w:rsid w:val="00A65C80"/>
    <w:rsid w:val="00A65CEA"/>
    <w:rsid w:val="00A65FA7"/>
    <w:rsid w:val="00A66002"/>
    <w:rsid w:val="00A66086"/>
    <w:rsid w:val="00A66343"/>
    <w:rsid w:val="00A664A8"/>
    <w:rsid w:val="00A6654C"/>
    <w:rsid w:val="00A665DA"/>
    <w:rsid w:val="00A6664C"/>
    <w:rsid w:val="00A666DE"/>
    <w:rsid w:val="00A6679C"/>
    <w:rsid w:val="00A667A7"/>
    <w:rsid w:val="00A668A9"/>
    <w:rsid w:val="00A668B7"/>
    <w:rsid w:val="00A66947"/>
    <w:rsid w:val="00A669D5"/>
    <w:rsid w:val="00A66B2E"/>
    <w:rsid w:val="00A66B36"/>
    <w:rsid w:val="00A66B94"/>
    <w:rsid w:val="00A66BF1"/>
    <w:rsid w:val="00A66D77"/>
    <w:rsid w:val="00A66E7E"/>
    <w:rsid w:val="00A66E96"/>
    <w:rsid w:val="00A67047"/>
    <w:rsid w:val="00A67101"/>
    <w:rsid w:val="00A671BA"/>
    <w:rsid w:val="00A67217"/>
    <w:rsid w:val="00A67227"/>
    <w:rsid w:val="00A6724B"/>
    <w:rsid w:val="00A67452"/>
    <w:rsid w:val="00A67542"/>
    <w:rsid w:val="00A67686"/>
    <w:rsid w:val="00A67688"/>
    <w:rsid w:val="00A67981"/>
    <w:rsid w:val="00A67995"/>
    <w:rsid w:val="00A67A29"/>
    <w:rsid w:val="00A67C6E"/>
    <w:rsid w:val="00A67F5B"/>
    <w:rsid w:val="00A67F8B"/>
    <w:rsid w:val="00A70114"/>
    <w:rsid w:val="00A7011B"/>
    <w:rsid w:val="00A7022E"/>
    <w:rsid w:val="00A7029E"/>
    <w:rsid w:val="00A70402"/>
    <w:rsid w:val="00A7041B"/>
    <w:rsid w:val="00A70433"/>
    <w:rsid w:val="00A70581"/>
    <w:rsid w:val="00A70841"/>
    <w:rsid w:val="00A70941"/>
    <w:rsid w:val="00A70A53"/>
    <w:rsid w:val="00A70A9A"/>
    <w:rsid w:val="00A70B66"/>
    <w:rsid w:val="00A70B87"/>
    <w:rsid w:val="00A70E39"/>
    <w:rsid w:val="00A70E50"/>
    <w:rsid w:val="00A70F8F"/>
    <w:rsid w:val="00A7105E"/>
    <w:rsid w:val="00A711C5"/>
    <w:rsid w:val="00A71284"/>
    <w:rsid w:val="00A712D2"/>
    <w:rsid w:val="00A713F6"/>
    <w:rsid w:val="00A7175B"/>
    <w:rsid w:val="00A717F7"/>
    <w:rsid w:val="00A71900"/>
    <w:rsid w:val="00A71953"/>
    <w:rsid w:val="00A71994"/>
    <w:rsid w:val="00A719D5"/>
    <w:rsid w:val="00A71B00"/>
    <w:rsid w:val="00A71FBB"/>
    <w:rsid w:val="00A71FC8"/>
    <w:rsid w:val="00A72037"/>
    <w:rsid w:val="00A720A1"/>
    <w:rsid w:val="00A721D5"/>
    <w:rsid w:val="00A724DA"/>
    <w:rsid w:val="00A724ED"/>
    <w:rsid w:val="00A7263D"/>
    <w:rsid w:val="00A7264E"/>
    <w:rsid w:val="00A72753"/>
    <w:rsid w:val="00A7278E"/>
    <w:rsid w:val="00A728A2"/>
    <w:rsid w:val="00A7292A"/>
    <w:rsid w:val="00A729CA"/>
    <w:rsid w:val="00A72C3A"/>
    <w:rsid w:val="00A72C71"/>
    <w:rsid w:val="00A72C8C"/>
    <w:rsid w:val="00A72D65"/>
    <w:rsid w:val="00A72F69"/>
    <w:rsid w:val="00A72FDF"/>
    <w:rsid w:val="00A73025"/>
    <w:rsid w:val="00A7310A"/>
    <w:rsid w:val="00A731DD"/>
    <w:rsid w:val="00A733F0"/>
    <w:rsid w:val="00A73506"/>
    <w:rsid w:val="00A7350C"/>
    <w:rsid w:val="00A73541"/>
    <w:rsid w:val="00A73704"/>
    <w:rsid w:val="00A73A40"/>
    <w:rsid w:val="00A73B40"/>
    <w:rsid w:val="00A73BF0"/>
    <w:rsid w:val="00A73DE6"/>
    <w:rsid w:val="00A73E58"/>
    <w:rsid w:val="00A73E84"/>
    <w:rsid w:val="00A73FA0"/>
    <w:rsid w:val="00A73FF0"/>
    <w:rsid w:val="00A73FF1"/>
    <w:rsid w:val="00A7409D"/>
    <w:rsid w:val="00A74213"/>
    <w:rsid w:val="00A7426D"/>
    <w:rsid w:val="00A74440"/>
    <w:rsid w:val="00A748F8"/>
    <w:rsid w:val="00A74CA0"/>
    <w:rsid w:val="00A74CD1"/>
    <w:rsid w:val="00A74CDB"/>
    <w:rsid w:val="00A74D0A"/>
    <w:rsid w:val="00A74DCB"/>
    <w:rsid w:val="00A74ED3"/>
    <w:rsid w:val="00A75109"/>
    <w:rsid w:val="00A75199"/>
    <w:rsid w:val="00A75245"/>
    <w:rsid w:val="00A753AB"/>
    <w:rsid w:val="00A7540A"/>
    <w:rsid w:val="00A7545C"/>
    <w:rsid w:val="00A75563"/>
    <w:rsid w:val="00A7582A"/>
    <w:rsid w:val="00A75909"/>
    <w:rsid w:val="00A75951"/>
    <w:rsid w:val="00A75AAC"/>
    <w:rsid w:val="00A75B35"/>
    <w:rsid w:val="00A75B8A"/>
    <w:rsid w:val="00A75EA1"/>
    <w:rsid w:val="00A75EA9"/>
    <w:rsid w:val="00A75FBB"/>
    <w:rsid w:val="00A760DF"/>
    <w:rsid w:val="00A76194"/>
    <w:rsid w:val="00A76293"/>
    <w:rsid w:val="00A762AF"/>
    <w:rsid w:val="00A7631F"/>
    <w:rsid w:val="00A76460"/>
    <w:rsid w:val="00A766A8"/>
    <w:rsid w:val="00A76A76"/>
    <w:rsid w:val="00A76B27"/>
    <w:rsid w:val="00A76B9A"/>
    <w:rsid w:val="00A76C26"/>
    <w:rsid w:val="00A76F31"/>
    <w:rsid w:val="00A76FDB"/>
    <w:rsid w:val="00A77025"/>
    <w:rsid w:val="00A770C6"/>
    <w:rsid w:val="00A77104"/>
    <w:rsid w:val="00A77129"/>
    <w:rsid w:val="00A7716A"/>
    <w:rsid w:val="00A7722B"/>
    <w:rsid w:val="00A77257"/>
    <w:rsid w:val="00A7736F"/>
    <w:rsid w:val="00A773FB"/>
    <w:rsid w:val="00A774E5"/>
    <w:rsid w:val="00A776A0"/>
    <w:rsid w:val="00A77821"/>
    <w:rsid w:val="00A7783C"/>
    <w:rsid w:val="00A778F6"/>
    <w:rsid w:val="00A77A70"/>
    <w:rsid w:val="00A77B0C"/>
    <w:rsid w:val="00A77BC6"/>
    <w:rsid w:val="00A77C85"/>
    <w:rsid w:val="00A77D13"/>
    <w:rsid w:val="00A77D83"/>
    <w:rsid w:val="00A77DD5"/>
    <w:rsid w:val="00A77F99"/>
    <w:rsid w:val="00A8041E"/>
    <w:rsid w:val="00A80687"/>
    <w:rsid w:val="00A80B49"/>
    <w:rsid w:val="00A80BAB"/>
    <w:rsid w:val="00A80F6E"/>
    <w:rsid w:val="00A8104E"/>
    <w:rsid w:val="00A810E1"/>
    <w:rsid w:val="00A812DD"/>
    <w:rsid w:val="00A818B5"/>
    <w:rsid w:val="00A819E7"/>
    <w:rsid w:val="00A81B39"/>
    <w:rsid w:val="00A81C05"/>
    <w:rsid w:val="00A81CFA"/>
    <w:rsid w:val="00A81D33"/>
    <w:rsid w:val="00A81D37"/>
    <w:rsid w:val="00A81F61"/>
    <w:rsid w:val="00A82031"/>
    <w:rsid w:val="00A82210"/>
    <w:rsid w:val="00A824E1"/>
    <w:rsid w:val="00A8275E"/>
    <w:rsid w:val="00A82963"/>
    <w:rsid w:val="00A82A1F"/>
    <w:rsid w:val="00A82C51"/>
    <w:rsid w:val="00A82CDF"/>
    <w:rsid w:val="00A82D51"/>
    <w:rsid w:val="00A83032"/>
    <w:rsid w:val="00A830AD"/>
    <w:rsid w:val="00A83122"/>
    <w:rsid w:val="00A832B0"/>
    <w:rsid w:val="00A83389"/>
    <w:rsid w:val="00A83491"/>
    <w:rsid w:val="00A8372F"/>
    <w:rsid w:val="00A83931"/>
    <w:rsid w:val="00A839AB"/>
    <w:rsid w:val="00A839C5"/>
    <w:rsid w:val="00A83A0E"/>
    <w:rsid w:val="00A83AAD"/>
    <w:rsid w:val="00A83CE9"/>
    <w:rsid w:val="00A83D8F"/>
    <w:rsid w:val="00A83E1C"/>
    <w:rsid w:val="00A8404E"/>
    <w:rsid w:val="00A84057"/>
    <w:rsid w:val="00A845E7"/>
    <w:rsid w:val="00A846E6"/>
    <w:rsid w:val="00A84755"/>
    <w:rsid w:val="00A84826"/>
    <w:rsid w:val="00A84A63"/>
    <w:rsid w:val="00A84AB2"/>
    <w:rsid w:val="00A84AD6"/>
    <w:rsid w:val="00A84AF6"/>
    <w:rsid w:val="00A84C0C"/>
    <w:rsid w:val="00A850BF"/>
    <w:rsid w:val="00A8547A"/>
    <w:rsid w:val="00A855C9"/>
    <w:rsid w:val="00A8564D"/>
    <w:rsid w:val="00A857CB"/>
    <w:rsid w:val="00A8595A"/>
    <w:rsid w:val="00A859BA"/>
    <w:rsid w:val="00A85BDE"/>
    <w:rsid w:val="00A85CED"/>
    <w:rsid w:val="00A85E4F"/>
    <w:rsid w:val="00A85E54"/>
    <w:rsid w:val="00A85EA0"/>
    <w:rsid w:val="00A85F91"/>
    <w:rsid w:val="00A861C1"/>
    <w:rsid w:val="00A86268"/>
    <w:rsid w:val="00A8638B"/>
    <w:rsid w:val="00A8649D"/>
    <w:rsid w:val="00A867A2"/>
    <w:rsid w:val="00A867D4"/>
    <w:rsid w:val="00A86899"/>
    <w:rsid w:val="00A86916"/>
    <w:rsid w:val="00A869D1"/>
    <w:rsid w:val="00A86B21"/>
    <w:rsid w:val="00A86B68"/>
    <w:rsid w:val="00A86C3B"/>
    <w:rsid w:val="00A86D22"/>
    <w:rsid w:val="00A86D2B"/>
    <w:rsid w:val="00A86D69"/>
    <w:rsid w:val="00A86D79"/>
    <w:rsid w:val="00A86DCE"/>
    <w:rsid w:val="00A86EC9"/>
    <w:rsid w:val="00A86F9A"/>
    <w:rsid w:val="00A871C9"/>
    <w:rsid w:val="00A872A0"/>
    <w:rsid w:val="00A874EC"/>
    <w:rsid w:val="00A876EC"/>
    <w:rsid w:val="00A87976"/>
    <w:rsid w:val="00A87AEF"/>
    <w:rsid w:val="00A87D54"/>
    <w:rsid w:val="00A87D6F"/>
    <w:rsid w:val="00A87D9A"/>
    <w:rsid w:val="00A87DD0"/>
    <w:rsid w:val="00A87DD3"/>
    <w:rsid w:val="00A87E59"/>
    <w:rsid w:val="00A87F09"/>
    <w:rsid w:val="00A9008B"/>
    <w:rsid w:val="00A90102"/>
    <w:rsid w:val="00A90469"/>
    <w:rsid w:val="00A906C4"/>
    <w:rsid w:val="00A9082B"/>
    <w:rsid w:val="00A908A7"/>
    <w:rsid w:val="00A9094F"/>
    <w:rsid w:val="00A90987"/>
    <w:rsid w:val="00A90A53"/>
    <w:rsid w:val="00A90AE1"/>
    <w:rsid w:val="00A90F1F"/>
    <w:rsid w:val="00A9108E"/>
    <w:rsid w:val="00A91279"/>
    <w:rsid w:val="00A912CC"/>
    <w:rsid w:val="00A9144C"/>
    <w:rsid w:val="00A914BD"/>
    <w:rsid w:val="00A91538"/>
    <w:rsid w:val="00A91A16"/>
    <w:rsid w:val="00A91A4B"/>
    <w:rsid w:val="00A91AD4"/>
    <w:rsid w:val="00A91CD2"/>
    <w:rsid w:val="00A91D5F"/>
    <w:rsid w:val="00A91DCE"/>
    <w:rsid w:val="00A91E64"/>
    <w:rsid w:val="00A91F8C"/>
    <w:rsid w:val="00A92116"/>
    <w:rsid w:val="00A92277"/>
    <w:rsid w:val="00A92281"/>
    <w:rsid w:val="00A922B9"/>
    <w:rsid w:val="00A92332"/>
    <w:rsid w:val="00A92483"/>
    <w:rsid w:val="00A9260C"/>
    <w:rsid w:val="00A926F3"/>
    <w:rsid w:val="00A927CB"/>
    <w:rsid w:val="00A92848"/>
    <w:rsid w:val="00A9284A"/>
    <w:rsid w:val="00A9286C"/>
    <w:rsid w:val="00A929F2"/>
    <w:rsid w:val="00A92B43"/>
    <w:rsid w:val="00A92EB8"/>
    <w:rsid w:val="00A92EF3"/>
    <w:rsid w:val="00A92F43"/>
    <w:rsid w:val="00A92FE7"/>
    <w:rsid w:val="00A9303F"/>
    <w:rsid w:val="00A93190"/>
    <w:rsid w:val="00A93606"/>
    <w:rsid w:val="00A93674"/>
    <w:rsid w:val="00A936BC"/>
    <w:rsid w:val="00A93706"/>
    <w:rsid w:val="00A9380F"/>
    <w:rsid w:val="00A938A0"/>
    <w:rsid w:val="00A939C2"/>
    <w:rsid w:val="00A93ACA"/>
    <w:rsid w:val="00A93C9D"/>
    <w:rsid w:val="00A93CDE"/>
    <w:rsid w:val="00A93CEB"/>
    <w:rsid w:val="00A93D45"/>
    <w:rsid w:val="00A93F4E"/>
    <w:rsid w:val="00A93FF7"/>
    <w:rsid w:val="00A943C9"/>
    <w:rsid w:val="00A944DB"/>
    <w:rsid w:val="00A9468A"/>
    <w:rsid w:val="00A947AB"/>
    <w:rsid w:val="00A948C2"/>
    <w:rsid w:val="00A949DA"/>
    <w:rsid w:val="00A94B0C"/>
    <w:rsid w:val="00A94E28"/>
    <w:rsid w:val="00A94EED"/>
    <w:rsid w:val="00A95078"/>
    <w:rsid w:val="00A950BD"/>
    <w:rsid w:val="00A951B3"/>
    <w:rsid w:val="00A953D5"/>
    <w:rsid w:val="00A95645"/>
    <w:rsid w:val="00A9567D"/>
    <w:rsid w:val="00A95788"/>
    <w:rsid w:val="00A957D6"/>
    <w:rsid w:val="00A959B3"/>
    <w:rsid w:val="00A95A64"/>
    <w:rsid w:val="00A95B12"/>
    <w:rsid w:val="00A95B6E"/>
    <w:rsid w:val="00A95B8D"/>
    <w:rsid w:val="00A95D61"/>
    <w:rsid w:val="00A95E20"/>
    <w:rsid w:val="00A95F34"/>
    <w:rsid w:val="00A95F83"/>
    <w:rsid w:val="00A960CD"/>
    <w:rsid w:val="00A96114"/>
    <w:rsid w:val="00A9616D"/>
    <w:rsid w:val="00A9632B"/>
    <w:rsid w:val="00A96364"/>
    <w:rsid w:val="00A96484"/>
    <w:rsid w:val="00A96672"/>
    <w:rsid w:val="00A96783"/>
    <w:rsid w:val="00A967B6"/>
    <w:rsid w:val="00A96985"/>
    <w:rsid w:val="00A96C77"/>
    <w:rsid w:val="00A96C96"/>
    <w:rsid w:val="00A96DD4"/>
    <w:rsid w:val="00A96F67"/>
    <w:rsid w:val="00A96FE1"/>
    <w:rsid w:val="00A971D3"/>
    <w:rsid w:val="00A97332"/>
    <w:rsid w:val="00A973F1"/>
    <w:rsid w:val="00A974B3"/>
    <w:rsid w:val="00A97659"/>
    <w:rsid w:val="00A976A2"/>
    <w:rsid w:val="00A976F7"/>
    <w:rsid w:val="00A97798"/>
    <w:rsid w:val="00A97A99"/>
    <w:rsid w:val="00A97B89"/>
    <w:rsid w:val="00A97BA4"/>
    <w:rsid w:val="00A97F1F"/>
    <w:rsid w:val="00A97F3D"/>
    <w:rsid w:val="00AA0166"/>
    <w:rsid w:val="00AA02F8"/>
    <w:rsid w:val="00AA045D"/>
    <w:rsid w:val="00AA0552"/>
    <w:rsid w:val="00AA05C5"/>
    <w:rsid w:val="00AA06EF"/>
    <w:rsid w:val="00AA081A"/>
    <w:rsid w:val="00AA0BEE"/>
    <w:rsid w:val="00AA0D55"/>
    <w:rsid w:val="00AA0DAC"/>
    <w:rsid w:val="00AA0EF8"/>
    <w:rsid w:val="00AA1253"/>
    <w:rsid w:val="00AA13B0"/>
    <w:rsid w:val="00AA1663"/>
    <w:rsid w:val="00AA1677"/>
    <w:rsid w:val="00AA16A0"/>
    <w:rsid w:val="00AA174D"/>
    <w:rsid w:val="00AA17ED"/>
    <w:rsid w:val="00AA18D8"/>
    <w:rsid w:val="00AA19BB"/>
    <w:rsid w:val="00AA1AB7"/>
    <w:rsid w:val="00AA1B1D"/>
    <w:rsid w:val="00AA1B2D"/>
    <w:rsid w:val="00AA1BB8"/>
    <w:rsid w:val="00AA1C87"/>
    <w:rsid w:val="00AA1D41"/>
    <w:rsid w:val="00AA1E48"/>
    <w:rsid w:val="00AA1E7C"/>
    <w:rsid w:val="00AA2079"/>
    <w:rsid w:val="00AA218B"/>
    <w:rsid w:val="00AA218F"/>
    <w:rsid w:val="00AA228D"/>
    <w:rsid w:val="00AA2290"/>
    <w:rsid w:val="00AA2329"/>
    <w:rsid w:val="00AA26AB"/>
    <w:rsid w:val="00AA2B12"/>
    <w:rsid w:val="00AA2E5A"/>
    <w:rsid w:val="00AA2E76"/>
    <w:rsid w:val="00AA2F5C"/>
    <w:rsid w:val="00AA32BB"/>
    <w:rsid w:val="00AA3357"/>
    <w:rsid w:val="00AA3472"/>
    <w:rsid w:val="00AA350B"/>
    <w:rsid w:val="00AA3815"/>
    <w:rsid w:val="00AA382F"/>
    <w:rsid w:val="00AA3CAD"/>
    <w:rsid w:val="00AA3CB0"/>
    <w:rsid w:val="00AA3FE4"/>
    <w:rsid w:val="00AA4121"/>
    <w:rsid w:val="00AA49AE"/>
    <w:rsid w:val="00AA49DD"/>
    <w:rsid w:val="00AA4A68"/>
    <w:rsid w:val="00AA4AC4"/>
    <w:rsid w:val="00AA4B8D"/>
    <w:rsid w:val="00AA4C7A"/>
    <w:rsid w:val="00AA4CA6"/>
    <w:rsid w:val="00AA5009"/>
    <w:rsid w:val="00AA5119"/>
    <w:rsid w:val="00AA515A"/>
    <w:rsid w:val="00AA5384"/>
    <w:rsid w:val="00AA548E"/>
    <w:rsid w:val="00AA58EF"/>
    <w:rsid w:val="00AA5992"/>
    <w:rsid w:val="00AA5994"/>
    <w:rsid w:val="00AA5A97"/>
    <w:rsid w:val="00AA5AD3"/>
    <w:rsid w:val="00AA5B7D"/>
    <w:rsid w:val="00AA5D3A"/>
    <w:rsid w:val="00AA5EDC"/>
    <w:rsid w:val="00AA5F08"/>
    <w:rsid w:val="00AA611F"/>
    <w:rsid w:val="00AA6199"/>
    <w:rsid w:val="00AA6331"/>
    <w:rsid w:val="00AA6694"/>
    <w:rsid w:val="00AA6719"/>
    <w:rsid w:val="00AA679F"/>
    <w:rsid w:val="00AA6889"/>
    <w:rsid w:val="00AA6CDF"/>
    <w:rsid w:val="00AA6DDC"/>
    <w:rsid w:val="00AA6E58"/>
    <w:rsid w:val="00AA704F"/>
    <w:rsid w:val="00AA705C"/>
    <w:rsid w:val="00AA7223"/>
    <w:rsid w:val="00AA72F3"/>
    <w:rsid w:val="00AA7310"/>
    <w:rsid w:val="00AA732B"/>
    <w:rsid w:val="00AA7338"/>
    <w:rsid w:val="00AA780B"/>
    <w:rsid w:val="00AA7861"/>
    <w:rsid w:val="00AA7A54"/>
    <w:rsid w:val="00AA7E41"/>
    <w:rsid w:val="00AB0107"/>
    <w:rsid w:val="00AB08A4"/>
    <w:rsid w:val="00AB094D"/>
    <w:rsid w:val="00AB0C1E"/>
    <w:rsid w:val="00AB0C3A"/>
    <w:rsid w:val="00AB0CDC"/>
    <w:rsid w:val="00AB0D31"/>
    <w:rsid w:val="00AB0E34"/>
    <w:rsid w:val="00AB0FD8"/>
    <w:rsid w:val="00AB1062"/>
    <w:rsid w:val="00AB125A"/>
    <w:rsid w:val="00AB156D"/>
    <w:rsid w:val="00AB15FD"/>
    <w:rsid w:val="00AB1730"/>
    <w:rsid w:val="00AB1819"/>
    <w:rsid w:val="00AB1A81"/>
    <w:rsid w:val="00AB1AA8"/>
    <w:rsid w:val="00AB1BD6"/>
    <w:rsid w:val="00AB1BF1"/>
    <w:rsid w:val="00AB1E65"/>
    <w:rsid w:val="00AB238F"/>
    <w:rsid w:val="00AB2410"/>
    <w:rsid w:val="00AB2432"/>
    <w:rsid w:val="00AB2450"/>
    <w:rsid w:val="00AB248F"/>
    <w:rsid w:val="00AB256D"/>
    <w:rsid w:val="00AB2648"/>
    <w:rsid w:val="00AB27AF"/>
    <w:rsid w:val="00AB27ED"/>
    <w:rsid w:val="00AB27F7"/>
    <w:rsid w:val="00AB2C32"/>
    <w:rsid w:val="00AB2DDB"/>
    <w:rsid w:val="00AB2F0E"/>
    <w:rsid w:val="00AB2FCC"/>
    <w:rsid w:val="00AB3017"/>
    <w:rsid w:val="00AB338B"/>
    <w:rsid w:val="00AB34A5"/>
    <w:rsid w:val="00AB34AE"/>
    <w:rsid w:val="00AB374F"/>
    <w:rsid w:val="00AB4021"/>
    <w:rsid w:val="00AB41D1"/>
    <w:rsid w:val="00AB42B7"/>
    <w:rsid w:val="00AB44D3"/>
    <w:rsid w:val="00AB4690"/>
    <w:rsid w:val="00AB476B"/>
    <w:rsid w:val="00AB47F0"/>
    <w:rsid w:val="00AB484A"/>
    <w:rsid w:val="00AB4968"/>
    <w:rsid w:val="00AB4C1E"/>
    <w:rsid w:val="00AB4D00"/>
    <w:rsid w:val="00AB4D0A"/>
    <w:rsid w:val="00AB4D94"/>
    <w:rsid w:val="00AB4D98"/>
    <w:rsid w:val="00AB4DD1"/>
    <w:rsid w:val="00AB4E60"/>
    <w:rsid w:val="00AB4ECB"/>
    <w:rsid w:val="00AB4EEE"/>
    <w:rsid w:val="00AB5016"/>
    <w:rsid w:val="00AB5220"/>
    <w:rsid w:val="00AB539A"/>
    <w:rsid w:val="00AB53B7"/>
    <w:rsid w:val="00AB5570"/>
    <w:rsid w:val="00AB5580"/>
    <w:rsid w:val="00AB5A89"/>
    <w:rsid w:val="00AB5BAC"/>
    <w:rsid w:val="00AB5C5E"/>
    <w:rsid w:val="00AB5C6B"/>
    <w:rsid w:val="00AB5DEE"/>
    <w:rsid w:val="00AB5DF7"/>
    <w:rsid w:val="00AB5E64"/>
    <w:rsid w:val="00AB5FFE"/>
    <w:rsid w:val="00AB61DC"/>
    <w:rsid w:val="00AB61E1"/>
    <w:rsid w:val="00AB6312"/>
    <w:rsid w:val="00AB6404"/>
    <w:rsid w:val="00AB65F8"/>
    <w:rsid w:val="00AB6A32"/>
    <w:rsid w:val="00AB6A92"/>
    <w:rsid w:val="00AB6B49"/>
    <w:rsid w:val="00AB6E2E"/>
    <w:rsid w:val="00AB6FA6"/>
    <w:rsid w:val="00AB6FCB"/>
    <w:rsid w:val="00AB711A"/>
    <w:rsid w:val="00AB7262"/>
    <w:rsid w:val="00AB7287"/>
    <w:rsid w:val="00AB7322"/>
    <w:rsid w:val="00AB7379"/>
    <w:rsid w:val="00AB7705"/>
    <w:rsid w:val="00AB7754"/>
    <w:rsid w:val="00AB776F"/>
    <w:rsid w:val="00AB7A11"/>
    <w:rsid w:val="00AB7A9F"/>
    <w:rsid w:val="00AB7EE6"/>
    <w:rsid w:val="00AC0038"/>
    <w:rsid w:val="00AC0068"/>
    <w:rsid w:val="00AC00A3"/>
    <w:rsid w:val="00AC0201"/>
    <w:rsid w:val="00AC04A2"/>
    <w:rsid w:val="00AC04C2"/>
    <w:rsid w:val="00AC0585"/>
    <w:rsid w:val="00AC075E"/>
    <w:rsid w:val="00AC07BC"/>
    <w:rsid w:val="00AC086A"/>
    <w:rsid w:val="00AC0893"/>
    <w:rsid w:val="00AC09F0"/>
    <w:rsid w:val="00AC0A2C"/>
    <w:rsid w:val="00AC0A80"/>
    <w:rsid w:val="00AC0B35"/>
    <w:rsid w:val="00AC0C3E"/>
    <w:rsid w:val="00AC0CA0"/>
    <w:rsid w:val="00AC0D7C"/>
    <w:rsid w:val="00AC0EF3"/>
    <w:rsid w:val="00AC0F24"/>
    <w:rsid w:val="00AC11A5"/>
    <w:rsid w:val="00AC133A"/>
    <w:rsid w:val="00AC1817"/>
    <w:rsid w:val="00AC186E"/>
    <w:rsid w:val="00AC1903"/>
    <w:rsid w:val="00AC1D2B"/>
    <w:rsid w:val="00AC1EFA"/>
    <w:rsid w:val="00AC1F29"/>
    <w:rsid w:val="00AC1FFB"/>
    <w:rsid w:val="00AC224B"/>
    <w:rsid w:val="00AC2360"/>
    <w:rsid w:val="00AC236B"/>
    <w:rsid w:val="00AC243C"/>
    <w:rsid w:val="00AC24EB"/>
    <w:rsid w:val="00AC26D9"/>
    <w:rsid w:val="00AC26E7"/>
    <w:rsid w:val="00AC27E9"/>
    <w:rsid w:val="00AC280A"/>
    <w:rsid w:val="00AC2850"/>
    <w:rsid w:val="00AC28AD"/>
    <w:rsid w:val="00AC28C8"/>
    <w:rsid w:val="00AC2CA8"/>
    <w:rsid w:val="00AC2CE2"/>
    <w:rsid w:val="00AC2D4E"/>
    <w:rsid w:val="00AC2E30"/>
    <w:rsid w:val="00AC3017"/>
    <w:rsid w:val="00AC3276"/>
    <w:rsid w:val="00AC3331"/>
    <w:rsid w:val="00AC3364"/>
    <w:rsid w:val="00AC3420"/>
    <w:rsid w:val="00AC344E"/>
    <w:rsid w:val="00AC346E"/>
    <w:rsid w:val="00AC34E0"/>
    <w:rsid w:val="00AC35B1"/>
    <w:rsid w:val="00AC35FC"/>
    <w:rsid w:val="00AC36BE"/>
    <w:rsid w:val="00AC37A1"/>
    <w:rsid w:val="00AC3903"/>
    <w:rsid w:val="00AC3931"/>
    <w:rsid w:val="00AC3B28"/>
    <w:rsid w:val="00AC3D23"/>
    <w:rsid w:val="00AC3D2B"/>
    <w:rsid w:val="00AC401F"/>
    <w:rsid w:val="00AC407E"/>
    <w:rsid w:val="00AC4091"/>
    <w:rsid w:val="00AC40D3"/>
    <w:rsid w:val="00AC44FE"/>
    <w:rsid w:val="00AC45F5"/>
    <w:rsid w:val="00AC4679"/>
    <w:rsid w:val="00AC4790"/>
    <w:rsid w:val="00AC488E"/>
    <w:rsid w:val="00AC5119"/>
    <w:rsid w:val="00AC52BF"/>
    <w:rsid w:val="00AC54AB"/>
    <w:rsid w:val="00AC57AB"/>
    <w:rsid w:val="00AC57BA"/>
    <w:rsid w:val="00AC58C4"/>
    <w:rsid w:val="00AC5980"/>
    <w:rsid w:val="00AC59FF"/>
    <w:rsid w:val="00AC5A80"/>
    <w:rsid w:val="00AC5D38"/>
    <w:rsid w:val="00AC6060"/>
    <w:rsid w:val="00AC60EC"/>
    <w:rsid w:val="00AC62CD"/>
    <w:rsid w:val="00AC62F3"/>
    <w:rsid w:val="00AC6358"/>
    <w:rsid w:val="00AC6373"/>
    <w:rsid w:val="00AC63AF"/>
    <w:rsid w:val="00AC656D"/>
    <w:rsid w:val="00AC69B6"/>
    <w:rsid w:val="00AC6A29"/>
    <w:rsid w:val="00AC6C3D"/>
    <w:rsid w:val="00AC6CC7"/>
    <w:rsid w:val="00AC6D0C"/>
    <w:rsid w:val="00AC6E44"/>
    <w:rsid w:val="00AC6FFF"/>
    <w:rsid w:val="00AC71BC"/>
    <w:rsid w:val="00AC72E8"/>
    <w:rsid w:val="00AC736A"/>
    <w:rsid w:val="00AC7451"/>
    <w:rsid w:val="00AC75B0"/>
    <w:rsid w:val="00AC7816"/>
    <w:rsid w:val="00AC7882"/>
    <w:rsid w:val="00AC7922"/>
    <w:rsid w:val="00AC7984"/>
    <w:rsid w:val="00AD0093"/>
    <w:rsid w:val="00AD0166"/>
    <w:rsid w:val="00AD0234"/>
    <w:rsid w:val="00AD0267"/>
    <w:rsid w:val="00AD03A6"/>
    <w:rsid w:val="00AD0765"/>
    <w:rsid w:val="00AD0A48"/>
    <w:rsid w:val="00AD0F65"/>
    <w:rsid w:val="00AD0F84"/>
    <w:rsid w:val="00AD1018"/>
    <w:rsid w:val="00AD130E"/>
    <w:rsid w:val="00AD14E4"/>
    <w:rsid w:val="00AD1512"/>
    <w:rsid w:val="00AD1591"/>
    <w:rsid w:val="00AD15D4"/>
    <w:rsid w:val="00AD17D1"/>
    <w:rsid w:val="00AD17D5"/>
    <w:rsid w:val="00AD1A5B"/>
    <w:rsid w:val="00AD214A"/>
    <w:rsid w:val="00AD263F"/>
    <w:rsid w:val="00AD2703"/>
    <w:rsid w:val="00AD2788"/>
    <w:rsid w:val="00AD2918"/>
    <w:rsid w:val="00AD29E9"/>
    <w:rsid w:val="00AD2A7E"/>
    <w:rsid w:val="00AD2AF7"/>
    <w:rsid w:val="00AD2BB5"/>
    <w:rsid w:val="00AD2C1A"/>
    <w:rsid w:val="00AD2CE2"/>
    <w:rsid w:val="00AD2DA0"/>
    <w:rsid w:val="00AD2EB1"/>
    <w:rsid w:val="00AD2F25"/>
    <w:rsid w:val="00AD30DD"/>
    <w:rsid w:val="00AD32AC"/>
    <w:rsid w:val="00AD34AB"/>
    <w:rsid w:val="00AD34D9"/>
    <w:rsid w:val="00AD356E"/>
    <w:rsid w:val="00AD3672"/>
    <w:rsid w:val="00AD3803"/>
    <w:rsid w:val="00AD3983"/>
    <w:rsid w:val="00AD3A0D"/>
    <w:rsid w:val="00AD3BCA"/>
    <w:rsid w:val="00AD3C85"/>
    <w:rsid w:val="00AD3DB1"/>
    <w:rsid w:val="00AD3F88"/>
    <w:rsid w:val="00AD4012"/>
    <w:rsid w:val="00AD422F"/>
    <w:rsid w:val="00AD42DD"/>
    <w:rsid w:val="00AD4581"/>
    <w:rsid w:val="00AD4591"/>
    <w:rsid w:val="00AD45EB"/>
    <w:rsid w:val="00AD46CF"/>
    <w:rsid w:val="00AD47B6"/>
    <w:rsid w:val="00AD47F3"/>
    <w:rsid w:val="00AD4803"/>
    <w:rsid w:val="00AD498B"/>
    <w:rsid w:val="00AD4A63"/>
    <w:rsid w:val="00AD4B09"/>
    <w:rsid w:val="00AD4B0F"/>
    <w:rsid w:val="00AD4B53"/>
    <w:rsid w:val="00AD4B7C"/>
    <w:rsid w:val="00AD4DAB"/>
    <w:rsid w:val="00AD4E1E"/>
    <w:rsid w:val="00AD4ED6"/>
    <w:rsid w:val="00AD4FB2"/>
    <w:rsid w:val="00AD508F"/>
    <w:rsid w:val="00AD5136"/>
    <w:rsid w:val="00AD55BD"/>
    <w:rsid w:val="00AD57DC"/>
    <w:rsid w:val="00AD5803"/>
    <w:rsid w:val="00AD581A"/>
    <w:rsid w:val="00AD5A11"/>
    <w:rsid w:val="00AD5A99"/>
    <w:rsid w:val="00AD5B5D"/>
    <w:rsid w:val="00AD5BCA"/>
    <w:rsid w:val="00AD5D18"/>
    <w:rsid w:val="00AD5DD0"/>
    <w:rsid w:val="00AD5F5B"/>
    <w:rsid w:val="00AD5F6C"/>
    <w:rsid w:val="00AD60C6"/>
    <w:rsid w:val="00AD61C1"/>
    <w:rsid w:val="00AD65D0"/>
    <w:rsid w:val="00AD65EE"/>
    <w:rsid w:val="00AD65FE"/>
    <w:rsid w:val="00AD6604"/>
    <w:rsid w:val="00AD66C7"/>
    <w:rsid w:val="00AD66E2"/>
    <w:rsid w:val="00AD6C0B"/>
    <w:rsid w:val="00AD6D52"/>
    <w:rsid w:val="00AD6E26"/>
    <w:rsid w:val="00AD6E55"/>
    <w:rsid w:val="00AD6FC4"/>
    <w:rsid w:val="00AD700E"/>
    <w:rsid w:val="00AD71FE"/>
    <w:rsid w:val="00AD72AB"/>
    <w:rsid w:val="00AD7326"/>
    <w:rsid w:val="00AD73AD"/>
    <w:rsid w:val="00AD7779"/>
    <w:rsid w:val="00AD77C7"/>
    <w:rsid w:val="00AD77EB"/>
    <w:rsid w:val="00AD77FB"/>
    <w:rsid w:val="00AD788E"/>
    <w:rsid w:val="00AD78D3"/>
    <w:rsid w:val="00AD7B8F"/>
    <w:rsid w:val="00AD7BB5"/>
    <w:rsid w:val="00AD7C1B"/>
    <w:rsid w:val="00AD7D48"/>
    <w:rsid w:val="00AD7D66"/>
    <w:rsid w:val="00AD7D69"/>
    <w:rsid w:val="00AD7F8A"/>
    <w:rsid w:val="00AE0000"/>
    <w:rsid w:val="00AE0046"/>
    <w:rsid w:val="00AE03DE"/>
    <w:rsid w:val="00AE04CD"/>
    <w:rsid w:val="00AE0584"/>
    <w:rsid w:val="00AE0898"/>
    <w:rsid w:val="00AE08A8"/>
    <w:rsid w:val="00AE0A02"/>
    <w:rsid w:val="00AE0ACC"/>
    <w:rsid w:val="00AE0B1A"/>
    <w:rsid w:val="00AE0BC5"/>
    <w:rsid w:val="00AE0E06"/>
    <w:rsid w:val="00AE0EFE"/>
    <w:rsid w:val="00AE0F27"/>
    <w:rsid w:val="00AE0F49"/>
    <w:rsid w:val="00AE1567"/>
    <w:rsid w:val="00AE174F"/>
    <w:rsid w:val="00AE18FF"/>
    <w:rsid w:val="00AE1A84"/>
    <w:rsid w:val="00AE1AFA"/>
    <w:rsid w:val="00AE1C3F"/>
    <w:rsid w:val="00AE1C64"/>
    <w:rsid w:val="00AE1C66"/>
    <w:rsid w:val="00AE1CEA"/>
    <w:rsid w:val="00AE1D1C"/>
    <w:rsid w:val="00AE1D38"/>
    <w:rsid w:val="00AE1F00"/>
    <w:rsid w:val="00AE1F25"/>
    <w:rsid w:val="00AE222A"/>
    <w:rsid w:val="00AE227D"/>
    <w:rsid w:val="00AE22C5"/>
    <w:rsid w:val="00AE2321"/>
    <w:rsid w:val="00AE2505"/>
    <w:rsid w:val="00AE2506"/>
    <w:rsid w:val="00AE2667"/>
    <w:rsid w:val="00AE27E8"/>
    <w:rsid w:val="00AE2A11"/>
    <w:rsid w:val="00AE2A1D"/>
    <w:rsid w:val="00AE2A70"/>
    <w:rsid w:val="00AE2A86"/>
    <w:rsid w:val="00AE2B5C"/>
    <w:rsid w:val="00AE2D51"/>
    <w:rsid w:val="00AE2D96"/>
    <w:rsid w:val="00AE2DFC"/>
    <w:rsid w:val="00AE2E2E"/>
    <w:rsid w:val="00AE2F5A"/>
    <w:rsid w:val="00AE30B4"/>
    <w:rsid w:val="00AE31E8"/>
    <w:rsid w:val="00AE33CC"/>
    <w:rsid w:val="00AE359B"/>
    <w:rsid w:val="00AE35C9"/>
    <w:rsid w:val="00AE36AC"/>
    <w:rsid w:val="00AE3724"/>
    <w:rsid w:val="00AE3738"/>
    <w:rsid w:val="00AE380A"/>
    <w:rsid w:val="00AE3967"/>
    <w:rsid w:val="00AE3A44"/>
    <w:rsid w:val="00AE3BDB"/>
    <w:rsid w:val="00AE3CB3"/>
    <w:rsid w:val="00AE3CD4"/>
    <w:rsid w:val="00AE3D55"/>
    <w:rsid w:val="00AE3D62"/>
    <w:rsid w:val="00AE3DD5"/>
    <w:rsid w:val="00AE3DD8"/>
    <w:rsid w:val="00AE3DFF"/>
    <w:rsid w:val="00AE405F"/>
    <w:rsid w:val="00AE41B7"/>
    <w:rsid w:val="00AE4286"/>
    <w:rsid w:val="00AE4474"/>
    <w:rsid w:val="00AE4560"/>
    <w:rsid w:val="00AE4649"/>
    <w:rsid w:val="00AE4766"/>
    <w:rsid w:val="00AE4788"/>
    <w:rsid w:val="00AE4965"/>
    <w:rsid w:val="00AE4A12"/>
    <w:rsid w:val="00AE4A1C"/>
    <w:rsid w:val="00AE4F95"/>
    <w:rsid w:val="00AE507F"/>
    <w:rsid w:val="00AE5259"/>
    <w:rsid w:val="00AE53A9"/>
    <w:rsid w:val="00AE5446"/>
    <w:rsid w:val="00AE548F"/>
    <w:rsid w:val="00AE5504"/>
    <w:rsid w:val="00AE5638"/>
    <w:rsid w:val="00AE5718"/>
    <w:rsid w:val="00AE57F2"/>
    <w:rsid w:val="00AE5825"/>
    <w:rsid w:val="00AE5856"/>
    <w:rsid w:val="00AE594E"/>
    <w:rsid w:val="00AE5A63"/>
    <w:rsid w:val="00AE5AE3"/>
    <w:rsid w:val="00AE5D4A"/>
    <w:rsid w:val="00AE5DE9"/>
    <w:rsid w:val="00AE5E45"/>
    <w:rsid w:val="00AE5F44"/>
    <w:rsid w:val="00AE6333"/>
    <w:rsid w:val="00AE66A5"/>
    <w:rsid w:val="00AE6A8A"/>
    <w:rsid w:val="00AE6BAC"/>
    <w:rsid w:val="00AE6E2D"/>
    <w:rsid w:val="00AE6E4D"/>
    <w:rsid w:val="00AE73E4"/>
    <w:rsid w:val="00AE7440"/>
    <w:rsid w:val="00AE77D9"/>
    <w:rsid w:val="00AE78E5"/>
    <w:rsid w:val="00AE79FA"/>
    <w:rsid w:val="00AE7AC9"/>
    <w:rsid w:val="00AE7BF4"/>
    <w:rsid w:val="00AE7C2A"/>
    <w:rsid w:val="00AE7CC6"/>
    <w:rsid w:val="00AE7D9C"/>
    <w:rsid w:val="00AE7E1A"/>
    <w:rsid w:val="00AE7F17"/>
    <w:rsid w:val="00AF0058"/>
    <w:rsid w:val="00AF01D4"/>
    <w:rsid w:val="00AF020B"/>
    <w:rsid w:val="00AF02BC"/>
    <w:rsid w:val="00AF0371"/>
    <w:rsid w:val="00AF05C4"/>
    <w:rsid w:val="00AF079E"/>
    <w:rsid w:val="00AF0B44"/>
    <w:rsid w:val="00AF0C14"/>
    <w:rsid w:val="00AF12B3"/>
    <w:rsid w:val="00AF130E"/>
    <w:rsid w:val="00AF1444"/>
    <w:rsid w:val="00AF1509"/>
    <w:rsid w:val="00AF1716"/>
    <w:rsid w:val="00AF181F"/>
    <w:rsid w:val="00AF19CA"/>
    <w:rsid w:val="00AF1B54"/>
    <w:rsid w:val="00AF1B83"/>
    <w:rsid w:val="00AF1C58"/>
    <w:rsid w:val="00AF1D61"/>
    <w:rsid w:val="00AF1EBE"/>
    <w:rsid w:val="00AF1F0C"/>
    <w:rsid w:val="00AF2070"/>
    <w:rsid w:val="00AF2199"/>
    <w:rsid w:val="00AF220C"/>
    <w:rsid w:val="00AF2399"/>
    <w:rsid w:val="00AF2487"/>
    <w:rsid w:val="00AF24BD"/>
    <w:rsid w:val="00AF285B"/>
    <w:rsid w:val="00AF2942"/>
    <w:rsid w:val="00AF2949"/>
    <w:rsid w:val="00AF2A64"/>
    <w:rsid w:val="00AF2AA7"/>
    <w:rsid w:val="00AF2CDA"/>
    <w:rsid w:val="00AF2D5B"/>
    <w:rsid w:val="00AF3593"/>
    <w:rsid w:val="00AF36FF"/>
    <w:rsid w:val="00AF3719"/>
    <w:rsid w:val="00AF3778"/>
    <w:rsid w:val="00AF3831"/>
    <w:rsid w:val="00AF38E8"/>
    <w:rsid w:val="00AF38FA"/>
    <w:rsid w:val="00AF3905"/>
    <w:rsid w:val="00AF39B1"/>
    <w:rsid w:val="00AF3A99"/>
    <w:rsid w:val="00AF3D24"/>
    <w:rsid w:val="00AF3ED2"/>
    <w:rsid w:val="00AF3F35"/>
    <w:rsid w:val="00AF40DB"/>
    <w:rsid w:val="00AF42F0"/>
    <w:rsid w:val="00AF4524"/>
    <w:rsid w:val="00AF45AF"/>
    <w:rsid w:val="00AF45ED"/>
    <w:rsid w:val="00AF45F7"/>
    <w:rsid w:val="00AF4627"/>
    <w:rsid w:val="00AF46C3"/>
    <w:rsid w:val="00AF4730"/>
    <w:rsid w:val="00AF4A85"/>
    <w:rsid w:val="00AF4C9F"/>
    <w:rsid w:val="00AF4D08"/>
    <w:rsid w:val="00AF4E4E"/>
    <w:rsid w:val="00AF4EE1"/>
    <w:rsid w:val="00AF5369"/>
    <w:rsid w:val="00AF541C"/>
    <w:rsid w:val="00AF567E"/>
    <w:rsid w:val="00AF5A16"/>
    <w:rsid w:val="00AF5ADC"/>
    <w:rsid w:val="00AF5D7F"/>
    <w:rsid w:val="00AF5ED1"/>
    <w:rsid w:val="00AF5EF6"/>
    <w:rsid w:val="00AF618E"/>
    <w:rsid w:val="00AF63E8"/>
    <w:rsid w:val="00AF703F"/>
    <w:rsid w:val="00AF717F"/>
    <w:rsid w:val="00AF71C5"/>
    <w:rsid w:val="00AF7209"/>
    <w:rsid w:val="00AF733D"/>
    <w:rsid w:val="00AF74DE"/>
    <w:rsid w:val="00AF758B"/>
    <w:rsid w:val="00AF7615"/>
    <w:rsid w:val="00AF76D8"/>
    <w:rsid w:val="00AF7716"/>
    <w:rsid w:val="00AF7758"/>
    <w:rsid w:val="00AF7929"/>
    <w:rsid w:val="00AF7A82"/>
    <w:rsid w:val="00AF7A86"/>
    <w:rsid w:val="00AF7AB5"/>
    <w:rsid w:val="00AF7C86"/>
    <w:rsid w:val="00AF7D63"/>
    <w:rsid w:val="00B00031"/>
    <w:rsid w:val="00B00055"/>
    <w:rsid w:val="00B00732"/>
    <w:rsid w:val="00B00955"/>
    <w:rsid w:val="00B00A4F"/>
    <w:rsid w:val="00B00A80"/>
    <w:rsid w:val="00B00B5F"/>
    <w:rsid w:val="00B00B9E"/>
    <w:rsid w:val="00B00CF3"/>
    <w:rsid w:val="00B00D42"/>
    <w:rsid w:val="00B00EBE"/>
    <w:rsid w:val="00B00F6C"/>
    <w:rsid w:val="00B012D1"/>
    <w:rsid w:val="00B0132A"/>
    <w:rsid w:val="00B01372"/>
    <w:rsid w:val="00B01537"/>
    <w:rsid w:val="00B01649"/>
    <w:rsid w:val="00B016B2"/>
    <w:rsid w:val="00B016DE"/>
    <w:rsid w:val="00B01744"/>
    <w:rsid w:val="00B01773"/>
    <w:rsid w:val="00B0178E"/>
    <w:rsid w:val="00B018F7"/>
    <w:rsid w:val="00B01998"/>
    <w:rsid w:val="00B01B5E"/>
    <w:rsid w:val="00B01B60"/>
    <w:rsid w:val="00B01D01"/>
    <w:rsid w:val="00B0217F"/>
    <w:rsid w:val="00B025C8"/>
    <w:rsid w:val="00B028A3"/>
    <w:rsid w:val="00B02A40"/>
    <w:rsid w:val="00B02B15"/>
    <w:rsid w:val="00B02DE3"/>
    <w:rsid w:val="00B02FBD"/>
    <w:rsid w:val="00B0306D"/>
    <w:rsid w:val="00B03289"/>
    <w:rsid w:val="00B03372"/>
    <w:rsid w:val="00B03590"/>
    <w:rsid w:val="00B035DB"/>
    <w:rsid w:val="00B03816"/>
    <w:rsid w:val="00B03889"/>
    <w:rsid w:val="00B03980"/>
    <w:rsid w:val="00B03C70"/>
    <w:rsid w:val="00B03CD4"/>
    <w:rsid w:val="00B03EA0"/>
    <w:rsid w:val="00B03F5D"/>
    <w:rsid w:val="00B0420B"/>
    <w:rsid w:val="00B04735"/>
    <w:rsid w:val="00B047BC"/>
    <w:rsid w:val="00B0487E"/>
    <w:rsid w:val="00B0499E"/>
    <w:rsid w:val="00B049BB"/>
    <w:rsid w:val="00B04B54"/>
    <w:rsid w:val="00B04BB0"/>
    <w:rsid w:val="00B04D1D"/>
    <w:rsid w:val="00B04EE1"/>
    <w:rsid w:val="00B0519E"/>
    <w:rsid w:val="00B0522C"/>
    <w:rsid w:val="00B05267"/>
    <w:rsid w:val="00B052F5"/>
    <w:rsid w:val="00B0545F"/>
    <w:rsid w:val="00B054B7"/>
    <w:rsid w:val="00B055F3"/>
    <w:rsid w:val="00B05666"/>
    <w:rsid w:val="00B05733"/>
    <w:rsid w:val="00B05776"/>
    <w:rsid w:val="00B05816"/>
    <w:rsid w:val="00B05899"/>
    <w:rsid w:val="00B05A2E"/>
    <w:rsid w:val="00B05BF2"/>
    <w:rsid w:val="00B05DCA"/>
    <w:rsid w:val="00B05FF1"/>
    <w:rsid w:val="00B0606F"/>
    <w:rsid w:val="00B062E7"/>
    <w:rsid w:val="00B0642E"/>
    <w:rsid w:val="00B0644F"/>
    <w:rsid w:val="00B064DB"/>
    <w:rsid w:val="00B065BC"/>
    <w:rsid w:val="00B065ED"/>
    <w:rsid w:val="00B066BB"/>
    <w:rsid w:val="00B06A92"/>
    <w:rsid w:val="00B06BBB"/>
    <w:rsid w:val="00B06C5F"/>
    <w:rsid w:val="00B06FB4"/>
    <w:rsid w:val="00B07024"/>
    <w:rsid w:val="00B070C8"/>
    <w:rsid w:val="00B072C8"/>
    <w:rsid w:val="00B073F8"/>
    <w:rsid w:val="00B0757F"/>
    <w:rsid w:val="00B075F0"/>
    <w:rsid w:val="00B076DA"/>
    <w:rsid w:val="00B077E2"/>
    <w:rsid w:val="00B0784B"/>
    <w:rsid w:val="00B0788F"/>
    <w:rsid w:val="00B0793D"/>
    <w:rsid w:val="00B0794E"/>
    <w:rsid w:val="00B07999"/>
    <w:rsid w:val="00B079CB"/>
    <w:rsid w:val="00B07AB4"/>
    <w:rsid w:val="00B07B33"/>
    <w:rsid w:val="00B07D60"/>
    <w:rsid w:val="00B07E20"/>
    <w:rsid w:val="00B07EB6"/>
    <w:rsid w:val="00B10470"/>
    <w:rsid w:val="00B10699"/>
    <w:rsid w:val="00B1078D"/>
    <w:rsid w:val="00B109AB"/>
    <w:rsid w:val="00B10A5B"/>
    <w:rsid w:val="00B10ACA"/>
    <w:rsid w:val="00B10B7D"/>
    <w:rsid w:val="00B10D10"/>
    <w:rsid w:val="00B11398"/>
    <w:rsid w:val="00B113C4"/>
    <w:rsid w:val="00B113D7"/>
    <w:rsid w:val="00B113E5"/>
    <w:rsid w:val="00B11582"/>
    <w:rsid w:val="00B11624"/>
    <w:rsid w:val="00B1165C"/>
    <w:rsid w:val="00B11AA8"/>
    <w:rsid w:val="00B11C23"/>
    <w:rsid w:val="00B11F94"/>
    <w:rsid w:val="00B11FD9"/>
    <w:rsid w:val="00B12035"/>
    <w:rsid w:val="00B1247B"/>
    <w:rsid w:val="00B1248E"/>
    <w:rsid w:val="00B125D0"/>
    <w:rsid w:val="00B12833"/>
    <w:rsid w:val="00B1287C"/>
    <w:rsid w:val="00B12A2A"/>
    <w:rsid w:val="00B12B10"/>
    <w:rsid w:val="00B12CAA"/>
    <w:rsid w:val="00B12CB3"/>
    <w:rsid w:val="00B12DC6"/>
    <w:rsid w:val="00B12DE7"/>
    <w:rsid w:val="00B12F6C"/>
    <w:rsid w:val="00B12F7B"/>
    <w:rsid w:val="00B13133"/>
    <w:rsid w:val="00B13137"/>
    <w:rsid w:val="00B1320C"/>
    <w:rsid w:val="00B1329B"/>
    <w:rsid w:val="00B13340"/>
    <w:rsid w:val="00B133C1"/>
    <w:rsid w:val="00B133C4"/>
    <w:rsid w:val="00B1345B"/>
    <w:rsid w:val="00B134F1"/>
    <w:rsid w:val="00B1353E"/>
    <w:rsid w:val="00B13AA3"/>
    <w:rsid w:val="00B13B99"/>
    <w:rsid w:val="00B13C98"/>
    <w:rsid w:val="00B13E4C"/>
    <w:rsid w:val="00B140D4"/>
    <w:rsid w:val="00B14317"/>
    <w:rsid w:val="00B1439E"/>
    <w:rsid w:val="00B1446F"/>
    <w:rsid w:val="00B146AF"/>
    <w:rsid w:val="00B146D1"/>
    <w:rsid w:val="00B14712"/>
    <w:rsid w:val="00B14763"/>
    <w:rsid w:val="00B14866"/>
    <w:rsid w:val="00B14A1C"/>
    <w:rsid w:val="00B14BA4"/>
    <w:rsid w:val="00B14BC4"/>
    <w:rsid w:val="00B14D99"/>
    <w:rsid w:val="00B14DBC"/>
    <w:rsid w:val="00B14DD5"/>
    <w:rsid w:val="00B14F7D"/>
    <w:rsid w:val="00B1517D"/>
    <w:rsid w:val="00B15283"/>
    <w:rsid w:val="00B152A2"/>
    <w:rsid w:val="00B156D1"/>
    <w:rsid w:val="00B159CD"/>
    <w:rsid w:val="00B15BD7"/>
    <w:rsid w:val="00B15F82"/>
    <w:rsid w:val="00B16445"/>
    <w:rsid w:val="00B16546"/>
    <w:rsid w:val="00B16737"/>
    <w:rsid w:val="00B16753"/>
    <w:rsid w:val="00B16755"/>
    <w:rsid w:val="00B16921"/>
    <w:rsid w:val="00B1697F"/>
    <w:rsid w:val="00B16B40"/>
    <w:rsid w:val="00B16CD2"/>
    <w:rsid w:val="00B16D3A"/>
    <w:rsid w:val="00B16DEC"/>
    <w:rsid w:val="00B1707A"/>
    <w:rsid w:val="00B171EA"/>
    <w:rsid w:val="00B1734F"/>
    <w:rsid w:val="00B17491"/>
    <w:rsid w:val="00B175FF"/>
    <w:rsid w:val="00B17611"/>
    <w:rsid w:val="00B17649"/>
    <w:rsid w:val="00B1769A"/>
    <w:rsid w:val="00B1772D"/>
    <w:rsid w:val="00B1775A"/>
    <w:rsid w:val="00B177BD"/>
    <w:rsid w:val="00B177F0"/>
    <w:rsid w:val="00B178C8"/>
    <w:rsid w:val="00B17CE8"/>
    <w:rsid w:val="00B17D4D"/>
    <w:rsid w:val="00B204AB"/>
    <w:rsid w:val="00B2068B"/>
    <w:rsid w:val="00B206BF"/>
    <w:rsid w:val="00B20991"/>
    <w:rsid w:val="00B20B1A"/>
    <w:rsid w:val="00B20B5E"/>
    <w:rsid w:val="00B20BD3"/>
    <w:rsid w:val="00B20C17"/>
    <w:rsid w:val="00B20C27"/>
    <w:rsid w:val="00B20C8C"/>
    <w:rsid w:val="00B20CAC"/>
    <w:rsid w:val="00B20CEA"/>
    <w:rsid w:val="00B20D51"/>
    <w:rsid w:val="00B20DED"/>
    <w:rsid w:val="00B20E21"/>
    <w:rsid w:val="00B210FE"/>
    <w:rsid w:val="00B211DB"/>
    <w:rsid w:val="00B2123A"/>
    <w:rsid w:val="00B2139C"/>
    <w:rsid w:val="00B21517"/>
    <w:rsid w:val="00B21526"/>
    <w:rsid w:val="00B21676"/>
    <w:rsid w:val="00B216D8"/>
    <w:rsid w:val="00B21801"/>
    <w:rsid w:val="00B21824"/>
    <w:rsid w:val="00B218B3"/>
    <w:rsid w:val="00B21997"/>
    <w:rsid w:val="00B219DC"/>
    <w:rsid w:val="00B21B0E"/>
    <w:rsid w:val="00B21C46"/>
    <w:rsid w:val="00B21C7A"/>
    <w:rsid w:val="00B21EB9"/>
    <w:rsid w:val="00B21F51"/>
    <w:rsid w:val="00B21FC8"/>
    <w:rsid w:val="00B2203C"/>
    <w:rsid w:val="00B2232C"/>
    <w:rsid w:val="00B22687"/>
    <w:rsid w:val="00B2280F"/>
    <w:rsid w:val="00B228CA"/>
    <w:rsid w:val="00B22906"/>
    <w:rsid w:val="00B2292C"/>
    <w:rsid w:val="00B22ACE"/>
    <w:rsid w:val="00B22F7D"/>
    <w:rsid w:val="00B23028"/>
    <w:rsid w:val="00B23390"/>
    <w:rsid w:val="00B233A1"/>
    <w:rsid w:val="00B2375B"/>
    <w:rsid w:val="00B237AB"/>
    <w:rsid w:val="00B237D5"/>
    <w:rsid w:val="00B2386B"/>
    <w:rsid w:val="00B23B84"/>
    <w:rsid w:val="00B23D04"/>
    <w:rsid w:val="00B23D1E"/>
    <w:rsid w:val="00B23E86"/>
    <w:rsid w:val="00B240CC"/>
    <w:rsid w:val="00B2416C"/>
    <w:rsid w:val="00B2434D"/>
    <w:rsid w:val="00B246EC"/>
    <w:rsid w:val="00B24779"/>
    <w:rsid w:val="00B24BFF"/>
    <w:rsid w:val="00B24C0F"/>
    <w:rsid w:val="00B24D9D"/>
    <w:rsid w:val="00B24E3B"/>
    <w:rsid w:val="00B24E8A"/>
    <w:rsid w:val="00B24F45"/>
    <w:rsid w:val="00B25064"/>
    <w:rsid w:val="00B2518D"/>
    <w:rsid w:val="00B25232"/>
    <w:rsid w:val="00B253BF"/>
    <w:rsid w:val="00B254A4"/>
    <w:rsid w:val="00B2555E"/>
    <w:rsid w:val="00B2556D"/>
    <w:rsid w:val="00B25793"/>
    <w:rsid w:val="00B259AA"/>
    <w:rsid w:val="00B25A73"/>
    <w:rsid w:val="00B25B04"/>
    <w:rsid w:val="00B25BBE"/>
    <w:rsid w:val="00B25BDA"/>
    <w:rsid w:val="00B25CF4"/>
    <w:rsid w:val="00B25D07"/>
    <w:rsid w:val="00B25E0B"/>
    <w:rsid w:val="00B25F71"/>
    <w:rsid w:val="00B260A6"/>
    <w:rsid w:val="00B26317"/>
    <w:rsid w:val="00B26393"/>
    <w:rsid w:val="00B263BE"/>
    <w:rsid w:val="00B263EC"/>
    <w:rsid w:val="00B264D6"/>
    <w:rsid w:val="00B264EB"/>
    <w:rsid w:val="00B26779"/>
    <w:rsid w:val="00B26910"/>
    <w:rsid w:val="00B26995"/>
    <w:rsid w:val="00B26AEB"/>
    <w:rsid w:val="00B26CFA"/>
    <w:rsid w:val="00B26DB3"/>
    <w:rsid w:val="00B26DED"/>
    <w:rsid w:val="00B26E27"/>
    <w:rsid w:val="00B27000"/>
    <w:rsid w:val="00B270A0"/>
    <w:rsid w:val="00B270C4"/>
    <w:rsid w:val="00B27302"/>
    <w:rsid w:val="00B27324"/>
    <w:rsid w:val="00B275CE"/>
    <w:rsid w:val="00B27685"/>
    <w:rsid w:val="00B277F2"/>
    <w:rsid w:val="00B27BDB"/>
    <w:rsid w:val="00B27C40"/>
    <w:rsid w:val="00B27DC9"/>
    <w:rsid w:val="00B3017B"/>
    <w:rsid w:val="00B30368"/>
    <w:rsid w:val="00B303BC"/>
    <w:rsid w:val="00B303C8"/>
    <w:rsid w:val="00B30814"/>
    <w:rsid w:val="00B30A02"/>
    <w:rsid w:val="00B30BDE"/>
    <w:rsid w:val="00B30C68"/>
    <w:rsid w:val="00B30CBE"/>
    <w:rsid w:val="00B30D15"/>
    <w:rsid w:val="00B30D56"/>
    <w:rsid w:val="00B30EE2"/>
    <w:rsid w:val="00B30F60"/>
    <w:rsid w:val="00B30FAF"/>
    <w:rsid w:val="00B31004"/>
    <w:rsid w:val="00B31146"/>
    <w:rsid w:val="00B31388"/>
    <w:rsid w:val="00B315B2"/>
    <w:rsid w:val="00B31656"/>
    <w:rsid w:val="00B31692"/>
    <w:rsid w:val="00B316BB"/>
    <w:rsid w:val="00B316FC"/>
    <w:rsid w:val="00B31820"/>
    <w:rsid w:val="00B31910"/>
    <w:rsid w:val="00B31B50"/>
    <w:rsid w:val="00B31DF1"/>
    <w:rsid w:val="00B31F87"/>
    <w:rsid w:val="00B322F7"/>
    <w:rsid w:val="00B32402"/>
    <w:rsid w:val="00B325E6"/>
    <w:rsid w:val="00B3267C"/>
    <w:rsid w:val="00B3273C"/>
    <w:rsid w:val="00B3273E"/>
    <w:rsid w:val="00B328F1"/>
    <w:rsid w:val="00B32A5B"/>
    <w:rsid w:val="00B32F3B"/>
    <w:rsid w:val="00B330B4"/>
    <w:rsid w:val="00B33152"/>
    <w:rsid w:val="00B33153"/>
    <w:rsid w:val="00B332E1"/>
    <w:rsid w:val="00B3343B"/>
    <w:rsid w:val="00B33538"/>
    <w:rsid w:val="00B3385F"/>
    <w:rsid w:val="00B33A17"/>
    <w:rsid w:val="00B33B54"/>
    <w:rsid w:val="00B33B74"/>
    <w:rsid w:val="00B33B88"/>
    <w:rsid w:val="00B33BCC"/>
    <w:rsid w:val="00B33C81"/>
    <w:rsid w:val="00B340D2"/>
    <w:rsid w:val="00B34176"/>
    <w:rsid w:val="00B343F8"/>
    <w:rsid w:val="00B34A9E"/>
    <w:rsid w:val="00B34AD0"/>
    <w:rsid w:val="00B34C8B"/>
    <w:rsid w:val="00B34E73"/>
    <w:rsid w:val="00B354F2"/>
    <w:rsid w:val="00B3588F"/>
    <w:rsid w:val="00B35947"/>
    <w:rsid w:val="00B35982"/>
    <w:rsid w:val="00B35A9C"/>
    <w:rsid w:val="00B35B24"/>
    <w:rsid w:val="00B35BBC"/>
    <w:rsid w:val="00B35BE5"/>
    <w:rsid w:val="00B35C27"/>
    <w:rsid w:val="00B35C30"/>
    <w:rsid w:val="00B35C34"/>
    <w:rsid w:val="00B35CAE"/>
    <w:rsid w:val="00B35CF7"/>
    <w:rsid w:val="00B35F87"/>
    <w:rsid w:val="00B36121"/>
    <w:rsid w:val="00B36169"/>
    <w:rsid w:val="00B3621A"/>
    <w:rsid w:val="00B36267"/>
    <w:rsid w:val="00B362B5"/>
    <w:rsid w:val="00B36320"/>
    <w:rsid w:val="00B363FA"/>
    <w:rsid w:val="00B36400"/>
    <w:rsid w:val="00B3649C"/>
    <w:rsid w:val="00B3658E"/>
    <w:rsid w:val="00B36618"/>
    <w:rsid w:val="00B367D6"/>
    <w:rsid w:val="00B3688A"/>
    <w:rsid w:val="00B369AB"/>
    <w:rsid w:val="00B36A3F"/>
    <w:rsid w:val="00B36A89"/>
    <w:rsid w:val="00B36AF8"/>
    <w:rsid w:val="00B36F53"/>
    <w:rsid w:val="00B37094"/>
    <w:rsid w:val="00B370C4"/>
    <w:rsid w:val="00B372DE"/>
    <w:rsid w:val="00B37402"/>
    <w:rsid w:val="00B375F9"/>
    <w:rsid w:val="00B37617"/>
    <w:rsid w:val="00B37643"/>
    <w:rsid w:val="00B377CF"/>
    <w:rsid w:val="00B3781E"/>
    <w:rsid w:val="00B37AE1"/>
    <w:rsid w:val="00B37B3D"/>
    <w:rsid w:val="00B37C39"/>
    <w:rsid w:val="00B37DDB"/>
    <w:rsid w:val="00B37E42"/>
    <w:rsid w:val="00B37E6F"/>
    <w:rsid w:val="00B37EF5"/>
    <w:rsid w:val="00B4001E"/>
    <w:rsid w:val="00B400B9"/>
    <w:rsid w:val="00B40195"/>
    <w:rsid w:val="00B402DD"/>
    <w:rsid w:val="00B40388"/>
    <w:rsid w:val="00B4053A"/>
    <w:rsid w:val="00B4076D"/>
    <w:rsid w:val="00B40815"/>
    <w:rsid w:val="00B40C5C"/>
    <w:rsid w:val="00B40D8C"/>
    <w:rsid w:val="00B411EB"/>
    <w:rsid w:val="00B41302"/>
    <w:rsid w:val="00B41331"/>
    <w:rsid w:val="00B41403"/>
    <w:rsid w:val="00B414F4"/>
    <w:rsid w:val="00B4180B"/>
    <w:rsid w:val="00B41918"/>
    <w:rsid w:val="00B419CD"/>
    <w:rsid w:val="00B41B08"/>
    <w:rsid w:val="00B41B7E"/>
    <w:rsid w:val="00B41CFC"/>
    <w:rsid w:val="00B41D12"/>
    <w:rsid w:val="00B41FD5"/>
    <w:rsid w:val="00B4208E"/>
    <w:rsid w:val="00B4219D"/>
    <w:rsid w:val="00B424C1"/>
    <w:rsid w:val="00B425A0"/>
    <w:rsid w:val="00B425FC"/>
    <w:rsid w:val="00B42977"/>
    <w:rsid w:val="00B429AE"/>
    <w:rsid w:val="00B42B4B"/>
    <w:rsid w:val="00B42C7F"/>
    <w:rsid w:val="00B42CD5"/>
    <w:rsid w:val="00B42DAE"/>
    <w:rsid w:val="00B42DF7"/>
    <w:rsid w:val="00B42F66"/>
    <w:rsid w:val="00B42F8F"/>
    <w:rsid w:val="00B430FE"/>
    <w:rsid w:val="00B43109"/>
    <w:rsid w:val="00B43404"/>
    <w:rsid w:val="00B43477"/>
    <w:rsid w:val="00B435A1"/>
    <w:rsid w:val="00B435BD"/>
    <w:rsid w:val="00B43602"/>
    <w:rsid w:val="00B43622"/>
    <w:rsid w:val="00B43690"/>
    <w:rsid w:val="00B436E7"/>
    <w:rsid w:val="00B4381C"/>
    <w:rsid w:val="00B43908"/>
    <w:rsid w:val="00B439F4"/>
    <w:rsid w:val="00B43A5B"/>
    <w:rsid w:val="00B43A86"/>
    <w:rsid w:val="00B43BEE"/>
    <w:rsid w:val="00B43C96"/>
    <w:rsid w:val="00B43DCA"/>
    <w:rsid w:val="00B43E26"/>
    <w:rsid w:val="00B44108"/>
    <w:rsid w:val="00B4411D"/>
    <w:rsid w:val="00B44198"/>
    <w:rsid w:val="00B44355"/>
    <w:rsid w:val="00B443F2"/>
    <w:rsid w:val="00B44404"/>
    <w:rsid w:val="00B4441C"/>
    <w:rsid w:val="00B44525"/>
    <w:rsid w:val="00B44562"/>
    <w:rsid w:val="00B44BDF"/>
    <w:rsid w:val="00B44D16"/>
    <w:rsid w:val="00B454EF"/>
    <w:rsid w:val="00B455E4"/>
    <w:rsid w:val="00B45692"/>
    <w:rsid w:val="00B4573F"/>
    <w:rsid w:val="00B4587A"/>
    <w:rsid w:val="00B45960"/>
    <w:rsid w:val="00B45A87"/>
    <w:rsid w:val="00B45A91"/>
    <w:rsid w:val="00B45CD2"/>
    <w:rsid w:val="00B45DCD"/>
    <w:rsid w:val="00B45DDC"/>
    <w:rsid w:val="00B462B1"/>
    <w:rsid w:val="00B462F1"/>
    <w:rsid w:val="00B465B1"/>
    <w:rsid w:val="00B465FA"/>
    <w:rsid w:val="00B46806"/>
    <w:rsid w:val="00B46871"/>
    <w:rsid w:val="00B469AB"/>
    <w:rsid w:val="00B46A4A"/>
    <w:rsid w:val="00B46AE6"/>
    <w:rsid w:val="00B46B0C"/>
    <w:rsid w:val="00B46C51"/>
    <w:rsid w:val="00B46D20"/>
    <w:rsid w:val="00B46D21"/>
    <w:rsid w:val="00B46F9B"/>
    <w:rsid w:val="00B47061"/>
    <w:rsid w:val="00B471A2"/>
    <w:rsid w:val="00B47323"/>
    <w:rsid w:val="00B47329"/>
    <w:rsid w:val="00B4733F"/>
    <w:rsid w:val="00B47437"/>
    <w:rsid w:val="00B47774"/>
    <w:rsid w:val="00B47A3B"/>
    <w:rsid w:val="00B47B94"/>
    <w:rsid w:val="00B47B9E"/>
    <w:rsid w:val="00B47BA7"/>
    <w:rsid w:val="00B47BB9"/>
    <w:rsid w:val="00B47BE5"/>
    <w:rsid w:val="00B47D62"/>
    <w:rsid w:val="00B47DBB"/>
    <w:rsid w:val="00B5025E"/>
    <w:rsid w:val="00B5037F"/>
    <w:rsid w:val="00B503A4"/>
    <w:rsid w:val="00B503F8"/>
    <w:rsid w:val="00B503F9"/>
    <w:rsid w:val="00B504CE"/>
    <w:rsid w:val="00B5063D"/>
    <w:rsid w:val="00B50680"/>
    <w:rsid w:val="00B50C9C"/>
    <w:rsid w:val="00B50F3D"/>
    <w:rsid w:val="00B50FF4"/>
    <w:rsid w:val="00B51135"/>
    <w:rsid w:val="00B512B5"/>
    <w:rsid w:val="00B5155B"/>
    <w:rsid w:val="00B5156B"/>
    <w:rsid w:val="00B515FD"/>
    <w:rsid w:val="00B5163A"/>
    <w:rsid w:val="00B5166F"/>
    <w:rsid w:val="00B517EB"/>
    <w:rsid w:val="00B518F0"/>
    <w:rsid w:val="00B51ACE"/>
    <w:rsid w:val="00B51ADF"/>
    <w:rsid w:val="00B51C62"/>
    <w:rsid w:val="00B51D8A"/>
    <w:rsid w:val="00B51E5A"/>
    <w:rsid w:val="00B51FE9"/>
    <w:rsid w:val="00B520DD"/>
    <w:rsid w:val="00B5211B"/>
    <w:rsid w:val="00B52163"/>
    <w:rsid w:val="00B521F8"/>
    <w:rsid w:val="00B52390"/>
    <w:rsid w:val="00B52392"/>
    <w:rsid w:val="00B52420"/>
    <w:rsid w:val="00B524A1"/>
    <w:rsid w:val="00B5251E"/>
    <w:rsid w:val="00B5254B"/>
    <w:rsid w:val="00B52594"/>
    <w:rsid w:val="00B525BD"/>
    <w:rsid w:val="00B5266D"/>
    <w:rsid w:val="00B52714"/>
    <w:rsid w:val="00B52BB1"/>
    <w:rsid w:val="00B52C2F"/>
    <w:rsid w:val="00B5306E"/>
    <w:rsid w:val="00B530CE"/>
    <w:rsid w:val="00B530E1"/>
    <w:rsid w:val="00B53342"/>
    <w:rsid w:val="00B533FA"/>
    <w:rsid w:val="00B53629"/>
    <w:rsid w:val="00B53850"/>
    <w:rsid w:val="00B53858"/>
    <w:rsid w:val="00B5386D"/>
    <w:rsid w:val="00B538A1"/>
    <w:rsid w:val="00B538ED"/>
    <w:rsid w:val="00B539A3"/>
    <w:rsid w:val="00B53E9D"/>
    <w:rsid w:val="00B5420C"/>
    <w:rsid w:val="00B54319"/>
    <w:rsid w:val="00B54339"/>
    <w:rsid w:val="00B5456E"/>
    <w:rsid w:val="00B54657"/>
    <w:rsid w:val="00B54668"/>
    <w:rsid w:val="00B54682"/>
    <w:rsid w:val="00B54B12"/>
    <w:rsid w:val="00B54B75"/>
    <w:rsid w:val="00B54BC6"/>
    <w:rsid w:val="00B54C28"/>
    <w:rsid w:val="00B54F3A"/>
    <w:rsid w:val="00B55312"/>
    <w:rsid w:val="00B553D1"/>
    <w:rsid w:val="00B55457"/>
    <w:rsid w:val="00B55588"/>
    <w:rsid w:val="00B5558D"/>
    <w:rsid w:val="00B55715"/>
    <w:rsid w:val="00B557CE"/>
    <w:rsid w:val="00B55837"/>
    <w:rsid w:val="00B55890"/>
    <w:rsid w:val="00B5593D"/>
    <w:rsid w:val="00B55A3C"/>
    <w:rsid w:val="00B55C47"/>
    <w:rsid w:val="00B56138"/>
    <w:rsid w:val="00B56190"/>
    <w:rsid w:val="00B561F6"/>
    <w:rsid w:val="00B56213"/>
    <w:rsid w:val="00B56275"/>
    <w:rsid w:val="00B563DC"/>
    <w:rsid w:val="00B565B0"/>
    <w:rsid w:val="00B56812"/>
    <w:rsid w:val="00B5691A"/>
    <w:rsid w:val="00B56A28"/>
    <w:rsid w:val="00B56BD2"/>
    <w:rsid w:val="00B56CF0"/>
    <w:rsid w:val="00B56DFA"/>
    <w:rsid w:val="00B56E5D"/>
    <w:rsid w:val="00B57004"/>
    <w:rsid w:val="00B5703D"/>
    <w:rsid w:val="00B572EA"/>
    <w:rsid w:val="00B57689"/>
    <w:rsid w:val="00B577C0"/>
    <w:rsid w:val="00B5781F"/>
    <w:rsid w:val="00B57913"/>
    <w:rsid w:val="00B57A09"/>
    <w:rsid w:val="00B600B6"/>
    <w:rsid w:val="00B6023E"/>
    <w:rsid w:val="00B6044E"/>
    <w:rsid w:val="00B6050A"/>
    <w:rsid w:val="00B60680"/>
    <w:rsid w:val="00B6070D"/>
    <w:rsid w:val="00B60808"/>
    <w:rsid w:val="00B608AC"/>
    <w:rsid w:val="00B60C62"/>
    <w:rsid w:val="00B60CA4"/>
    <w:rsid w:val="00B60D52"/>
    <w:rsid w:val="00B60E49"/>
    <w:rsid w:val="00B60EAC"/>
    <w:rsid w:val="00B61029"/>
    <w:rsid w:val="00B61044"/>
    <w:rsid w:val="00B6117F"/>
    <w:rsid w:val="00B61536"/>
    <w:rsid w:val="00B61614"/>
    <w:rsid w:val="00B616C9"/>
    <w:rsid w:val="00B616CA"/>
    <w:rsid w:val="00B6183E"/>
    <w:rsid w:val="00B61840"/>
    <w:rsid w:val="00B619E2"/>
    <w:rsid w:val="00B619F9"/>
    <w:rsid w:val="00B61A4F"/>
    <w:rsid w:val="00B61CDA"/>
    <w:rsid w:val="00B61CEE"/>
    <w:rsid w:val="00B620F6"/>
    <w:rsid w:val="00B6230F"/>
    <w:rsid w:val="00B6233E"/>
    <w:rsid w:val="00B6244B"/>
    <w:rsid w:val="00B62518"/>
    <w:rsid w:val="00B627DE"/>
    <w:rsid w:val="00B62982"/>
    <w:rsid w:val="00B62CFF"/>
    <w:rsid w:val="00B62D58"/>
    <w:rsid w:val="00B62E02"/>
    <w:rsid w:val="00B62E96"/>
    <w:rsid w:val="00B62F68"/>
    <w:rsid w:val="00B630DF"/>
    <w:rsid w:val="00B6311D"/>
    <w:rsid w:val="00B6321D"/>
    <w:rsid w:val="00B63278"/>
    <w:rsid w:val="00B63656"/>
    <w:rsid w:val="00B637BB"/>
    <w:rsid w:val="00B63B45"/>
    <w:rsid w:val="00B63CD1"/>
    <w:rsid w:val="00B63CE4"/>
    <w:rsid w:val="00B63CED"/>
    <w:rsid w:val="00B63D15"/>
    <w:rsid w:val="00B63EF1"/>
    <w:rsid w:val="00B63F97"/>
    <w:rsid w:val="00B63F9F"/>
    <w:rsid w:val="00B64015"/>
    <w:rsid w:val="00B6424C"/>
    <w:rsid w:val="00B64384"/>
    <w:rsid w:val="00B64450"/>
    <w:rsid w:val="00B64508"/>
    <w:rsid w:val="00B64528"/>
    <w:rsid w:val="00B646AE"/>
    <w:rsid w:val="00B646C5"/>
    <w:rsid w:val="00B64710"/>
    <w:rsid w:val="00B64909"/>
    <w:rsid w:val="00B64CB5"/>
    <w:rsid w:val="00B64E86"/>
    <w:rsid w:val="00B64E90"/>
    <w:rsid w:val="00B6511C"/>
    <w:rsid w:val="00B652E4"/>
    <w:rsid w:val="00B65507"/>
    <w:rsid w:val="00B65720"/>
    <w:rsid w:val="00B6579A"/>
    <w:rsid w:val="00B657D3"/>
    <w:rsid w:val="00B6595C"/>
    <w:rsid w:val="00B65A93"/>
    <w:rsid w:val="00B65B04"/>
    <w:rsid w:val="00B65CAD"/>
    <w:rsid w:val="00B65DAB"/>
    <w:rsid w:val="00B65F82"/>
    <w:rsid w:val="00B65FF2"/>
    <w:rsid w:val="00B6621A"/>
    <w:rsid w:val="00B66278"/>
    <w:rsid w:val="00B663C3"/>
    <w:rsid w:val="00B66766"/>
    <w:rsid w:val="00B667D1"/>
    <w:rsid w:val="00B66843"/>
    <w:rsid w:val="00B66866"/>
    <w:rsid w:val="00B6697F"/>
    <w:rsid w:val="00B66A50"/>
    <w:rsid w:val="00B66A6A"/>
    <w:rsid w:val="00B66B6E"/>
    <w:rsid w:val="00B66DC7"/>
    <w:rsid w:val="00B6703A"/>
    <w:rsid w:val="00B67277"/>
    <w:rsid w:val="00B67604"/>
    <w:rsid w:val="00B6780B"/>
    <w:rsid w:val="00B67850"/>
    <w:rsid w:val="00B679B5"/>
    <w:rsid w:val="00B67B1C"/>
    <w:rsid w:val="00B67C56"/>
    <w:rsid w:val="00B67D03"/>
    <w:rsid w:val="00B67E23"/>
    <w:rsid w:val="00B67F31"/>
    <w:rsid w:val="00B67F64"/>
    <w:rsid w:val="00B700C1"/>
    <w:rsid w:val="00B7032F"/>
    <w:rsid w:val="00B70367"/>
    <w:rsid w:val="00B70891"/>
    <w:rsid w:val="00B70969"/>
    <w:rsid w:val="00B70AD8"/>
    <w:rsid w:val="00B70BB3"/>
    <w:rsid w:val="00B70E33"/>
    <w:rsid w:val="00B70F70"/>
    <w:rsid w:val="00B70FEC"/>
    <w:rsid w:val="00B710BC"/>
    <w:rsid w:val="00B7129F"/>
    <w:rsid w:val="00B7132E"/>
    <w:rsid w:val="00B7160C"/>
    <w:rsid w:val="00B7161B"/>
    <w:rsid w:val="00B7162E"/>
    <w:rsid w:val="00B716CD"/>
    <w:rsid w:val="00B71BF2"/>
    <w:rsid w:val="00B71E2B"/>
    <w:rsid w:val="00B71E4D"/>
    <w:rsid w:val="00B7203F"/>
    <w:rsid w:val="00B72094"/>
    <w:rsid w:val="00B72238"/>
    <w:rsid w:val="00B72387"/>
    <w:rsid w:val="00B723C5"/>
    <w:rsid w:val="00B723DE"/>
    <w:rsid w:val="00B724C9"/>
    <w:rsid w:val="00B725D5"/>
    <w:rsid w:val="00B7276B"/>
    <w:rsid w:val="00B729A3"/>
    <w:rsid w:val="00B729B6"/>
    <w:rsid w:val="00B72AB0"/>
    <w:rsid w:val="00B72E01"/>
    <w:rsid w:val="00B73151"/>
    <w:rsid w:val="00B731DB"/>
    <w:rsid w:val="00B732B9"/>
    <w:rsid w:val="00B73356"/>
    <w:rsid w:val="00B73781"/>
    <w:rsid w:val="00B73828"/>
    <w:rsid w:val="00B739A1"/>
    <w:rsid w:val="00B739D4"/>
    <w:rsid w:val="00B73ADC"/>
    <w:rsid w:val="00B73C67"/>
    <w:rsid w:val="00B73C82"/>
    <w:rsid w:val="00B73CCC"/>
    <w:rsid w:val="00B73E03"/>
    <w:rsid w:val="00B73ECD"/>
    <w:rsid w:val="00B73EFB"/>
    <w:rsid w:val="00B73F3B"/>
    <w:rsid w:val="00B73FE7"/>
    <w:rsid w:val="00B741A4"/>
    <w:rsid w:val="00B7437B"/>
    <w:rsid w:val="00B7448E"/>
    <w:rsid w:val="00B74845"/>
    <w:rsid w:val="00B74932"/>
    <w:rsid w:val="00B74A46"/>
    <w:rsid w:val="00B74D99"/>
    <w:rsid w:val="00B75061"/>
    <w:rsid w:val="00B751B0"/>
    <w:rsid w:val="00B7523E"/>
    <w:rsid w:val="00B752DA"/>
    <w:rsid w:val="00B75305"/>
    <w:rsid w:val="00B755AE"/>
    <w:rsid w:val="00B75717"/>
    <w:rsid w:val="00B75A71"/>
    <w:rsid w:val="00B75A9B"/>
    <w:rsid w:val="00B75B6D"/>
    <w:rsid w:val="00B75BC2"/>
    <w:rsid w:val="00B75C06"/>
    <w:rsid w:val="00B75C26"/>
    <w:rsid w:val="00B75D52"/>
    <w:rsid w:val="00B75DC5"/>
    <w:rsid w:val="00B75F82"/>
    <w:rsid w:val="00B76337"/>
    <w:rsid w:val="00B767D7"/>
    <w:rsid w:val="00B76B3A"/>
    <w:rsid w:val="00B76F99"/>
    <w:rsid w:val="00B76FA7"/>
    <w:rsid w:val="00B76FE4"/>
    <w:rsid w:val="00B773A9"/>
    <w:rsid w:val="00B77414"/>
    <w:rsid w:val="00B77422"/>
    <w:rsid w:val="00B77466"/>
    <w:rsid w:val="00B77509"/>
    <w:rsid w:val="00B776AC"/>
    <w:rsid w:val="00B77776"/>
    <w:rsid w:val="00B77799"/>
    <w:rsid w:val="00B777F7"/>
    <w:rsid w:val="00B77C9C"/>
    <w:rsid w:val="00B77E2E"/>
    <w:rsid w:val="00B800A8"/>
    <w:rsid w:val="00B802B4"/>
    <w:rsid w:val="00B8030C"/>
    <w:rsid w:val="00B80350"/>
    <w:rsid w:val="00B8036A"/>
    <w:rsid w:val="00B8045D"/>
    <w:rsid w:val="00B8086B"/>
    <w:rsid w:val="00B809C5"/>
    <w:rsid w:val="00B80A3B"/>
    <w:rsid w:val="00B80CB4"/>
    <w:rsid w:val="00B80CD9"/>
    <w:rsid w:val="00B80D4A"/>
    <w:rsid w:val="00B80D52"/>
    <w:rsid w:val="00B80D6D"/>
    <w:rsid w:val="00B80FB7"/>
    <w:rsid w:val="00B810FC"/>
    <w:rsid w:val="00B8138F"/>
    <w:rsid w:val="00B816A5"/>
    <w:rsid w:val="00B816C4"/>
    <w:rsid w:val="00B816D8"/>
    <w:rsid w:val="00B81857"/>
    <w:rsid w:val="00B819E6"/>
    <w:rsid w:val="00B81ACA"/>
    <w:rsid w:val="00B81BCE"/>
    <w:rsid w:val="00B81D52"/>
    <w:rsid w:val="00B81EF4"/>
    <w:rsid w:val="00B81F57"/>
    <w:rsid w:val="00B8202D"/>
    <w:rsid w:val="00B82179"/>
    <w:rsid w:val="00B8222E"/>
    <w:rsid w:val="00B82272"/>
    <w:rsid w:val="00B82411"/>
    <w:rsid w:val="00B82457"/>
    <w:rsid w:val="00B825DE"/>
    <w:rsid w:val="00B82673"/>
    <w:rsid w:val="00B82821"/>
    <w:rsid w:val="00B82843"/>
    <w:rsid w:val="00B8292C"/>
    <w:rsid w:val="00B82999"/>
    <w:rsid w:val="00B82DAA"/>
    <w:rsid w:val="00B82E80"/>
    <w:rsid w:val="00B82EC3"/>
    <w:rsid w:val="00B83036"/>
    <w:rsid w:val="00B8309C"/>
    <w:rsid w:val="00B831C1"/>
    <w:rsid w:val="00B83241"/>
    <w:rsid w:val="00B8329B"/>
    <w:rsid w:val="00B83372"/>
    <w:rsid w:val="00B8340E"/>
    <w:rsid w:val="00B834FB"/>
    <w:rsid w:val="00B83816"/>
    <w:rsid w:val="00B839E5"/>
    <w:rsid w:val="00B83A38"/>
    <w:rsid w:val="00B83D70"/>
    <w:rsid w:val="00B83E10"/>
    <w:rsid w:val="00B83E65"/>
    <w:rsid w:val="00B841F1"/>
    <w:rsid w:val="00B841FA"/>
    <w:rsid w:val="00B843EC"/>
    <w:rsid w:val="00B84591"/>
    <w:rsid w:val="00B84696"/>
    <w:rsid w:val="00B84703"/>
    <w:rsid w:val="00B84883"/>
    <w:rsid w:val="00B848EB"/>
    <w:rsid w:val="00B84A6F"/>
    <w:rsid w:val="00B84AD9"/>
    <w:rsid w:val="00B84B6A"/>
    <w:rsid w:val="00B84C40"/>
    <w:rsid w:val="00B84C84"/>
    <w:rsid w:val="00B84DB0"/>
    <w:rsid w:val="00B84E1C"/>
    <w:rsid w:val="00B84E27"/>
    <w:rsid w:val="00B84E51"/>
    <w:rsid w:val="00B84E5A"/>
    <w:rsid w:val="00B84E84"/>
    <w:rsid w:val="00B85042"/>
    <w:rsid w:val="00B852F8"/>
    <w:rsid w:val="00B85445"/>
    <w:rsid w:val="00B85455"/>
    <w:rsid w:val="00B856B7"/>
    <w:rsid w:val="00B85731"/>
    <w:rsid w:val="00B85868"/>
    <w:rsid w:val="00B85A3A"/>
    <w:rsid w:val="00B85D27"/>
    <w:rsid w:val="00B86317"/>
    <w:rsid w:val="00B86351"/>
    <w:rsid w:val="00B8636A"/>
    <w:rsid w:val="00B86479"/>
    <w:rsid w:val="00B8647C"/>
    <w:rsid w:val="00B864CB"/>
    <w:rsid w:val="00B86554"/>
    <w:rsid w:val="00B8656D"/>
    <w:rsid w:val="00B86791"/>
    <w:rsid w:val="00B8683F"/>
    <w:rsid w:val="00B8691F"/>
    <w:rsid w:val="00B869D2"/>
    <w:rsid w:val="00B86C35"/>
    <w:rsid w:val="00B86E26"/>
    <w:rsid w:val="00B86F7D"/>
    <w:rsid w:val="00B87251"/>
    <w:rsid w:val="00B872EB"/>
    <w:rsid w:val="00B872F5"/>
    <w:rsid w:val="00B873AD"/>
    <w:rsid w:val="00B8776A"/>
    <w:rsid w:val="00B87771"/>
    <w:rsid w:val="00B87777"/>
    <w:rsid w:val="00B877FC"/>
    <w:rsid w:val="00B87843"/>
    <w:rsid w:val="00B878A5"/>
    <w:rsid w:val="00B8799A"/>
    <w:rsid w:val="00B87BC9"/>
    <w:rsid w:val="00B87F5A"/>
    <w:rsid w:val="00B90032"/>
    <w:rsid w:val="00B901D5"/>
    <w:rsid w:val="00B90344"/>
    <w:rsid w:val="00B9042B"/>
    <w:rsid w:val="00B904BD"/>
    <w:rsid w:val="00B904D6"/>
    <w:rsid w:val="00B904E6"/>
    <w:rsid w:val="00B90710"/>
    <w:rsid w:val="00B90C9D"/>
    <w:rsid w:val="00B90CCE"/>
    <w:rsid w:val="00B90F5F"/>
    <w:rsid w:val="00B912AF"/>
    <w:rsid w:val="00B912BC"/>
    <w:rsid w:val="00B9138B"/>
    <w:rsid w:val="00B914DD"/>
    <w:rsid w:val="00B917BD"/>
    <w:rsid w:val="00B91BB0"/>
    <w:rsid w:val="00B91CC3"/>
    <w:rsid w:val="00B91EB1"/>
    <w:rsid w:val="00B91F14"/>
    <w:rsid w:val="00B9203B"/>
    <w:rsid w:val="00B920E7"/>
    <w:rsid w:val="00B92152"/>
    <w:rsid w:val="00B92160"/>
    <w:rsid w:val="00B923C0"/>
    <w:rsid w:val="00B92443"/>
    <w:rsid w:val="00B924F7"/>
    <w:rsid w:val="00B92506"/>
    <w:rsid w:val="00B92628"/>
    <w:rsid w:val="00B926C2"/>
    <w:rsid w:val="00B927A1"/>
    <w:rsid w:val="00B927A8"/>
    <w:rsid w:val="00B92844"/>
    <w:rsid w:val="00B9292F"/>
    <w:rsid w:val="00B92B61"/>
    <w:rsid w:val="00B92B73"/>
    <w:rsid w:val="00B92B76"/>
    <w:rsid w:val="00B92D27"/>
    <w:rsid w:val="00B92D57"/>
    <w:rsid w:val="00B92EBF"/>
    <w:rsid w:val="00B92FCB"/>
    <w:rsid w:val="00B935D7"/>
    <w:rsid w:val="00B93D1F"/>
    <w:rsid w:val="00B93D2C"/>
    <w:rsid w:val="00B93DF1"/>
    <w:rsid w:val="00B93FFC"/>
    <w:rsid w:val="00B9408B"/>
    <w:rsid w:val="00B9408F"/>
    <w:rsid w:val="00B940B2"/>
    <w:rsid w:val="00B94134"/>
    <w:rsid w:val="00B9417F"/>
    <w:rsid w:val="00B941B5"/>
    <w:rsid w:val="00B94215"/>
    <w:rsid w:val="00B94550"/>
    <w:rsid w:val="00B94566"/>
    <w:rsid w:val="00B945CC"/>
    <w:rsid w:val="00B945DA"/>
    <w:rsid w:val="00B9462B"/>
    <w:rsid w:val="00B94636"/>
    <w:rsid w:val="00B94671"/>
    <w:rsid w:val="00B9500E"/>
    <w:rsid w:val="00B95045"/>
    <w:rsid w:val="00B9507B"/>
    <w:rsid w:val="00B95098"/>
    <w:rsid w:val="00B951F7"/>
    <w:rsid w:val="00B95247"/>
    <w:rsid w:val="00B95609"/>
    <w:rsid w:val="00B95754"/>
    <w:rsid w:val="00B957AC"/>
    <w:rsid w:val="00B95934"/>
    <w:rsid w:val="00B95950"/>
    <w:rsid w:val="00B95B28"/>
    <w:rsid w:val="00B95D1A"/>
    <w:rsid w:val="00B95D2E"/>
    <w:rsid w:val="00B95E44"/>
    <w:rsid w:val="00B9622C"/>
    <w:rsid w:val="00B9635A"/>
    <w:rsid w:val="00B963C0"/>
    <w:rsid w:val="00B964EC"/>
    <w:rsid w:val="00B965F0"/>
    <w:rsid w:val="00B966CE"/>
    <w:rsid w:val="00B96950"/>
    <w:rsid w:val="00B9697C"/>
    <w:rsid w:val="00B96A05"/>
    <w:rsid w:val="00B96D90"/>
    <w:rsid w:val="00B96DF1"/>
    <w:rsid w:val="00B96E0B"/>
    <w:rsid w:val="00B96E5A"/>
    <w:rsid w:val="00B96EBC"/>
    <w:rsid w:val="00B96FC7"/>
    <w:rsid w:val="00B97342"/>
    <w:rsid w:val="00B974CC"/>
    <w:rsid w:val="00B97531"/>
    <w:rsid w:val="00B97605"/>
    <w:rsid w:val="00B976E0"/>
    <w:rsid w:val="00B97793"/>
    <w:rsid w:val="00B9793A"/>
    <w:rsid w:val="00B97A09"/>
    <w:rsid w:val="00B97B74"/>
    <w:rsid w:val="00B97D10"/>
    <w:rsid w:val="00B97D4D"/>
    <w:rsid w:val="00BA0038"/>
    <w:rsid w:val="00BA010D"/>
    <w:rsid w:val="00BA0156"/>
    <w:rsid w:val="00BA018A"/>
    <w:rsid w:val="00BA018B"/>
    <w:rsid w:val="00BA01D2"/>
    <w:rsid w:val="00BA0249"/>
    <w:rsid w:val="00BA02A9"/>
    <w:rsid w:val="00BA0452"/>
    <w:rsid w:val="00BA04C5"/>
    <w:rsid w:val="00BA057E"/>
    <w:rsid w:val="00BA05A3"/>
    <w:rsid w:val="00BA08C2"/>
    <w:rsid w:val="00BA0911"/>
    <w:rsid w:val="00BA095E"/>
    <w:rsid w:val="00BA0A03"/>
    <w:rsid w:val="00BA0BA4"/>
    <w:rsid w:val="00BA0ED0"/>
    <w:rsid w:val="00BA0FD0"/>
    <w:rsid w:val="00BA118B"/>
    <w:rsid w:val="00BA1401"/>
    <w:rsid w:val="00BA1970"/>
    <w:rsid w:val="00BA1A22"/>
    <w:rsid w:val="00BA1AE3"/>
    <w:rsid w:val="00BA1B34"/>
    <w:rsid w:val="00BA1CBC"/>
    <w:rsid w:val="00BA1DBE"/>
    <w:rsid w:val="00BA1E70"/>
    <w:rsid w:val="00BA1FAA"/>
    <w:rsid w:val="00BA21C3"/>
    <w:rsid w:val="00BA21F0"/>
    <w:rsid w:val="00BA225D"/>
    <w:rsid w:val="00BA2295"/>
    <w:rsid w:val="00BA233B"/>
    <w:rsid w:val="00BA27FA"/>
    <w:rsid w:val="00BA291F"/>
    <w:rsid w:val="00BA29B5"/>
    <w:rsid w:val="00BA2A09"/>
    <w:rsid w:val="00BA2B35"/>
    <w:rsid w:val="00BA2CE6"/>
    <w:rsid w:val="00BA2E02"/>
    <w:rsid w:val="00BA2EFA"/>
    <w:rsid w:val="00BA31D7"/>
    <w:rsid w:val="00BA347B"/>
    <w:rsid w:val="00BA3620"/>
    <w:rsid w:val="00BA36A9"/>
    <w:rsid w:val="00BA373C"/>
    <w:rsid w:val="00BA3761"/>
    <w:rsid w:val="00BA376A"/>
    <w:rsid w:val="00BA37D5"/>
    <w:rsid w:val="00BA3848"/>
    <w:rsid w:val="00BA3918"/>
    <w:rsid w:val="00BA3A3E"/>
    <w:rsid w:val="00BA3B72"/>
    <w:rsid w:val="00BA3EBA"/>
    <w:rsid w:val="00BA3F37"/>
    <w:rsid w:val="00BA4076"/>
    <w:rsid w:val="00BA40A7"/>
    <w:rsid w:val="00BA411B"/>
    <w:rsid w:val="00BA423C"/>
    <w:rsid w:val="00BA46C3"/>
    <w:rsid w:val="00BA4814"/>
    <w:rsid w:val="00BA4823"/>
    <w:rsid w:val="00BA4BDD"/>
    <w:rsid w:val="00BA4E93"/>
    <w:rsid w:val="00BA5034"/>
    <w:rsid w:val="00BA544D"/>
    <w:rsid w:val="00BA5452"/>
    <w:rsid w:val="00BA551B"/>
    <w:rsid w:val="00BA5526"/>
    <w:rsid w:val="00BA5579"/>
    <w:rsid w:val="00BA590D"/>
    <w:rsid w:val="00BA59DA"/>
    <w:rsid w:val="00BA5B04"/>
    <w:rsid w:val="00BA5B1C"/>
    <w:rsid w:val="00BA5D09"/>
    <w:rsid w:val="00BA5E99"/>
    <w:rsid w:val="00BA5EA7"/>
    <w:rsid w:val="00BA6030"/>
    <w:rsid w:val="00BA6138"/>
    <w:rsid w:val="00BA6465"/>
    <w:rsid w:val="00BA65A6"/>
    <w:rsid w:val="00BA6688"/>
    <w:rsid w:val="00BA66B7"/>
    <w:rsid w:val="00BA670C"/>
    <w:rsid w:val="00BA687C"/>
    <w:rsid w:val="00BA69C0"/>
    <w:rsid w:val="00BA6A28"/>
    <w:rsid w:val="00BA6A83"/>
    <w:rsid w:val="00BA6AE0"/>
    <w:rsid w:val="00BA6C36"/>
    <w:rsid w:val="00BA6CC2"/>
    <w:rsid w:val="00BA6E35"/>
    <w:rsid w:val="00BA70D3"/>
    <w:rsid w:val="00BA70E2"/>
    <w:rsid w:val="00BA70FB"/>
    <w:rsid w:val="00BA727B"/>
    <w:rsid w:val="00BA72B1"/>
    <w:rsid w:val="00BA72BB"/>
    <w:rsid w:val="00BA7553"/>
    <w:rsid w:val="00BA76AB"/>
    <w:rsid w:val="00BA7957"/>
    <w:rsid w:val="00BA79EA"/>
    <w:rsid w:val="00BA7AA8"/>
    <w:rsid w:val="00BA7E99"/>
    <w:rsid w:val="00BA7F18"/>
    <w:rsid w:val="00BB00F1"/>
    <w:rsid w:val="00BB0114"/>
    <w:rsid w:val="00BB029A"/>
    <w:rsid w:val="00BB0423"/>
    <w:rsid w:val="00BB0533"/>
    <w:rsid w:val="00BB071B"/>
    <w:rsid w:val="00BB0749"/>
    <w:rsid w:val="00BB079B"/>
    <w:rsid w:val="00BB07EA"/>
    <w:rsid w:val="00BB0A39"/>
    <w:rsid w:val="00BB0A3E"/>
    <w:rsid w:val="00BB0A9B"/>
    <w:rsid w:val="00BB0D73"/>
    <w:rsid w:val="00BB0E24"/>
    <w:rsid w:val="00BB0E88"/>
    <w:rsid w:val="00BB0EF6"/>
    <w:rsid w:val="00BB0F2D"/>
    <w:rsid w:val="00BB108C"/>
    <w:rsid w:val="00BB109E"/>
    <w:rsid w:val="00BB1147"/>
    <w:rsid w:val="00BB117E"/>
    <w:rsid w:val="00BB11C1"/>
    <w:rsid w:val="00BB16CA"/>
    <w:rsid w:val="00BB16F4"/>
    <w:rsid w:val="00BB17B9"/>
    <w:rsid w:val="00BB1874"/>
    <w:rsid w:val="00BB19E3"/>
    <w:rsid w:val="00BB1A66"/>
    <w:rsid w:val="00BB1C32"/>
    <w:rsid w:val="00BB1D0F"/>
    <w:rsid w:val="00BB1FA1"/>
    <w:rsid w:val="00BB20CA"/>
    <w:rsid w:val="00BB220A"/>
    <w:rsid w:val="00BB243C"/>
    <w:rsid w:val="00BB24B3"/>
    <w:rsid w:val="00BB2553"/>
    <w:rsid w:val="00BB27F6"/>
    <w:rsid w:val="00BB280D"/>
    <w:rsid w:val="00BB2B71"/>
    <w:rsid w:val="00BB2B7F"/>
    <w:rsid w:val="00BB2BA8"/>
    <w:rsid w:val="00BB2C39"/>
    <w:rsid w:val="00BB2E11"/>
    <w:rsid w:val="00BB2F3B"/>
    <w:rsid w:val="00BB3048"/>
    <w:rsid w:val="00BB317E"/>
    <w:rsid w:val="00BB31CF"/>
    <w:rsid w:val="00BB328B"/>
    <w:rsid w:val="00BB339A"/>
    <w:rsid w:val="00BB37B4"/>
    <w:rsid w:val="00BB37CE"/>
    <w:rsid w:val="00BB3986"/>
    <w:rsid w:val="00BB3B77"/>
    <w:rsid w:val="00BB3B83"/>
    <w:rsid w:val="00BB3CD4"/>
    <w:rsid w:val="00BB3D84"/>
    <w:rsid w:val="00BB4185"/>
    <w:rsid w:val="00BB41B4"/>
    <w:rsid w:val="00BB4409"/>
    <w:rsid w:val="00BB4558"/>
    <w:rsid w:val="00BB4646"/>
    <w:rsid w:val="00BB4845"/>
    <w:rsid w:val="00BB48D6"/>
    <w:rsid w:val="00BB4A27"/>
    <w:rsid w:val="00BB4AFE"/>
    <w:rsid w:val="00BB4B1E"/>
    <w:rsid w:val="00BB4B5A"/>
    <w:rsid w:val="00BB4C01"/>
    <w:rsid w:val="00BB4E74"/>
    <w:rsid w:val="00BB4F0C"/>
    <w:rsid w:val="00BB4F23"/>
    <w:rsid w:val="00BB519D"/>
    <w:rsid w:val="00BB5215"/>
    <w:rsid w:val="00BB5459"/>
    <w:rsid w:val="00BB54DA"/>
    <w:rsid w:val="00BB56AD"/>
    <w:rsid w:val="00BB56BD"/>
    <w:rsid w:val="00BB575C"/>
    <w:rsid w:val="00BB5760"/>
    <w:rsid w:val="00BB57B9"/>
    <w:rsid w:val="00BB59C6"/>
    <w:rsid w:val="00BB5A38"/>
    <w:rsid w:val="00BB5A45"/>
    <w:rsid w:val="00BB5B19"/>
    <w:rsid w:val="00BB5B7B"/>
    <w:rsid w:val="00BB5C44"/>
    <w:rsid w:val="00BB5C88"/>
    <w:rsid w:val="00BB5D20"/>
    <w:rsid w:val="00BB5D55"/>
    <w:rsid w:val="00BB5DE3"/>
    <w:rsid w:val="00BB5EA1"/>
    <w:rsid w:val="00BB5F41"/>
    <w:rsid w:val="00BB601D"/>
    <w:rsid w:val="00BB6105"/>
    <w:rsid w:val="00BB6172"/>
    <w:rsid w:val="00BB62FD"/>
    <w:rsid w:val="00BB635C"/>
    <w:rsid w:val="00BB6458"/>
    <w:rsid w:val="00BB652C"/>
    <w:rsid w:val="00BB660F"/>
    <w:rsid w:val="00BB66CA"/>
    <w:rsid w:val="00BB6720"/>
    <w:rsid w:val="00BB6816"/>
    <w:rsid w:val="00BB69C6"/>
    <w:rsid w:val="00BB69D7"/>
    <w:rsid w:val="00BB6A50"/>
    <w:rsid w:val="00BB6AB1"/>
    <w:rsid w:val="00BB6B60"/>
    <w:rsid w:val="00BB6BC7"/>
    <w:rsid w:val="00BB6D31"/>
    <w:rsid w:val="00BB6E8E"/>
    <w:rsid w:val="00BB717A"/>
    <w:rsid w:val="00BB71FC"/>
    <w:rsid w:val="00BB7354"/>
    <w:rsid w:val="00BB73F2"/>
    <w:rsid w:val="00BB7404"/>
    <w:rsid w:val="00BB7488"/>
    <w:rsid w:val="00BB7796"/>
    <w:rsid w:val="00BB77E1"/>
    <w:rsid w:val="00BB7A1C"/>
    <w:rsid w:val="00BB7A3D"/>
    <w:rsid w:val="00BB7AB7"/>
    <w:rsid w:val="00BB7AD7"/>
    <w:rsid w:val="00BB7D56"/>
    <w:rsid w:val="00BB7F09"/>
    <w:rsid w:val="00BB7F4A"/>
    <w:rsid w:val="00BB7F59"/>
    <w:rsid w:val="00BB7F9F"/>
    <w:rsid w:val="00BB7FC5"/>
    <w:rsid w:val="00BC0152"/>
    <w:rsid w:val="00BC0198"/>
    <w:rsid w:val="00BC01C8"/>
    <w:rsid w:val="00BC035E"/>
    <w:rsid w:val="00BC046C"/>
    <w:rsid w:val="00BC05FF"/>
    <w:rsid w:val="00BC0646"/>
    <w:rsid w:val="00BC070C"/>
    <w:rsid w:val="00BC0719"/>
    <w:rsid w:val="00BC087D"/>
    <w:rsid w:val="00BC089B"/>
    <w:rsid w:val="00BC09E8"/>
    <w:rsid w:val="00BC0AC9"/>
    <w:rsid w:val="00BC0BAE"/>
    <w:rsid w:val="00BC0C3F"/>
    <w:rsid w:val="00BC0F83"/>
    <w:rsid w:val="00BC110E"/>
    <w:rsid w:val="00BC1195"/>
    <w:rsid w:val="00BC12AB"/>
    <w:rsid w:val="00BC136E"/>
    <w:rsid w:val="00BC13E4"/>
    <w:rsid w:val="00BC140D"/>
    <w:rsid w:val="00BC151C"/>
    <w:rsid w:val="00BC15D2"/>
    <w:rsid w:val="00BC1681"/>
    <w:rsid w:val="00BC182E"/>
    <w:rsid w:val="00BC19F2"/>
    <w:rsid w:val="00BC1A59"/>
    <w:rsid w:val="00BC1A7A"/>
    <w:rsid w:val="00BC1B77"/>
    <w:rsid w:val="00BC1D27"/>
    <w:rsid w:val="00BC1DE8"/>
    <w:rsid w:val="00BC1E1A"/>
    <w:rsid w:val="00BC1F96"/>
    <w:rsid w:val="00BC1FE6"/>
    <w:rsid w:val="00BC22C4"/>
    <w:rsid w:val="00BC236E"/>
    <w:rsid w:val="00BC23AF"/>
    <w:rsid w:val="00BC23CF"/>
    <w:rsid w:val="00BC270D"/>
    <w:rsid w:val="00BC29A2"/>
    <w:rsid w:val="00BC2AF1"/>
    <w:rsid w:val="00BC2C23"/>
    <w:rsid w:val="00BC2CC9"/>
    <w:rsid w:val="00BC2D19"/>
    <w:rsid w:val="00BC2D64"/>
    <w:rsid w:val="00BC2DED"/>
    <w:rsid w:val="00BC2E92"/>
    <w:rsid w:val="00BC3195"/>
    <w:rsid w:val="00BC3252"/>
    <w:rsid w:val="00BC32E1"/>
    <w:rsid w:val="00BC349F"/>
    <w:rsid w:val="00BC35F4"/>
    <w:rsid w:val="00BC36EB"/>
    <w:rsid w:val="00BC3802"/>
    <w:rsid w:val="00BC38CD"/>
    <w:rsid w:val="00BC38D9"/>
    <w:rsid w:val="00BC3AE0"/>
    <w:rsid w:val="00BC3BFF"/>
    <w:rsid w:val="00BC3D7D"/>
    <w:rsid w:val="00BC40CC"/>
    <w:rsid w:val="00BC4255"/>
    <w:rsid w:val="00BC439A"/>
    <w:rsid w:val="00BC43CC"/>
    <w:rsid w:val="00BC4483"/>
    <w:rsid w:val="00BC4499"/>
    <w:rsid w:val="00BC460E"/>
    <w:rsid w:val="00BC46F1"/>
    <w:rsid w:val="00BC485E"/>
    <w:rsid w:val="00BC4888"/>
    <w:rsid w:val="00BC4889"/>
    <w:rsid w:val="00BC4906"/>
    <w:rsid w:val="00BC492C"/>
    <w:rsid w:val="00BC4B4B"/>
    <w:rsid w:val="00BC4CB0"/>
    <w:rsid w:val="00BC4EF1"/>
    <w:rsid w:val="00BC4FA8"/>
    <w:rsid w:val="00BC50BD"/>
    <w:rsid w:val="00BC5200"/>
    <w:rsid w:val="00BC52FE"/>
    <w:rsid w:val="00BC531F"/>
    <w:rsid w:val="00BC53B7"/>
    <w:rsid w:val="00BC54A2"/>
    <w:rsid w:val="00BC566E"/>
    <w:rsid w:val="00BC56C4"/>
    <w:rsid w:val="00BC56CD"/>
    <w:rsid w:val="00BC57FF"/>
    <w:rsid w:val="00BC5815"/>
    <w:rsid w:val="00BC592D"/>
    <w:rsid w:val="00BC5B8F"/>
    <w:rsid w:val="00BC5BB8"/>
    <w:rsid w:val="00BC5EE0"/>
    <w:rsid w:val="00BC6130"/>
    <w:rsid w:val="00BC6285"/>
    <w:rsid w:val="00BC638D"/>
    <w:rsid w:val="00BC66F9"/>
    <w:rsid w:val="00BC67C3"/>
    <w:rsid w:val="00BC6B70"/>
    <w:rsid w:val="00BC6CF3"/>
    <w:rsid w:val="00BC6D75"/>
    <w:rsid w:val="00BC7009"/>
    <w:rsid w:val="00BC70D1"/>
    <w:rsid w:val="00BC70EF"/>
    <w:rsid w:val="00BC713F"/>
    <w:rsid w:val="00BC71BF"/>
    <w:rsid w:val="00BC73D1"/>
    <w:rsid w:val="00BC7708"/>
    <w:rsid w:val="00BC7773"/>
    <w:rsid w:val="00BC7825"/>
    <w:rsid w:val="00BC7946"/>
    <w:rsid w:val="00BC79C6"/>
    <w:rsid w:val="00BC7BDF"/>
    <w:rsid w:val="00BC7BF8"/>
    <w:rsid w:val="00BC7E01"/>
    <w:rsid w:val="00BC7EB2"/>
    <w:rsid w:val="00BD01A8"/>
    <w:rsid w:val="00BD0333"/>
    <w:rsid w:val="00BD03B1"/>
    <w:rsid w:val="00BD057C"/>
    <w:rsid w:val="00BD05DC"/>
    <w:rsid w:val="00BD085E"/>
    <w:rsid w:val="00BD096B"/>
    <w:rsid w:val="00BD0BB4"/>
    <w:rsid w:val="00BD0BC8"/>
    <w:rsid w:val="00BD0CAF"/>
    <w:rsid w:val="00BD1206"/>
    <w:rsid w:val="00BD128D"/>
    <w:rsid w:val="00BD131B"/>
    <w:rsid w:val="00BD1356"/>
    <w:rsid w:val="00BD13C7"/>
    <w:rsid w:val="00BD13C9"/>
    <w:rsid w:val="00BD1431"/>
    <w:rsid w:val="00BD144C"/>
    <w:rsid w:val="00BD15B8"/>
    <w:rsid w:val="00BD1674"/>
    <w:rsid w:val="00BD16D6"/>
    <w:rsid w:val="00BD1748"/>
    <w:rsid w:val="00BD18C8"/>
    <w:rsid w:val="00BD190A"/>
    <w:rsid w:val="00BD1BD0"/>
    <w:rsid w:val="00BD1BF6"/>
    <w:rsid w:val="00BD1CDA"/>
    <w:rsid w:val="00BD2093"/>
    <w:rsid w:val="00BD212E"/>
    <w:rsid w:val="00BD217A"/>
    <w:rsid w:val="00BD22E5"/>
    <w:rsid w:val="00BD2391"/>
    <w:rsid w:val="00BD24A5"/>
    <w:rsid w:val="00BD2506"/>
    <w:rsid w:val="00BD25A0"/>
    <w:rsid w:val="00BD2677"/>
    <w:rsid w:val="00BD26E8"/>
    <w:rsid w:val="00BD278A"/>
    <w:rsid w:val="00BD297D"/>
    <w:rsid w:val="00BD29D4"/>
    <w:rsid w:val="00BD2A7D"/>
    <w:rsid w:val="00BD2BA2"/>
    <w:rsid w:val="00BD2C27"/>
    <w:rsid w:val="00BD2CC3"/>
    <w:rsid w:val="00BD2D8F"/>
    <w:rsid w:val="00BD2DAD"/>
    <w:rsid w:val="00BD31FC"/>
    <w:rsid w:val="00BD3237"/>
    <w:rsid w:val="00BD32DE"/>
    <w:rsid w:val="00BD3579"/>
    <w:rsid w:val="00BD376C"/>
    <w:rsid w:val="00BD37FF"/>
    <w:rsid w:val="00BD389F"/>
    <w:rsid w:val="00BD3A12"/>
    <w:rsid w:val="00BD3A1F"/>
    <w:rsid w:val="00BD3AF9"/>
    <w:rsid w:val="00BD3B84"/>
    <w:rsid w:val="00BD3CE5"/>
    <w:rsid w:val="00BD3DAB"/>
    <w:rsid w:val="00BD3DCC"/>
    <w:rsid w:val="00BD3DF9"/>
    <w:rsid w:val="00BD3E1E"/>
    <w:rsid w:val="00BD4005"/>
    <w:rsid w:val="00BD41B2"/>
    <w:rsid w:val="00BD41D2"/>
    <w:rsid w:val="00BD42D0"/>
    <w:rsid w:val="00BD4309"/>
    <w:rsid w:val="00BD43CD"/>
    <w:rsid w:val="00BD4484"/>
    <w:rsid w:val="00BD4496"/>
    <w:rsid w:val="00BD4672"/>
    <w:rsid w:val="00BD474E"/>
    <w:rsid w:val="00BD48B0"/>
    <w:rsid w:val="00BD491B"/>
    <w:rsid w:val="00BD499C"/>
    <w:rsid w:val="00BD4A4E"/>
    <w:rsid w:val="00BD4B65"/>
    <w:rsid w:val="00BD4CA8"/>
    <w:rsid w:val="00BD4D80"/>
    <w:rsid w:val="00BD4FFE"/>
    <w:rsid w:val="00BD5076"/>
    <w:rsid w:val="00BD507F"/>
    <w:rsid w:val="00BD50FE"/>
    <w:rsid w:val="00BD5186"/>
    <w:rsid w:val="00BD5269"/>
    <w:rsid w:val="00BD54BE"/>
    <w:rsid w:val="00BD560C"/>
    <w:rsid w:val="00BD58C3"/>
    <w:rsid w:val="00BD59AD"/>
    <w:rsid w:val="00BD5B0B"/>
    <w:rsid w:val="00BD608A"/>
    <w:rsid w:val="00BD60E4"/>
    <w:rsid w:val="00BD6267"/>
    <w:rsid w:val="00BD628B"/>
    <w:rsid w:val="00BD669B"/>
    <w:rsid w:val="00BD67CE"/>
    <w:rsid w:val="00BD6970"/>
    <w:rsid w:val="00BD6BBD"/>
    <w:rsid w:val="00BD6F84"/>
    <w:rsid w:val="00BD70A8"/>
    <w:rsid w:val="00BD7323"/>
    <w:rsid w:val="00BD741E"/>
    <w:rsid w:val="00BD76D9"/>
    <w:rsid w:val="00BD7898"/>
    <w:rsid w:val="00BD7933"/>
    <w:rsid w:val="00BD79E2"/>
    <w:rsid w:val="00BD7B0B"/>
    <w:rsid w:val="00BD7C28"/>
    <w:rsid w:val="00BD7C56"/>
    <w:rsid w:val="00BD7C7E"/>
    <w:rsid w:val="00BD7F95"/>
    <w:rsid w:val="00BE003C"/>
    <w:rsid w:val="00BE0110"/>
    <w:rsid w:val="00BE0432"/>
    <w:rsid w:val="00BE04CD"/>
    <w:rsid w:val="00BE0581"/>
    <w:rsid w:val="00BE0716"/>
    <w:rsid w:val="00BE0744"/>
    <w:rsid w:val="00BE0845"/>
    <w:rsid w:val="00BE08C0"/>
    <w:rsid w:val="00BE0951"/>
    <w:rsid w:val="00BE0C04"/>
    <w:rsid w:val="00BE126D"/>
    <w:rsid w:val="00BE132B"/>
    <w:rsid w:val="00BE14EF"/>
    <w:rsid w:val="00BE1903"/>
    <w:rsid w:val="00BE19CB"/>
    <w:rsid w:val="00BE1B46"/>
    <w:rsid w:val="00BE1C02"/>
    <w:rsid w:val="00BE1C3A"/>
    <w:rsid w:val="00BE1CDF"/>
    <w:rsid w:val="00BE1EC4"/>
    <w:rsid w:val="00BE20C3"/>
    <w:rsid w:val="00BE228C"/>
    <w:rsid w:val="00BE2300"/>
    <w:rsid w:val="00BE234A"/>
    <w:rsid w:val="00BE23F5"/>
    <w:rsid w:val="00BE240D"/>
    <w:rsid w:val="00BE25CB"/>
    <w:rsid w:val="00BE27BA"/>
    <w:rsid w:val="00BE292F"/>
    <w:rsid w:val="00BE2C7B"/>
    <w:rsid w:val="00BE2E02"/>
    <w:rsid w:val="00BE2E73"/>
    <w:rsid w:val="00BE30AA"/>
    <w:rsid w:val="00BE30B4"/>
    <w:rsid w:val="00BE353E"/>
    <w:rsid w:val="00BE35B8"/>
    <w:rsid w:val="00BE35E7"/>
    <w:rsid w:val="00BE3986"/>
    <w:rsid w:val="00BE3A89"/>
    <w:rsid w:val="00BE3AD4"/>
    <w:rsid w:val="00BE3CCF"/>
    <w:rsid w:val="00BE3D1C"/>
    <w:rsid w:val="00BE3E3B"/>
    <w:rsid w:val="00BE40A7"/>
    <w:rsid w:val="00BE4208"/>
    <w:rsid w:val="00BE441F"/>
    <w:rsid w:val="00BE4781"/>
    <w:rsid w:val="00BE47BF"/>
    <w:rsid w:val="00BE47DF"/>
    <w:rsid w:val="00BE47F7"/>
    <w:rsid w:val="00BE4B6C"/>
    <w:rsid w:val="00BE4BD6"/>
    <w:rsid w:val="00BE4CFA"/>
    <w:rsid w:val="00BE4EE6"/>
    <w:rsid w:val="00BE4F53"/>
    <w:rsid w:val="00BE4F80"/>
    <w:rsid w:val="00BE525F"/>
    <w:rsid w:val="00BE5303"/>
    <w:rsid w:val="00BE5319"/>
    <w:rsid w:val="00BE5403"/>
    <w:rsid w:val="00BE546D"/>
    <w:rsid w:val="00BE5520"/>
    <w:rsid w:val="00BE5604"/>
    <w:rsid w:val="00BE56F6"/>
    <w:rsid w:val="00BE5AA1"/>
    <w:rsid w:val="00BE5B54"/>
    <w:rsid w:val="00BE5C73"/>
    <w:rsid w:val="00BE5D0D"/>
    <w:rsid w:val="00BE5DFA"/>
    <w:rsid w:val="00BE5E44"/>
    <w:rsid w:val="00BE5EDA"/>
    <w:rsid w:val="00BE5F23"/>
    <w:rsid w:val="00BE5F8F"/>
    <w:rsid w:val="00BE61C1"/>
    <w:rsid w:val="00BE6268"/>
    <w:rsid w:val="00BE62EA"/>
    <w:rsid w:val="00BE630B"/>
    <w:rsid w:val="00BE6322"/>
    <w:rsid w:val="00BE6415"/>
    <w:rsid w:val="00BE6616"/>
    <w:rsid w:val="00BE669B"/>
    <w:rsid w:val="00BE66F8"/>
    <w:rsid w:val="00BE6828"/>
    <w:rsid w:val="00BE68DF"/>
    <w:rsid w:val="00BE6A3F"/>
    <w:rsid w:val="00BE6CB3"/>
    <w:rsid w:val="00BE6DAD"/>
    <w:rsid w:val="00BE6E59"/>
    <w:rsid w:val="00BE6F55"/>
    <w:rsid w:val="00BE6FBD"/>
    <w:rsid w:val="00BE7025"/>
    <w:rsid w:val="00BE7067"/>
    <w:rsid w:val="00BE70D9"/>
    <w:rsid w:val="00BE728B"/>
    <w:rsid w:val="00BE7303"/>
    <w:rsid w:val="00BE7488"/>
    <w:rsid w:val="00BE76CA"/>
    <w:rsid w:val="00BE77E8"/>
    <w:rsid w:val="00BE78B4"/>
    <w:rsid w:val="00BE791C"/>
    <w:rsid w:val="00BE798D"/>
    <w:rsid w:val="00BE7996"/>
    <w:rsid w:val="00BE7B36"/>
    <w:rsid w:val="00BE7B4E"/>
    <w:rsid w:val="00BE7BC1"/>
    <w:rsid w:val="00BE7D3C"/>
    <w:rsid w:val="00BE7E05"/>
    <w:rsid w:val="00BE7E1C"/>
    <w:rsid w:val="00BF00F9"/>
    <w:rsid w:val="00BF0378"/>
    <w:rsid w:val="00BF03CB"/>
    <w:rsid w:val="00BF053D"/>
    <w:rsid w:val="00BF0609"/>
    <w:rsid w:val="00BF0A17"/>
    <w:rsid w:val="00BF0AE6"/>
    <w:rsid w:val="00BF0C67"/>
    <w:rsid w:val="00BF0EBE"/>
    <w:rsid w:val="00BF0EEA"/>
    <w:rsid w:val="00BF102A"/>
    <w:rsid w:val="00BF11B0"/>
    <w:rsid w:val="00BF1272"/>
    <w:rsid w:val="00BF147B"/>
    <w:rsid w:val="00BF14E0"/>
    <w:rsid w:val="00BF184C"/>
    <w:rsid w:val="00BF193D"/>
    <w:rsid w:val="00BF19F7"/>
    <w:rsid w:val="00BF1ABA"/>
    <w:rsid w:val="00BF1ACF"/>
    <w:rsid w:val="00BF1C5C"/>
    <w:rsid w:val="00BF1CC7"/>
    <w:rsid w:val="00BF1E27"/>
    <w:rsid w:val="00BF1E53"/>
    <w:rsid w:val="00BF1FA4"/>
    <w:rsid w:val="00BF2194"/>
    <w:rsid w:val="00BF2638"/>
    <w:rsid w:val="00BF288B"/>
    <w:rsid w:val="00BF29D9"/>
    <w:rsid w:val="00BF2B5F"/>
    <w:rsid w:val="00BF2BB9"/>
    <w:rsid w:val="00BF2CB4"/>
    <w:rsid w:val="00BF2DCD"/>
    <w:rsid w:val="00BF3072"/>
    <w:rsid w:val="00BF32CB"/>
    <w:rsid w:val="00BF338B"/>
    <w:rsid w:val="00BF3598"/>
    <w:rsid w:val="00BF3772"/>
    <w:rsid w:val="00BF393B"/>
    <w:rsid w:val="00BF3AFF"/>
    <w:rsid w:val="00BF3D94"/>
    <w:rsid w:val="00BF442A"/>
    <w:rsid w:val="00BF4546"/>
    <w:rsid w:val="00BF465A"/>
    <w:rsid w:val="00BF47EA"/>
    <w:rsid w:val="00BF483F"/>
    <w:rsid w:val="00BF4A63"/>
    <w:rsid w:val="00BF4A7D"/>
    <w:rsid w:val="00BF4AC0"/>
    <w:rsid w:val="00BF4B05"/>
    <w:rsid w:val="00BF4D60"/>
    <w:rsid w:val="00BF4E38"/>
    <w:rsid w:val="00BF4F03"/>
    <w:rsid w:val="00BF4F96"/>
    <w:rsid w:val="00BF5483"/>
    <w:rsid w:val="00BF564D"/>
    <w:rsid w:val="00BF56C2"/>
    <w:rsid w:val="00BF599E"/>
    <w:rsid w:val="00BF5AC6"/>
    <w:rsid w:val="00BF5B84"/>
    <w:rsid w:val="00BF5C3B"/>
    <w:rsid w:val="00BF5C67"/>
    <w:rsid w:val="00BF5C90"/>
    <w:rsid w:val="00BF5CCE"/>
    <w:rsid w:val="00BF5D4D"/>
    <w:rsid w:val="00BF5F03"/>
    <w:rsid w:val="00BF5F6F"/>
    <w:rsid w:val="00BF63FF"/>
    <w:rsid w:val="00BF6817"/>
    <w:rsid w:val="00BF6C0D"/>
    <w:rsid w:val="00BF6D74"/>
    <w:rsid w:val="00BF6FEE"/>
    <w:rsid w:val="00BF7001"/>
    <w:rsid w:val="00BF7139"/>
    <w:rsid w:val="00BF720D"/>
    <w:rsid w:val="00BF7308"/>
    <w:rsid w:val="00BF7561"/>
    <w:rsid w:val="00BF780B"/>
    <w:rsid w:val="00BF7964"/>
    <w:rsid w:val="00BF7A2F"/>
    <w:rsid w:val="00BF7B02"/>
    <w:rsid w:val="00BF7B9D"/>
    <w:rsid w:val="00BF7C6B"/>
    <w:rsid w:val="00BF7C82"/>
    <w:rsid w:val="00BF7DD1"/>
    <w:rsid w:val="00BF7E40"/>
    <w:rsid w:val="00BF7E68"/>
    <w:rsid w:val="00BF7FE3"/>
    <w:rsid w:val="00BFCF4C"/>
    <w:rsid w:val="00C00024"/>
    <w:rsid w:val="00C00149"/>
    <w:rsid w:val="00C002FC"/>
    <w:rsid w:val="00C00351"/>
    <w:rsid w:val="00C0041B"/>
    <w:rsid w:val="00C0060F"/>
    <w:rsid w:val="00C00627"/>
    <w:rsid w:val="00C00661"/>
    <w:rsid w:val="00C00787"/>
    <w:rsid w:val="00C009EF"/>
    <w:rsid w:val="00C00BE3"/>
    <w:rsid w:val="00C00BEC"/>
    <w:rsid w:val="00C00E14"/>
    <w:rsid w:val="00C01040"/>
    <w:rsid w:val="00C010BA"/>
    <w:rsid w:val="00C01328"/>
    <w:rsid w:val="00C013E2"/>
    <w:rsid w:val="00C01503"/>
    <w:rsid w:val="00C015CB"/>
    <w:rsid w:val="00C01649"/>
    <w:rsid w:val="00C0168E"/>
    <w:rsid w:val="00C01751"/>
    <w:rsid w:val="00C0179D"/>
    <w:rsid w:val="00C0191A"/>
    <w:rsid w:val="00C019FF"/>
    <w:rsid w:val="00C01A70"/>
    <w:rsid w:val="00C01B16"/>
    <w:rsid w:val="00C01B72"/>
    <w:rsid w:val="00C01D2C"/>
    <w:rsid w:val="00C01F91"/>
    <w:rsid w:val="00C0227F"/>
    <w:rsid w:val="00C02361"/>
    <w:rsid w:val="00C027AB"/>
    <w:rsid w:val="00C02816"/>
    <w:rsid w:val="00C02850"/>
    <w:rsid w:val="00C029D7"/>
    <w:rsid w:val="00C02A8C"/>
    <w:rsid w:val="00C02C8B"/>
    <w:rsid w:val="00C02C93"/>
    <w:rsid w:val="00C02D85"/>
    <w:rsid w:val="00C02EBD"/>
    <w:rsid w:val="00C03052"/>
    <w:rsid w:val="00C0315E"/>
    <w:rsid w:val="00C031B0"/>
    <w:rsid w:val="00C03258"/>
    <w:rsid w:val="00C036FA"/>
    <w:rsid w:val="00C037E4"/>
    <w:rsid w:val="00C03836"/>
    <w:rsid w:val="00C03914"/>
    <w:rsid w:val="00C03A02"/>
    <w:rsid w:val="00C03A20"/>
    <w:rsid w:val="00C03A7A"/>
    <w:rsid w:val="00C03A92"/>
    <w:rsid w:val="00C03B83"/>
    <w:rsid w:val="00C03F02"/>
    <w:rsid w:val="00C03F6C"/>
    <w:rsid w:val="00C03F7C"/>
    <w:rsid w:val="00C0417A"/>
    <w:rsid w:val="00C041A7"/>
    <w:rsid w:val="00C043DD"/>
    <w:rsid w:val="00C044C3"/>
    <w:rsid w:val="00C0451F"/>
    <w:rsid w:val="00C0460D"/>
    <w:rsid w:val="00C048D9"/>
    <w:rsid w:val="00C04951"/>
    <w:rsid w:val="00C04AE2"/>
    <w:rsid w:val="00C04ECD"/>
    <w:rsid w:val="00C05237"/>
    <w:rsid w:val="00C053E7"/>
    <w:rsid w:val="00C0548D"/>
    <w:rsid w:val="00C05782"/>
    <w:rsid w:val="00C057C1"/>
    <w:rsid w:val="00C0585D"/>
    <w:rsid w:val="00C05A0D"/>
    <w:rsid w:val="00C05B22"/>
    <w:rsid w:val="00C05B82"/>
    <w:rsid w:val="00C05E0C"/>
    <w:rsid w:val="00C05E1D"/>
    <w:rsid w:val="00C06018"/>
    <w:rsid w:val="00C060BB"/>
    <w:rsid w:val="00C06143"/>
    <w:rsid w:val="00C06256"/>
    <w:rsid w:val="00C06285"/>
    <w:rsid w:val="00C06333"/>
    <w:rsid w:val="00C06349"/>
    <w:rsid w:val="00C0634D"/>
    <w:rsid w:val="00C065EA"/>
    <w:rsid w:val="00C06628"/>
    <w:rsid w:val="00C06971"/>
    <w:rsid w:val="00C069A6"/>
    <w:rsid w:val="00C06A05"/>
    <w:rsid w:val="00C06A47"/>
    <w:rsid w:val="00C06A6F"/>
    <w:rsid w:val="00C06B00"/>
    <w:rsid w:val="00C06C00"/>
    <w:rsid w:val="00C06C2B"/>
    <w:rsid w:val="00C06E22"/>
    <w:rsid w:val="00C06EC3"/>
    <w:rsid w:val="00C06EEC"/>
    <w:rsid w:val="00C06F77"/>
    <w:rsid w:val="00C070C9"/>
    <w:rsid w:val="00C075B9"/>
    <w:rsid w:val="00C075C7"/>
    <w:rsid w:val="00C07687"/>
    <w:rsid w:val="00C07855"/>
    <w:rsid w:val="00C079AB"/>
    <w:rsid w:val="00C079F0"/>
    <w:rsid w:val="00C07A30"/>
    <w:rsid w:val="00C07A39"/>
    <w:rsid w:val="00C07D98"/>
    <w:rsid w:val="00C07E00"/>
    <w:rsid w:val="00C07E6E"/>
    <w:rsid w:val="00C07EC2"/>
    <w:rsid w:val="00C07EC8"/>
    <w:rsid w:val="00C10394"/>
    <w:rsid w:val="00C10477"/>
    <w:rsid w:val="00C107EC"/>
    <w:rsid w:val="00C10A6A"/>
    <w:rsid w:val="00C10EC2"/>
    <w:rsid w:val="00C10F64"/>
    <w:rsid w:val="00C1117F"/>
    <w:rsid w:val="00C111CF"/>
    <w:rsid w:val="00C11462"/>
    <w:rsid w:val="00C1177B"/>
    <w:rsid w:val="00C11A00"/>
    <w:rsid w:val="00C11AD0"/>
    <w:rsid w:val="00C11C29"/>
    <w:rsid w:val="00C120DE"/>
    <w:rsid w:val="00C121AF"/>
    <w:rsid w:val="00C12232"/>
    <w:rsid w:val="00C12399"/>
    <w:rsid w:val="00C12422"/>
    <w:rsid w:val="00C12424"/>
    <w:rsid w:val="00C12530"/>
    <w:rsid w:val="00C12661"/>
    <w:rsid w:val="00C127F5"/>
    <w:rsid w:val="00C1284C"/>
    <w:rsid w:val="00C12927"/>
    <w:rsid w:val="00C12A98"/>
    <w:rsid w:val="00C12FCC"/>
    <w:rsid w:val="00C13131"/>
    <w:rsid w:val="00C13213"/>
    <w:rsid w:val="00C13338"/>
    <w:rsid w:val="00C133A0"/>
    <w:rsid w:val="00C13564"/>
    <w:rsid w:val="00C137C4"/>
    <w:rsid w:val="00C137EC"/>
    <w:rsid w:val="00C1384A"/>
    <w:rsid w:val="00C138A0"/>
    <w:rsid w:val="00C13A7A"/>
    <w:rsid w:val="00C13C2A"/>
    <w:rsid w:val="00C13D1B"/>
    <w:rsid w:val="00C13D80"/>
    <w:rsid w:val="00C13F7E"/>
    <w:rsid w:val="00C14073"/>
    <w:rsid w:val="00C14102"/>
    <w:rsid w:val="00C1413F"/>
    <w:rsid w:val="00C141D9"/>
    <w:rsid w:val="00C143E0"/>
    <w:rsid w:val="00C146CA"/>
    <w:rsid w:val="00C149C5"/>
    <w:rsid w:val="00C149E4"/>
    <w:rsid w:val="00C14A31"/>
    <w:rsid w:val="00C14B20"/>
    <w:rsid w:val="00C14B27"/>
    <w:rsid w:val="00C14B76"/>
    <w:rsid w:val="00C14C3E"/>
    <w:rsid w:val="00C14DC7"/>
    <w:rsid w:val="00C14E02"/>
    <w:rsid w:val="00C14FB3"/>
    <w:rsid w:val="00C14FF7"/>
    <w:rsid w:val="00C150D5"/>
    <w:rsid w:val="00C151A2"/>
    <w:rsid w:val="00C152C0"/>
    <w:rsid w:val="00C15323"/>
    <w:rsid w:val="00C15358"/>
    <w:rsid w:val="00C15403"/>
    <w:rsid w:val="00C155DC"/>
    <w:rsid w:val="00C1565D"/>
    <w:rsid w:val="00C157AF"/>
    <w:rsid w:val="00C15C35"/>
    <w:rsid w:val="00C15D71"/>
    <w:rsid w:val="00C15E54"/>
    <w:rsid w:val="00C15FA8"/>
    <w:rsid w:val="00C16056"/>
    <w:rsid w:val="00C1647C"/>
    <w:rsid w:val="00C16492"/>
    <w:rsid w:val="00C16499"/>
    <w:rsid w:val="00C1663C"/>
    <w:rsid w:val="00C16711"/>
    <w:rsid w:val="00C16861"/>
    <w:rsid w:val="00C169F2"/>
    <w:rsid w:val="00C16A7C"/>
    <w:rsid w:val="00C16B81"/>
    <w:rsid w:val="00C16CAF"/>
    <w:rsid w:val="00C16CCB"/>
    <w:rsid w:val="00C16CE9"/>
    <w:rsid w:val="00C16D27"/>
    <w:rsid w:val="00C16F84"/>
    <w:rsid w:val="00C17056"/>
    <w:rsid w:val="00C1708C"/>
    <w:rsid w:val="00C17186"/>
    <w:rsid w:val="00C171EE"/>
    <w:rsid w:val="00C177FA"/>
    <w:rsid w:val="00C17834"/>
    <w:rsid w:val="00C17931"/>
    <w:rsid w:val="00C179CB"/>
    <w:rsid w:val="00C17A53"/>
    <w:rsid w:val="00C17B81"/>
    <w:rsid w:val="00C17C66"/>
    <w:rsid w:val="00C17C6A"/>
    <w:rsid w:val="00C17C85"/>
    <w:rsid w:val="00C17D68"/>
    <w:rsid w:val="00C17EE6"/>
    <w:rsid w:val="00C17FD6"/>
    <w:rsid w:val="00C17FF7"/>
    <w:rsid w:val="00C202EA"/>
    <w:rsid w:val="00C20346"/>
    <w:rsid w:val="00C20375"/>
    <w:rsid w:val="00C2056A"/>
    <w:rsid w:val="00C20720"/>
    <w:rsid w:val="00C2073B"/>
    <w:rsid w:val="00C20862"/>
    <w:rsid w:val="00C208FC"/>
    <w:rsid w:val="00C20A0D"/>
    <w:rsid w:val="00C20D18"/>
    <w:rsid w:val="00C21107"/>
    <w:rsid w:val="00C2110C"/>
    <w:rsid w:val="00C21147"/>
    <w:rsid w:val="00C2115B"/>
    <w:rsid w:val="00C21205"/>
    <w:rsid w:val="00C21256"/>
    <w:rsid w:val="00C21387"/>
    <w:rsid w:val="00C2140D"/>
    <w:rsid w:val="00C2156A"/>
    <w:rsid w:val="00C21591"/>
    <w:rsid w:val="00C21744"/>
    <w:rsid w:val="00C2193D"/>
    <w:rsid w:val="00C21A56"/>
    <w:rsid w:val="00C21BDA"/>
    <w:rsid w:val="00C21C23"/>
    <w:rsid w:val="00C21D43"/>
    <w:rsid w:val="00C2222C"/>
    <w:rsid w:val="00C2224D"/>
    <w:rsid w:val="00C223A5"/>
    <w:rsid w:val="00C224CD"/>
    <w:rsid w:val="00C22624"/>
    <w:rsid w:val="00C229D0"/>
    <w:rsid w:val="00C22A6F"/>
    <w:rsid w:val="00C22B61"/>
    <w:rsid w:val="00C22C39"/>
    <w:rsid w:val="00C22C80"/>
    <w:rsid w:val="00C22CBC"/>
    <w:rsid w:val="00C22DED"/>
    <w:rsid w:val="00C22EC3"/>
    <w:rsid w:val="00C22F71"/>
    <w:rsid w:val="00C230A4"/>
    <w:rsid w:val="00C2313A"/>
    <w:rsid w:val="00C2349D"/>
    <w:rsid w:val="00C23644"/>
    <w:rsid w:val="00C2365D"/>
    <w:rsid w:val="00C236AE"/>
    <w:rsid w:val="00C23763"/>
    <w:rsid w:val="00C23956"/>
    <w:rsid w:val="00C23A15"/>
    <w:rsid w:val="00C23AAF"/>
    <w:rsid w:val="00C23BFB"/>
    <w:rsid w:val="00C23C3D"/>
    <w:rsid w:val="00C23C65"/>
    <w:rsid w:val="00C23CBB"/>
    <w:rsid w:val="00C23DEC"/>
    <w:rsid w:val="00C23EB7"/>
    <w:rsid w:val="00C23F12"/>
    <w:rsid w:val="00C23FAE"/>
    <w:rsid w:val="00C240D2"/>
    <w:rsid w:val="00C2425E"/>
    <w:rsid w:val="00C243DC"/>
    <w:rsid w:val="00C2448C"/>
    <w:rsid w:val="00C2459B"/>
    <w:rsid w:val="00C2467D"/>
    <w:rsid w:val="00C2468F"/>
    <w:rsid w:val="00C246D6"/>
    <w:rsid w:val="00C24793"/>
    <w:rsid w:val="00C249E4"/>
    <w:rsid w:val="00C249E7"/>
    <w:rsid w:val="00C24A3F"/>
    <w:rsid w:val="00C24A6F"/>
    <w:rsid w:val="00C24AE3"/>
    <w:rsid w:val="00C24B80"/>
    <w:rsid w:val="00C24CDF"/>
    <w:rsid w:val="00C24D74"/>
    <w:rsid w:val="00C24F56"/>
    <w:rsid w:val="00C24F77"/>
    <w:rsid w:val="00C254F4"/>
    <w:rsid w:val="00C2569E"/>
    <w:rsid w:val="00C2576C"/>
    <w:rsid w:val="00C25814"/>
    <w:rsid w:val="00C25A1E"/>
    <w:rsid w:val="00C25A36"/>
    <w:rsid w:val="00C25AD4"/>
    <w:rsid w:val="00C25AFC"/>
    <w:rsid w:val="00C25BF1"/>
    <w:rsid w:val="00C25F4E"/>
    <w:rsid w:val="00C260F8"/>
    <w:rsid w:val="00C261E8"/>
    <w:rsid w:val="00C26260"/>
    <w:rsid w:val="00C26308"/>
    <w:rsid w:val="00C26311"/>
    <w:rsid w:val="00C265AF"/>
    <w:rsid w:val="00C266CE"/>
    <w:rsid w:val="00C266F9"/>
    <w:rsid w:val="00C26758"/>
    <w:rsid w:val="00C26A97"/>
    <w:rsid w:val="00C26DD9"/>
    <w:rsid w:val="00C26F3B"/>
    <w:rsid w:val="00C273D2"/>
    <w:rsid w:val="00C27519"/>
    <w:rsid w:val="00C277F8"/>
    <w:rsid w:val="00C2781F"/>
    <w:rsid w:val="00C279DD"/>
    <w:rsid w:val="00C27AD6"/>
    <w:rsid w:val="00C27BAE"/>
    <w:rsid w:val="00C27D0B"/>
    <w:rsid w:val="00C27DDD"/>
    <w:rsid w:val="00C30054"/>
    <w:rsid w:val="00C3023F"/>
    <w:rsid w:val="00C304DC"/>
    <w:rsid w:val="00C3098E"/>
    <w:rsid w:val="00C30A95"/>
    <w:rsid w:val="00C30B7F"/>
    <w:rsid w:val="00C30BD8"/>
    <w:rsid w:val="00C30DC6"/>
    <w:rsid w:val="00C3103D"/>
    <w:rsid w:val="00C31187"/>
    <w:rsid w:val="00C31304"/>
    <w:rsid w:val="00C313A7"/>
    <w:rsid w:val="00C315D5"/>
    <w:rsid w:val="00C316DE"/>
    <w:rsid w:val="00C31788"/>
    <w:rsid w:val="00C31862"/>
    <w:rsid w:val="00C31C1A"/>
    <w:rsid w:val="00C31CB5"/>
    <w:rsid w:val="00C31F37"/>
    <w:rsid w:val="00C32191"/>
    <w:rsid w:val="00C321D3"/>
    <w:rsid w:val="00C3223E"/>
    <w:rsid w:val="00C3249B"/>
    <w:rsid w:val="00C324BE"/>
    <w:rsid w:val="00C32578"/>
    <w:rsid w:val="00C325A5"/>
    <w:rsid w:val="00C325E1"/>
    <w:rsid w:val="00C3265B"/>
    <w:rsid w:val="00C326A9"/>
    <w:rsid w:val="00C32758"/>
    <w:rsid w:val="00C329E0"/>
    <w:rsid w:val="00C32B5F"/>
    <w:rsid w:val="00C32CE8"/>
    <w:rsid w:val="00C32EAF"/>
    <w:rsid w:val="00C32EC7"/>
    <w:rsid w:val="00C32F92"/>
    <w:rsid w:val="00C3303A"/>
    <w:rsid w:val="00C33089"/>
    <w:rsid w:val="00C330A1"/>
    <w:rsid w:val="00C330B7"/>
    <w:rsid w:val="00C3322D"/>
    <w:rsid w:val="00C33354"/>
    <w:rsid w:val="00C3337A"/>
    <w:rsid w:val="00C33400"/>
    <w:rsid w:val="00C33538"/>
    <w:rsid w:val="00C335FB"/>
    <w:rsid w:val="00C339FD"/>
    <w:rsid w:val="00C33A6E"/>
    <w:rsid w:val="00C33BAA"/>
    <w:rsid w:val="00C33C07"/>
    <w:rsid w:val="00C33C57"/>
    <w:rsid w:val="00C33E0F"/>
    <w:rsid w:val="00C33EBA"/>
    <w:rsid w:val="00C33F29"/>
    <w:rsid w:val="00C34001"/>
    <w:rsid w:val="00C342C3"/>
    <w:rsid w:val="00C348CE"/>
    <w:rsid w:val="00C34B78"/>
    <w:rsid w:val="00C34C73"/>
    <w:rsid w:val="00C34DB6"/>
    <w:rsid w:val="00C34E75"/>
    <w:rsid w:val="00C34FE7"/>
    <w:rsid w:val="00C35000"/>
    <w:rsid w:val="00C3520D"/>
    <w:rsid w:val="00C352F6"/>
    <w:rsid w:val="00C3537A"/>
    <w:rsid w:val="00C35387"/>
    <w:rsid w:val="00C353E4"/>
    <w:rsid w:val="00C354B7"/>
    <w:rsid w:val="00C35590"/>
    <w:rsid w:val="00C35C4F"/>
    <w:rsid w:val="00C35D8B"/>
    <w:rsid w:val="00C36088"/>
    <w:rsid w:val="00C361FF"/>
    <w:rsid w:val="00C3629C"/>
    <w:rsid w:val="00C36385"/>
    <w:rsid w:val="00C36394"/>
    <w:rsid w:val="00C364A3"/>
    <w:rsid w:val="00C36812"/>
    <w:rsid w:val="00C36872"/>
    <w:rsid w:val="00C36920"/>
    <w:rsid w:val="00C36965"/>
    <w:rsid w:val="00C36AA4"/>
    <w:rsid w:val="00C36B2A"/>
    <w:rsid w:val="00C36C83"/>
    <w:rsid w:val="00C37213"/>
    <w:rsid w:val="00C37399"/>
    <w:rsid w:val="00C3741C"/>
    <w:rsid w:val="00C37698"/>
    <w:rsid w:val="00C376DA"/>
    <w:rsid w:val="00C37818"/>
    <w:rsid w:val="00C379B4"/>
    <w:rsid w:val="00C37DDF"/>
    <w:rsid w:val="00C37DE7"/>
    <w:rsid w:val="00C37FA9"/>
    <w:rsid w:val="00C37FAA"/>
    <w:rsid w:val="00C40041"/>
    <w:rsid w:val="00C4031B"/>
    <w:rsid w:val="00C40608"/>
    <w:rsid w:val="00C40739"/>
    <w:rsid w:val="00C4079A"/>
    <w:rsid w:val="00C408BE"/>
    <w:rsid w:val="00C409DD"/>
    <w:rsid w:val="00C40B26"/>
    <w:rsid w:val="00C40B4D"/>
    <w:rsid w:val="00C40C54"/>
    <w:rsid w:val="00C40D00"/>
    <w:rsid w:val="00C40F3F"/>
    <w:rsid w:val="00C40F4C"/>
    <w:rsid w:val="00C40FA5"/>
    <w:rsid w:val="00C4139D"/>
    <w:rsid w:val="00C413BF"/>
    <w:rsid w:val="00C41581"/>
    <w:rsid w:val="00C415DE"/>
    <w:rsid w:val="00C4166C"/>
    <w:rsid w:val="00C4176A"/>
    <w:rsid w:val="00C41894"/>
    <w:rsid w:val="00C41947"/>
    <w:rsid w:val="00C41C2E"/>
    <w:rsid w:val="00C41C66"/>
    <w:rsid w:val="00C41E9B"/>
    <w:rsid w:val="00C41EE9"/>
    <w:rsid w:val="00C4200E"/>
    <w:rsid w:val="00C4205D"/>
    <w:rsid w:val="00C42156"/>
    <w:rsid w:val="00C421FF"/>
    <w:rsid w:val="00C42213"/>
    <w:rsid w:val="00C424A3"/>
    <w:rsid w:val="00C426C9"/>
    <w:rsid w:val="00C4283A"/>
    <w:rsid w:val="00C42984"/>
    <w:rsid w:val="00C42ABD"/>
    <w:rsid w:val="00C42B0C"/>
    <w:rsid w:val="00C42C64"/>
    <w:rsid w:val="00C42D14"/>
    <w:rsid w:val="00C42DA2"/>
    <w:rsid w:val="00C42DD8"/>
    <w:rsid w:val="00C42EEE"/>
    <w:rsid w:val="00C42FB8"/>
    <w:rsid w:val="00C43064"/>
    <w:rsid w:val="00C432B2"/>
    <w:rsid w:val="00C432C3"/>
    <w:rsid w:val="00C436DA"/>
    <w:rsid w:val="00C4378C"/>
    <w:rsid w:val="00C4395A"/>
    <w:rsid w:val="00C43BD2"/>
    <w:rsid w:val="00C43C8D"/>
    <w:rsid w:val="00C43DC8"/>
    <w:rsid w:val="00C43DCE"/>
    <w:rsid w:val="00C43E24"/>
    <w:rsid w:val="00C440DE"/>
    <w:rsid w:val="00C441B8"/>
    <w:rsid w:val="00C441C4"/>
    <w:rsid w:val="00C44337"/>
    <w:rsid w:val="00C44474"/>
    <w:rsid w:val="00C444DB"/>
    <w:rsid w:val="00C44607"/>
    <w:rsid w:val="00C44742"/>
    <w:rsid w:val="00C4490C"/>
    <w:rsid w:val="00C44B29"/>
    <w:rsid w:val="00C44B95"/>
    <w:rsid w:val="00C44CF4"/>
    <w:rsid w:val="00C44D42"/>
    <w:rsid w:val="00C44F39"/>
    <w:rsid w:val="00C450FA"/>
    <w:rsid w:val="00C452B1"/>
    <w:rsid w:val="00C4538D"/>
    <w:rsid w:val="00C45652"/>
    <w:rsid w:val="00C45743"/>
    <w:rsid w:val="00C459EB"/>
    <w:rsid w:val="00C45B05"/>
    <w:rsid w:val="00C45B08"/>
    <w:rsid w:val="00C45CA8"/>
    <w:rsid w:val="00C45D85"/>
    <w:rsid w:val="00C45EF3"/>
    <w:rsid w:val="00C4610A"/>
    <w:rsid w:val="00C46183"/>
    <w:rsid w:val="00C4623D"/>
    <w:rsid w:val="00C46288"/>
    <w:rsid w:val="00C4637F"/>
    <w:rsid w:val="00C463E3"/>
    <w:rsid w:val="00C46579"/>
    <w:rsid w:val="00C465E8"/>
    <w:rsid w:val="00C4663A"/>
    <w:rsid w:val="00C467C8"/>
    <w:rsid w:val="00C4680F"/>
    <w:rsid w:val="00C46869"/>
    <w:rsid w:val="00C468A4"/>
    <w:rsid w:val="00C46A7A"/>
    <w:rsid w:val="00C46C8A"/>
    <w:rsid w:val="00C4726B"/>
    <w:rsid w:val="00C472A1"/>
    <w:rsid w:val="00C472CB"/>
    <w:rsid w:val="00C4733A"/>
    <w:rsid w:val="00C47766"/>
    <w:rsid w:val="00C47840"/>
    <w:rsid w:val="00C479B3"/>
    <w:rsid w:val="00C47B11"/>
    <w:rsid w:val="00C47B32"/>
    <w:rsid w:val="00C47BAD"/>
    <w:rsid w:val="00C47D30"/>
    <w:rsid w:val="00C47F86"/>
    <w:rsid w:val="00C47FBE"/>
    <w:rsid w:val="00C50047"/>
    <w:rsid w:val="00C50048"/>
    <w:rsid w:val="00C5030C"/>
    <w:rsid w:val="00C5066B"/>
    <w:rsid w:val="00C50720"/>
    <w:rsid w:val="00C50738"/>
    <w:rsid w:val="00C5076C"/>
    <w:rsid w:val="00C50973"/>
    <w:rsid w:val="00C50ABA"/>
    <w:rsid w:val="00C50BC9"/>
    <w:rsid w:val="00C50DF4"/>
    <w:rsid w:val="00C50F6E"/>
    <w:rsid w:val="00C51105"/>
    <w:rsid w:val="00C5119F"/>
    <w:rsid w:val="00C511B8"/>
    <w:rsid w:val="00C512BE"/>
    <w:rsid w:val="00C51395"/>
    <w:rsid w:val="00C513C0"/>
    <w:rsid w:val="00C5155E"/>
    <w:rsid w:val="00C51606"/>
    <w:rsid w:val="00C51889"/>
    <w:rsid w:val="00C51AA7"/>
    <w:rsid w:val="00C51F67"/>
    <w:rsid w:val="00C52081"/>
    <w:rsid w:val="00C5217F"/>
    <w:rsid w:val="00C52213"/>
    <w:rsid w:val="00C5231B"/>
    <w:rsid w:val="00C5236F"/>
    <w:rsid w:val="00C5239B"/>
    <w:rsid w:val="00C523F4"/>
    <w:rsid w:val="00C5244D"/>
    <w:rsid w:val="00C52581"/>
    <w:rsid w:val="00C526A3"/>
    <w:rsid w:val="00C526C9"/>
    <w:rsid w:val="00C5271C"/>
    <w:rsid w:val="00C52764"/>
    <w:rsid w:val="00C528AA"/>
    <w:rsid w:val="00C52ADB"/>
    <w:rsid w:val="00C52B9C"/>
    <w:rsid w:val="00C52C4B"/>
    <w:rsid w:val="00C52C7F"/>
    <w:rsid w:val="00C52CAE"/>
    <w:rsid w:val="00C52CB8"/>
    <w:rsid w:val="00C52F76"/>
    <w:rsid w:val="00C530DA"/>
    <w:rsid w:val="00C530F4"/>
    <w:rsid w:val="00C53216"/>
    <w:rsid w:val="00C5327C"/>
    <w:rsid w:val="00C53328"/>
    <w:rsid w:val="00C5342A"/>
    <w:rsid w:val="00C53462"/>
    <w:rsid w:val="00C5352C"/>
    <w:rsid w:val="00C53555"/>
    <w:rsid w:val="00C536FA"/>
    <w:rsid w:val="00C537C7"/>
    <w:rsid w:val="00C539F7"/>
    <w:rsid w:val="00C53A73"/>
    <w:rsid w:val="00C53BCE"/>
    <w:rsid w:val="00C53ED6"/>
    <w:rsid w:val="00C53EED"/>
    <w:rsid w:val="00C543A9"/>
    <w:rsid w:val="00C543B4"/>
    <w:rsid w:val="00C543D8"/>
    <w:rsid w:val="00C54541"/>
    <w:rsid w:val="00C545A6"/>
    <w:rsid w:val="00C545EA"/>
    <w:rsid w:val="00C5468A"/>
    <w:rsid w:val="00C54BE5"/>
    <w:rsid w:val="00C54C66"/>
    <w:rsid w:val="00C54E01"/>
    <w:rsid w:val="00C54E2B"/>
    <w:rsid w:val="00C5518D"/>
    <w:rsid w:val="00C55716"/>
    <w:rsid w:val="00C55726"/>
    <w:rsid w:val="00C557A6"/>
    <w:rsid w:val="00C559C6"/>
    <w:rsid w:val="00C55A0F"/>
    <w:rsid w:val="00C55B2F"/>
    <w:rsid w:val="00C55D0D"/>
    <w:rsid w:val="00C55D3A"/>
    <w:rsid w:val="00C55F99"/>
    <w:rsid w:val="00C5609D"/>
    <w:rsid w:val="00C560BB"/>
    <w:rsid w:val="00C561BD"/>
    <w:rsid w:val="00C56207"/>
    <w:rsid w:val="00C56723"/>
    <w:rsid w:val="00C56893"/>
    <w:rsid w:val="00C5699A"/>
    <w:rsid w:val="00C569D3"/>
    <w:rsid w:val="00C569F3"/>
    <w:rsid w:val="00C56A55"/>
    <w:rsid w:val="00C56B77"/>
    <w:rsid w:val="00C56C9B"/>
    <w:rsid w:val="00C56DFE"/>
    <w:rsid w:val="00C56ECD"/>
    <w:rsid w:val="00C56F6F"/>
    <w:rsid w:val="00C57015"/>
    <w:rsid w:val="00C57147"/>
    <w:rsid w:val="00C57282"/>
    <w:rsid w:val="00C57513"/>
    <w:rsid w:val="00C577DA"/>
    <w:rsid w:val="00C5784B"/>
    <w:rsid w:val="00C5789F"/>
    <w:rsid w:val="00C5794A"/>
    <w:rsid w:val="00C57977"/>
    <w:rsid w:val="00C57B83"/>
    <w:rsid w:val="00C57C2B"/>
    <w:rsid w:val="00C57D71"/>
    <w:rsid w:val="00C6028A"/>
    <w:rsid w:val="00C60386"/>
    <w:rsid w:val="00C603B9"/>
    <w:rsid w:val="00C604C9"/>
    <w:rsid w:val="00C60826"/>
    <w:rsid w:val="00C60828"/>
    <w:rsid w:val="00C60928"/>
    <w:rsid w:val="00C609C7"/>
    <w:rsid w:val="00C60A26"/>
    <w:rsid w:val="00C60A8F"/>
    <w:rsid w:val="00C60CAD"/>
    <w:rsid w:val="00C61027"/>
    <w:rsid w:val="00C61043"/>
    <w:rsid w:val="00C61045"/>
    <w:rsid w:val="00C61069"/>
    <w:rsid w:val="00C611AE"/>
    <w:rsid w:val="00C61262"/>
    <w:rsid w:val="00C612A4"/>
    <w:rsid w:val="00C6165E"/>
    <w:rsid w:val="00C6166A"/>
    <w:rsid w:val="00C616DA"/>
    <w:rsid w:val="00C61975"/>
    <w:rsid w:val="00C619B9"/>
    <w:rsid w:val="00C61A92"/>
    <w:rsid w:val="00C61BD3"/>
    <w:rsid w:val="00C61C37"/>
    <w:rsid w:val="00C61D0D"/>
    <w:rsid w:val="00C61E73"/>
    <w:rsid w:val="00C61F91"/>
    <w:rsid w:val="00C6230B"/>
    <w:rsid w:val="00C62449"/>
    <w:rsid w:val="00C62726"/>
    <w:rsid w:val="00C6272E"/>
    <w:rsid w:val="00C62793"/>
    <w:rsid w:val="00C6287A"/>
    <w:rsid w:val="00C628B2"/>
    <w:rsid w:val="00C62A87"/>
    <w:rsid w:val="00C62A89"/>
    <w:rsid w:val="00C62CD0"/>
    <w:rsid w:val="00C62FBD"/>
    <w:rsid w:val="00C63049"/>
    <w:rsid w:val="00C632C6"/>
    <w:rsid w:val="00C6330B"/>
    <w:rsid w:val="00C63339"/>
    <w:rsid w:val="00C63450"/>
    <w:rsid w:val="00C63554"/>
    <w:rsid w:val="00C635CE"/>
    <w:rsid w:val="00C6364E"/>
    <w:rsid w:val="00C638F6"/>
    <w:rsid w:val="00C63900"/>
    <w:rsid w:val="00C63961"/>
    <w:rsid w:val="00C63B1A"/>
    <w:rsid w:val="00C63C58"/>
    <w:rsid w:val="00C63F9D"/>
    <w:rsid w:val="00C63FE6"/>
    <w:rsid w:val="00C641B3"/>
    <w:rsid w:val="00C64422"/>
    <w:rsid w:val="00C644BC"/>
    <w:rsid w:val="00C6460D"/>
    <w:rsid w:val="00C647CF"/>
    <w:rsid w:val="00C64850"/>
    <w:rsid w:val="00C6497C"/>
    <w:rsid w:val="00C64C73"/>
    <w:rsid w:val="00C65284"/>
    <w:rsid w:val="00C652C7"/>
    <w:rsid w:val="00C656EB"/>
    <w:rsid w:val="00C65754"/>
    <w:rsid w:val="00C65B58"/>
    <w:rsid w:val="00C65D55"/>
    <w:rsid w:val="00C65E4A"/>
    <w:rsid w:val="00C65FB2"/>
    <w:rsid w:val="00C66136"/>
    <w:rsid w:val="00C66210"/>
    <w:rsid w:val="00C662A0"/>
    <w:rsid w:val="00C662DC"/>
    <w:rsid w:val="00C662F0"/>
    <w:rsid w:val="00C664A5"/>
    <w:rsid w:val="00C6652B"/>
    <w:rsid w:val="00C6679A"/>
    <w:rsid w:val="00C6679D"/>
    <w:rsid w:val="00C669A0"/>
    <w:rsid w:val="00C66A9E"/>
    <w:rsid w:val="00C66BB4"/>
    <w:rsid w:val="00C66C24"/>
    <w:rsid w:val="00C66C76"/>
    <w:rsid w:val="00C66CE9"/>
    <w:rsid w:val="00C66DA1"/>
    <w:rsid w:val="00C66DD6"/>
    <w:rsid w:val="00C66E94"/>
    <w:rsid w:val="00C66F78"/>
    <w:rsid w:val="00C670D9"/>
    <w:rsid w:val="00C67142"/>
    <w:rsid w:val="00C671CB"/>
    <w:rsid w:val="00C6721C"/>
    <w:rsid w:val="00C6722A"/>
    <w:rsid w:val="00C67267"/>
    <w:rsid w:val="00C6726A"/>
    <w:rsid w:val="00C67459"/>
    <w:rsid w:val="00C67488"/>
    <w:rsid w:val="00C674D0"/>
    <w:rsid w:val="00C675C3"/>
    <w:rsid w:val="00C6767E"/>
    <w:rsid w:val="00C67703"/>
    <w:rsid w:val="00C67946"/>
    <w:rsid w:val="00C67A5B"/>
    <w:rsid w:val="00C67C56"/>
    <w:rsid w:val="00C67D9F"/>
    <w:rsid w:val="00C67E4A"/>
    <w:rsid w:val="00C70019"/>
    <w:rsid w:val="00C70315"/>
    <w:rsid w:val="00C7041E"/>
    <w:rsid w:val="00C70462"/>
    <w:rsid w:val="00C704E0"/>
    <w:rsid w:val="00C70817"/>
    <w:rsid w:val="00C70A68"/>
    <w:rsid w:val="00C70CBD"/>
    <w:rsid w:val="00C70DD2"/>
    <w:rsid w:val="00C70E4B"/>
    <w:rsid w:val="00C71268"/>
    <w:rsid w:val="00C7129E"/>
    <w:rsid w:val="00C7141B"/>
    <w:rsid w:val="00C71439"/>
    <w:rsid w:val="00C7145D"/>
    <w:rsid w:val="00C7171F"/>
    <w:rsid w:val="00C71736"/>
    <w:rsid w:val="00C7173B"/>
    <w:rsid w:val="00C71A13"/>
    <w:rsid w:val="00C71A7C"/>
    <w:rsid w:val="00C71BF5"/>
    <w:rsid w:val="00C71EA6"/>
    <w:rsid w:val="00C71F84"/>
    <w:rsid w:val="00C72113"/>
    <w:rsid w:val="00C72216"/>
    <w:rsid w:val="00C72273"/>
    <w:rsid w:val="00C724CA"/>
    <w:rsid w:val="00C7257A"/>
    <w:rsid w:val="00C7259D"/>
    <w:rsid w:val="00C72761"/>
    <w:rsid w:val="00C7287F"/>
    <w:rsid w:val="00C72C32"/>
    <w:rsid w:val="00C72CAD"/>
    <w:rsid w:val="00C72D12"/>
    <w:rsid w:val="00C72D86"/>
    <w:rsid w:val="00C72D89"/>
    <w:rsid w:val="00C72E7F"/>
    <w:rsid w:val="00C72EA3"/>
    <w:rsid w:val="00C72ED4"/>
    <w:rsid w:val="00C72F35"/>
    <w:rsid w:val="00C73055"/>
    <w:rsid w:val="00C730B1"/>
    <w:rsid w:val="00C7316A"/>
    <w:rsid w:val="00C73210"/>
    <w:rsid w:val="00C73322"/>
    <w:rsid w:val="00C73360"/>
    <w:rsid w:val="00C73756"/>
    <w:rsid w:val="00C737FD"/>
    <w:rsid w:val="00C739B5"/>
    <w:rsid w:val="00C73D2F"/>
    <w:rsid w:val="00C73DE7"/>
    <w:rsid w:val="00C73E5F"/>
    <w:rsid w:val="00C73EE5"/>
    <w:rsid w:val="00C73EE8"/>
    <w:rsid w:val="00C741F2"/>
    <w:rsid w:val="00C74216"/>
    <w:rsid w:val="00C744DE"/>
    <w:rsid w:val="00C747BD"/>
    <w:rsid w:val="00C7483A"/>
    <w:rsid w:val="00C74887"/>
    <w:rsid w:val="00C74B0A"/>
    <w:rsid w:val="00C74CB0"/>
    <w:rsid w:val="00C7504F"/>
    <w:rsid w:val="00C750E0"/>
    <w:rsid w:val="00C75169"/>
    <w:rsid w:val="00C754D7"/>
    <w:rsid w:val="00C75723"/>
    <w:rsid w:val="00C75844"/>
    <w:rsid w:val="00C75916"/>
    <w:rsid w:val="00C759EA"/>
    <w:rsid w:val="00C75AB9"/>
    <w:rsid w:val="00C75AEE"/>
    <w:rsid w:val="00C75BB7"/>
    <w:rsid w:val="00C75BDE"/>
    <w:rsid w:val="00C75C51"/>
    <w:rsid w:val="00C75E3B"/>
    <w:rsid w:val="00C76026"/>
    <w:rsid w:val="00C7605A"/>
    <w:rsid w:val="00C766A2"/>
    <w:rsid w:val="00C7671C"/>
    <w:rsid w:val="00C767D6"/>
    <w:rsid w:val="00C769AC"/>
    <w:rsid w:val="00C76AF6"/>
    <w:rsid w:val="00C76B48"/>
    <w:rsid w:val="00C76B68"/>
    <w:rsid w:val="00C76C56"/>
    <w:rsid w:val="00C76D02"/>
    <w:rsid w:val="00C77267"/>
    <w:rsid w:val="00C772D6"/>
    <w:rsid w:val="00C774AE"/>
    <w:rsid w:val="00C77555"/>
    <w:rsid w:val="00C77660"/>
    <w:rsid w:val="00C7773B"/>
    <w:rsid w:val="00C777F8"/>
    <w:rsid w:val="00C77816"/>
    <w:rsid w:val="00C77853"/>
    <w:rsid w:val="00C77A32"/>
    <w:rsid w:val="00C77EE3"/>
    <w:rsid w:val="00C77FBB"/>
    <w:rsid w:val="00C800D7"/>
    <w:rsid w:val="00C80168"/>
    <w:rsid w:val="00C8022D"/>
    <w:rsid w:val="00C8026E"/>
    <w:rsid w:val="00C8030B"/>
    <w:rsid w:val="00C8035B"/>
    <w:rsid w:val="00C80361"/>
    <w:rsid w:val="00C803A9"/>
    <w:rsid w:val="00C805D1"/>
    <w:rsid w:val="00C80693"/>
    <w:rsid w:val="00C80855"/>
    <w:rsid w:val="00C8090F"/>
    <w:rsid w:val="00C80F6D"/>
    <w:rsid w:val="00C80FA1"/>
    <w:rsid w:val="00C810D9"/>
    <w:rsid w:val="00C810DB"/>
    <w:rsid w:val="00C812D1"/>
    <w:rsid w:val="00C8151D"/>
    <w:rsid w:val="00C81888"/>
    <w:rsid w:val="00C81A73"/>
    <w:rsid w:val="00C81C14"/>
    <w:rsid w:val="00C81DB0"/>
    <w:rsid w:val="00C81FF1"/>
    <w:rsid w:val="00C82031"/>
    <w:rsid w:val="00C820FA"/>
    <w:rsid w:val="00C82490"/>
    <w:rsid w:val="00C8279D"/>
    <w:rsid w:val="00C82843"/>
    <w:rsid w:val="00C82A36"/>
    <w:rsid w:val="00C82A4F"/>
    <w:rsid w:val="00C82AD4"/>
    <w:rsid w:val="00C8311E"/>
    <w:rsid w:val="00C8321C"/>
    <w:rsid w:val="00C83452"/>
    <w:rsid w:val="00C834F7"/>
    <w:rsid w:val="00C8360B"/>
    <w:rsid w:val="00C83622"/>
    <w:rsid w:val="00C83824"/>
    <w:rsid w:val="00C8395E"/>
    <w:rsid w:val="00C839C4"/>
    <w:rsid w:val="00C83BD8"/>
    <w:rsid w:val="00C83C4E"/>
    <w:rsid w:val="00C83CDD"/>
    <w:rsid w:val="00C83D66"/>
    <w:rsid w:val="00C83E53"/>
    <w:rsid w:val="00C83FA5"/>
    <w:rsid w:val="00C8409E"/>
    <w:rsid w:val="00C8425A"/>
    <w:rsid w:val="00C84299"/>
    <w:rsid w:val="00C842D1"/>
    <w:rsid w:val="00C84496"/>
    <w:rsid w:val="00C84791"/>
    <w:rsid w:val="00C847A2"/>
    <w:rsid w:val="00C849DE"/>
    <w:rsid w:val="00C84A0F"/>
    <w:rsid w:val="00C84A92"/>
    <w:rsid w:val="00C84AE8"/>
    <w:rsid w:val="00C84B35"/>
    <w:rsid w:val="00C84F36"/>
    <w:rsid w:val="00C85132"/>
    <w:rsid w:val="00C85334"/>
    <w:rsid w:val="00C853A4"/>
    <w:rsid w:val="00C85867"/>
    <w:rsid w:val="00C8586F"/>
    <w:rsid w:val="00C858F7"/>
    <w:rsid w:val="00C85904"/>
    <w:rsid w:val="00C8597D"/>
    <w:rsid w:val="00C85B1F"/>
    <w:rsid w:val="00C85B22"/>
    <w:rsid w:val="00C85B60"/>
    <w:rsid w:val="00C85B9F"/>
    <w:rsid w:val="00C85CAB"/>
    <w:rsid w:val="00C85D27"/>
    <w:rsid w:val="00C85F76"/>
    <w:rsid w:val="00C86082"/>
    <w:rsid w:val="00C860B0"/>
    <w:rsid w:val="00C8613E"/>
    <w:rsid w:val="00C8658A"/>
    <w:rsid w:val="00C8658D"/>
    <w:rsid w:val="00C865E5"/>
    <w:rsid w:val="00C8667F"/>
    <w:rsid w:val="00C866D3"/>
    <w:rsid w:val="00C867A0"/>
    <w:rsid w:val="00C8682D"/>
    <w:rsid w:val="00C86872"/>
    <w:rsid w:val="00C86AE3"/>
    <w:rsid w:val="00C86B75"/>
    <w:rsid w:val="00C86E19"/>
    <w:rsid w:val="00C86F28"/>
    <w:rsid w:val="00C86FEE"/>
    <w:rsid w:val="00C87080"/>
    <w:rsid w:val="00C87273"/>
    <w:rsid w:val="00C872B9"/>
    <w:rsid w:val="00C872FD"/>
    <w:rsid w:val="00C873D1"/>
    <w:rsid w:val="00C8740D"/>
    <w:rsid w:val="00C874A5"/>
    <w:rsid w:val="00C8767C"/>
    <w:rsid w:val="00C87C4A"/>
    <w:rsid w:val="00C87D2C"/>
    <w:rsid w:val="00C87DA6"/>
    <w:rsid w:val="00C87FB8"/>
    <w:rsid w:val="00C9011B"/>
    <w:rsid w:val="00C90284"/>
    <w:rsid w:val="00C902D2"/>
    <w:rsid w:val="00C903F9"/>
    <w:rsid w:val="00C90479"/>
    <w:rsid w:val="00C9068C"/>
    <w:rsid w:val="00C907EB"/>
    <w:rsid w:val="00C90810"/>
    <w:rsid w:val="00C90980"/>
    <w:rsid w:val="00C909DD"/>
    <w:rsid w:val="00C90A28"/>
    <w:rsid w:val="00C90B24"/>
    <w:rsid w:val="00C90B55"/>
    <w:rsid w:val="00C90C27"/>
    <w:rsid w:val="00C90D43"/>
    <w:rsid w:val="00C90E01"/>
    <w:rsid w:val="00C90E6C"/>
    <w:rsid w:val="00C90E8D"/>
    <w:rsid w:val="00C90EB5"/>
    <w:rsid w:val="00C911C8"/>
    <w:rsid w:val="00C91515"/>
    <w:rsid w:val="00C91520"/>
    <w:rsid w:val="00C9155D"/>
    <w:rsid w:val="00C919A2"/>
    <w:rsid w:val="00C91B8A"/>
    <w:rsid w:val="00C91BA9"/>
    <w:rsid w:val="00C91F15"/>
    <w:rsid w:val="00C92070"/>
    <w:rsid w:val="00C921D4"/>
    <w:rsid w:val="00C9222C"/>
    <w:rsid w:val="00C92236"/>
    <w:rsid w:val="00C9234E"/>
    <w:rsid w:val="00C92357"/>
    <w:rsid w:val="00C9256D"/>
    <w:rsid w:val="00C925B8"/>
    <w:rsid w:val="00C927D3"/>
    <w:rsid w:val="00C927F9"/>
    <w:rsid w:val="00C928BB"/>
    <w:rsid w:val="00C92B4F"/>
    <w:rsid w:val="00C92CFF"/>
    <w:rsid w:val="00C92E43"/>
    <w:rsid w:val="00C93049"/>
    <w:rsid w:val="00C933B5"/>
    <w:rsid w:val="00C93602"/>
    <w:rsid w:val="00C9363E"/>
    <w:rsid w:val="00C93838"/>
    <w:rsid w:val="00C93847"/>
    <w:rsid w:val="00C939A8"/>
    <w:rsid w:val="00C939BF"/>
    <w:rsid w:val="00C939F9"/>
    <w:rsid w:val="00C93A03"/>
    <w:rsid w:val="00C93DC1"/>
    <w:rsid w:val="00C93E79"/>
    <w:rsid w:val="00C93ED0"/>
    <w:rsid w:val="00C93F5F"/>
    <w:rsid w:val="00C9410A"/>
    <w:rsid w:val="00C94208"/>
    <w:rsid w:val="00C9437F"/>
    <w:rsid w:val="00C946F6"/>
    <w:rsid w:val="00C9477B"/>
    <w:rsid w:val="00C94792"/>
    <w:rsid w:val="00C947C7"/>
    <w:rsid w:val="00C948A1"/>
    <w:rsid w:val="00C94A88"/>
    <w:rsid w:val="00C94CFC"/>
    <w:rsid w:val="00C94D72"/>
    <w:rsid w:val="00C94E82"/>
    <w:rsid w:val="00C94F7A"/>
    <w:rsid w:val="00C94FE1"/>
    <w:rsid w:val="00C950C8"/>
    <w:rsid w:val="00C950D9"/>
    <w:rsid w:val="00C95103"/>
    <w:rsid w:val="00C9511B"/>
    <w:rsid w:val="00C9528B"/>
    <w:rsid w:val="00C953CD"/>
    <w:rsid w:val="00C9542D"/>
    <w:rsid w:val="00C955DC"/>
    <w:rsid w:val="00C956F8"/>
    <w:rsid w:val="00C95719"/>
    <w:rsid w:val="00C95C44"/>
    <w:rsid w:val="00C95FBF"/>
    <w:rsid w:val="00C961A2"/>
    <w:rsid w:val="00C961BA"/>
    <w:rsid w:val="00C962B2"/>
    <w:rsid w:val="00C963BC"/>
    <w:rsid w:val="00C9664F"/>
    <w:rsid w:val="00C96899"/>
    <w:rsid w:val="00C968A1"/>
    <w:rsid w:val="00C969F7"/>
    <w:rsid w:val="00C96A92"/>
    <w:rsid w:val="00C96ADD"/>
    <w:rsid w:val="00C96AF1"/>
    <w:rsid w:val="00C96B2E"/>
    <w:rsid w:val="00C96DB2"/>
    <w:rsid w:val="00C96FF0"/>
    <w:rsid w:val="00C971BE"/>
    <w:rsid w:val="00C97574"/>
    <w:rsid w:val="00C975AF"/>
    <w:rsid w:val="00C97615"/>
    <w:rsid w:val="00C97960"/>
    <w:rsid w:val="00C97A58"/>
    <w:rsid w:val="00C97AC8"/>
    <w:rsid w:val="00C97AD2"/>
    <w:rsid w:val="00C97B19"/>
    <w:rsid w:val="00C97C65"/>
    <w:rsid w:val="00C97DC0"/>
    <w:rsid w:val="00C97E45"/>
    <w:rsid w:val="00C97EDE"/>
    <w:rsid w:val="00C97F9A"/>
    <w:rsid w:val="00CA0013"/>
    <w:rsid w:val="00CA00EC"/>
    <w:rsid w:val="00CA02BE"/>
    <w:rsid w:val="00CA02C1"/>
    <w:rsid w:val="00CA0B1B"/>
    <w:rsid w:val="00CA0B27"/>
    <w:rsid w:val="00CA0BB0"/>
    <w:rsid w:val="00CA0C9C"/>
    <w:rsid w:val="00CA0CBC"/>
    <w:rsid w:val="00CA0E7C"/>
    <w:rsid w:val="00CA1117"/>
    <w:rsid w:val="00CA1233"/>
    <w:rsid w:val="00CA13CA"/>
    <w:rsid w:val="00CA161E"/>
    <w:rsid w:val="00CA1639"/>
    <w:rsid w:val="00CA196C"/>
    <w:rsid w:val="00CA19C2"/>
    <w:rsid w:val="00CA1B52"/>
    <w:rsid w:val="00CA1BF5"/>
    <w:rsid w:val="00CA1EA7"/>
    <w:rsid w:val="00CA1F11"/>
    <w:rsid w:val="00CA1FE3"/>
    <w:rsid w:val="00CA201F"/>
    <w:rsid w:val="00CA2091"/>
    <w:rsid w:val="00CA2175"/>
    <w:rsid w:val="00CA2537"/>
    <w:rsid w:val="00CA2704"/>
    <w:rsid w:val="00CA278D"/>
    <w:rsid w:val="00CA27CC"/>
    <w:rsid w:val="00CA2857"/>
    <w:rsid w:val="00CA292B"/>
    <w:rsid w:val="00CA2A7F"/>
    <w:rsid w:val="00CA2EC6"/>
    <w:rsid w:val="00CA30AB"/>
    <w:rsid w:val="00CA30F0"/>
    <w:rsid w:val="00CA317E"/>
    <w:rsid w:val="00CA3278"/>
    <w:rsid w:val="00CA345D"/>
    <w:rsid w:val="00CA3650"/>
    <w:rsid w:val="00CA369C"/>
    <w:rsid w:val="00CA369F"/>
    <w:rsid w:val="00CA3740"/>
    <w:rsid w:val="00CA374E"/>
    <w:rsid w:val="00CA3886"/>
    <w:rsid w:val="00CA3FFC"/>
    <w:rsid w:val="00CA41CF"/>
    <w:rsid w:val="00CA41DE"/>
    <w:rsid w:val="00CA4560"/>
    <w:rsid w:val="00CA46E4"/>
    <w:rsid w:val="00CA4744"/>
    <w:rsid w:val="00CA4BDF"/>
    <w:rsid w:val="00CA4FB0"/>
    <w:rsid w:val="00CA51C1"/>
    <w:rsid w:val="00CA5431"/>
    <w:rsid w:val="00CA54AE"/>
    <w:rsid w:val="00CA579F"/>
    <w:rsid w:val="00CA5848"/>
    <w:rsid w:val="00CA5942"/>
    <w:rsid w:val="00CA5A51"/>
    <w:rsid w:val="00CA5CC9"/>
    <w:rsid w:val="00CA5D0B"/>
    <w:rsid w:val="00CA5D4A"/>
    <w:rsid w:val="00CA5D88"/>
    <w:rsid w:val="00CA5E32"/>
    <w:rsid w:val="00CA6389"/>
    <w:rsid w:val="00CA6757"/>
    <w:rsid w:val="00CA67F8"/>
    <w:rsid w:val="00CA680B"/>
    <w:rsid w:val="00CA684D"/>
    <w:rsid w:val="00CA68DD"/>
    <w:rsid w:val="00CA6B36"/>
    <w:rsid w:val="00CA6C2D"/>
    <w:rsid w:val="00CA6D33"/>
    <w:rsid w:val="00CA6EE4"/>
    <w:rsid w:val="00CA6F23"/>
    <w:rsid w:val="00CA6FA5"/>
    <w:rsid w:val="00CA7111"/>
    <w:rsid w:val="00CA739E"/>
    <w:rsid w:val="00CA74D3"/>
    <w:rsid w:val="00CA7867"/>
    <w:rsid w:val="00CA7B7C"/>
    <w:rsid w:val="00CA7C48"/>
    <w:rsid w:val="00CA7DCE"/>
    <w:rsid w:val="00CA7E92"/>
    <w:rsid w:val="00CA7ED9"/>
    <w:rsid w:val="00CB0062"/>
    <w:rsid w:val="00CB00C7"/>
    <w:rsid w:val="00CB00F8"/>
    <w:rsid w:val="00CB011C"/>
    <w:rsid w:val="00CB0229"/>
    <w:rsid w:val="00CB0441"/>
    <w:rsid w:val="00CB055C"/>
    <w:rsid w:val="00CB056B"/>
    <w:rsid w:val="00CB063A"/>
    <w:rsid w:val="00CB080A"/>
    <w:rsid w:val="00CB0863"/>
    <w:rsid w:val="00CB0A43"/>
    <w:rsid w:val="00CB0AD1"/>
    <w:rsid w:val="00CB0CA7"/>
    <w:rsid w:val="00CB0E14"/>
    <w:rsid w:val="00CB0F7B"/>
    <w:rsid w:val="00CB1006"/>
    <w:rsid w:val="00CB11D1"/>
    <w:rsid w:val="00CB1224"/>
    <w:rsid w:val="00CB185B"/>
    <w:rsid w:val="00CB1C0B"/>
    <w:rsid w:val="00CB1E26"/>
    <w:rsid w:val="00CB1E3E"/>
    <w:rsid w:val="00CB2134"/>
    <w:rsid w:val="00CB2294"/>
    <w:rsid w:val="00CB22E7"/>
    <w:rsid w:val="00CB2390"/>
    <w:rsid w:val="00CB2624"/>
    <w:rsid w:val="00CB2676"/>
    <w:rsid w:val="00CB270D"/>
    <w:rsid w:val="00CB288F"/>
    <w:rsid w:val="00CB29BF"/>
    <w:rsid w:val="00CB2A00"/>
    <w:rsid w:val="00CB2A21"/>
    <w:rsid w:val="00CB2B4E"/>
    <w:rsid w:val="00CB2BC2"/>
    <w:rsid w:val="00CB2C02"/>
    <w:rsid w:val="00CB2CC4"/>
    <w:rsid w:val="00CB2E43"/>
    <w:rsid w:val="00CB2EB0"/>
    <w:rsid w:val="00CB2EB9"/>
    <w:rsid w:val="00CB2F80"/>
    <w:rsid w:val="00CB3165"/>
    <w:rsid w:val="00CB31A9"/>
    <w:rsid w:val="00CB33D4"/>
    <w:rsid w:val="00CB33EF"/>
    <w:rsid w:val="00CB34A4"/>
    <w:rsid w:val="00CB3804"/>
    <w:rsid w:val="00CB38A3"/>
    <w:rsid w:val="00CB38B7"/>
    <w:rsid w:val="00CB3B68"/>
    <w:rsid w:val="00CB3C84"/>
    <w:rsid w:val="00CB400E"/>
    <w:rsid w:val="00CB4176"/>
    <w:rsid w:val="00CB4204"/>
    <w:rsid w:val="00CB4239"/>
    <w:rsid w:val="00CB4312"/>
    <w:rsid w:val="00CB439C"/>
    <w:rsid w:val="00CB4496"/>
    <w:rsid w:val="00CB4533"/>
    <w:rsid w:val="00CB467B"/>
    <w:rsid w:val="00CB4731"/>
    <w:rsid w:val="00CB4777"/>
    <w:rsid w:val="00CB4871"/>
    <w:rsid w:val="00CB48AE"/>
    <w:rsid w:val="00CB48E3"/>
    <w:rsid w:val="00CB4A38"/>
    <w:rsid w:val="00CB4E0C"/>
    <w:rsid w:val="00CB4ECA"/>
    <w:rsid w:val="00CB5027"/>
    <w:rsid w:val="00CB5100"/>
    <w:rsid w:val="00CB51BA"/>
    <w:rsid w:val="00CB521C"/>
    <w:rsid w:val="00CB536B"/>
    <w:rsid w:val="00CB5379"/>
    <w:rsid w:val="00CB54D8"/>
    <w:rsid w:val="00CB5548"/>
    <w:rsid w:val="00CB559D"/>
    <w:rsid w:val="00CB56B2"/>
    <w:rsid w:val="00CB5762"/>
    <w:rsid w:val="00CB580C"/>
    <w:rsid w:val="00CB5B37"/>
    <w:rsid w:val="00CB5CCD"/>
    <w:rsid w:val="00CB5EC1"/>
    <w:rsid w:val="00CB6242"/>
    <w:rsid w:val="00CB63A5"/>
    <w:rsid w:val="00CB6403"/>
    <w:rsid w:val="00CB6493"/>
    <w:rsid w:val="00CB680E"/>
    <w:rsid w:val="00CB6970"/>
    <w:rsid w:val="00CB6CAD"/>
    <w:rsid w:val="00CB6D06"/>
    <w:rsid w:val="00CB6DBE"/>
    <w:rsid w:val="00CB6F02"/>
    <w:rsid w:val="00CB6F5B"/>
    <w:rsid w:val="00CB704D"/>
    <w:rsid w:val="00CB70B5"/>
    <w:rsid w:val="00CB72E5"/>
    <w:rsid w:val="00CB7389"/>
    <w:rsid w:val="00CB738F"/>
    <w:rsid w:val="00CB73C7"/>
    <w:rsid w:val="00CB7556"/>
    <w:rsid w:val="00CB79B3"/>
    <w:rsid w:val="00CB7A66"/>
    <w:rsid w:val="00CB7C7C"/>
    <w:rsid w:val="00CB7D0B"/>
    <w:rsid w:val="00CB7F8F"/>
    <w:rsid w:val="00CC01C8"/>
    <w:rsid w:val="00CC0441"/>
    <w:rsid w:val="00CC0486"/>
    <w:rsid w:val="00CC04E7"/>
    <w:rsid w:val="00CC059D"/>
    <w:rsid w:val="00CC086B"/>
    <w:rsid w:val="00CC089B"/>
    <w:rsid w:val="00CC090E"/>
    <w:rsid w:val="00CC09AD"/>
    <w:rsid w:val="00CC0AD1"/>
    <w:rsid w:val="00CC0AF1"/>
    <w:rsid w:val="00CC0C3E"/>
    <w:rsid w:val="00CC0DD5"/>
    <w:rsid w:val="00CC1003"/>
    <w:rsid w:val="00CC102D"/>
    <w:rsid w:val="00CC1130"/>
    <w:rsid w:val="00CC12C0"/>
    <w:rsid w:val="00CC13A3"/>
    <w:rsid w:val="00CC1541"/>
    <w:rsid w:val="00CC1751"/>
    <w:rsid w:val="00CC18E3"/>
    <w:rsid w:val="00CC18E5"/>
    <w:rsid w:val="00CC1A1E"/>
    <w:rsid w:val="00CC1AE1"/>
    <w:rsid w:val="00CC1B8F"/>
    <w:rsid w:val="00CC1D3F"/>
    <w:rsid w:val="00CC20E3"/>
    <w:rsid w:val="00CC2404"/>
    <w:rsid w:val="00CC24C9"/>
    <w:rsid w:val="00CC250A"/>
    <w:rsid w:val="00CC26C1"/>
    <w:rsid w:val="00CC2C0E"/>
    <w:rsid w:val="00CC2C3A"/>
    <w:rsid w:val="00CC2D56"/>
    <w:rsid w:val="00CC2D86"/>
    <w:rsid w:val="00CC2E30"/>
    <w:rsid w:val="00CC2E58"/>
    <w:rsid w:val="00CC2F73"/>
    <w:rsid w:val="00CC2FE8"/>
    <w:rsid w:val="00CC30AD"/>
    <w:rsid w:val="00CC34B1"/>
    <w:rsid w:val="00CC34D5"/>
    <w:rsid w:val="00CC34E2"/>
    <w:rsid w:val="00CC34F6"/>
    <w:rsid w:val="00CC3729"/>
    <w:rsid w:val="00CC376B"/>
    <w:rsid w:val="00CC37AD"/>
    <w:rsid w:val="00CC387D"/>
    <w:rsid w:val="00CC39C9"/>
    <w:rsid w:val="00CC3A85"/>
    <w:rsid w:val="00CC3D9F"/>
    <w:rsid w:val="00CC3FDD"/>
    <w:rsid w:val="00CC41D1"/>
    <w:rsid w:val="00CC42CC"/>
    <w:rsid w:val="00CC42E0"/>
    <w:rsid w:val="00CC431C"/>
    <w:rsid w:val="00CC43B4"/>
    <w:rsid w:val="00CC443D"/>
    <w:rsid w:val="00CC464C"/>
    <w:rsid w:val="00CC4695"/>
    <w:rsid w:val="00CC49C8"/>
    <w:rsid w:val="00CC4A39"/>
    <w:rsid w:val="00CC4A58"/>
    <w:rsid w:val="00CC4C40"/>
    <w:rsid w:val="00CC4EDF"/>
    <w:rsid w:val="00CC515F"/>
    <w:rsid w:val="00CC51F7"/>
    <w:rsid w:val="00CC523C"/>
    <w:rsid w:val="00CC5306"/>
    <w:rsid w:val="00CC532F"/>
    <w:rsid w:val="00CC5582"/>
    <w:rsid w:val="00CC5782"/>
    <w:rsid w:val="00CC57BE"/>
    <w:rsid w:val="00CC5848"/>
    <w:rsid w:val="00CC5928"/>
    <w:rsid w:val="00CC5DD4"/>
    <w:rsid w:val="00CC5F45"/>
    <w:rsid w:val="00CC5FA6"/>
    <w:rsid w:val="00CC6167"/>
    <w:rsid w:val="00CC61AB"/>
    <w:rsid w:val="00CC63C1"/>
    <w:rsid w:val="00CC66A4"/>
    <w:rsid w:val="00CC6A56"/>
    <w:rsid w:val="00CC6A72"/>
    <w:rsid w:val="00CC6A89"/>
    <w:rsid w:val="00CC6FE1"/>
    <w:rsid w:val="00CC7207"/>
    <w:rsid w:val="00CC74BF"/>
    <w:rsid w:val="00CC7568"/>
    <w:rsid w:val="00CC76C2"/>
    <w:rsid w:val="00CC7754"/>
    <w:rsid w:val="00CC7771"/>
    <w:rsid w:val="00CC7802"/>
    <w:rsid w:val="00CC7844"/>
    <w:rsid w:val="00CC7B47"/>
    <w:rsid w:val="00CC7DEB"/>
    <w:rsid w:val="00CC7F64"/>
    <w:rsid w:val="00CC7F6B"/>
    <w:rsid w:val="00CD00D8"/>
    <w:rsid w:val="00CD0146"/>
    <w:rsid w:val="00CD019E"/>
    <w:rsid w:val="00CD0346"/>
    <w:rsid w:val="00CD0426"/>
    <w:rsid w:val="00CD06C2"/>
    <w:rsid w:val="00CD0702"/>
    <w:rsid w:val="00CD08D2"/>
    <w:rsid w:val="00CD096A"/>
    <w:rsid w:val="00CD0DB8"/>
    <w:rsid w:val="00CD0EAC"/>
    <w:rsid w:val="00CD0FC3"/>
    <w:rsid w:val="00CD103D"/>
    <w:rsid w:val="00CD11CA"/>
    <w:rsid w:val="00CD1222"/>
    <w:rsid w:val="00CD1343"/>
    <w:rsid w:val="00CD13E9"/>
    <w:rsid w:val="00CD1439"/>
    <w:rsid w:val="00CD1712"/>
    <w:rsid w:val="00CD1724"/>
    <w:rsid w:val="00CD17B4"/>
    <w:rsid w:val="00CD1A7C"/>
    <w:rsid w:val="00CD1A7F"/>
    <w:rsid w:val="00CD1BC9"/>
    <w:rsid w:val="00CD1FF7"/>
    <w:rsid w:val="00CD22B8"/>
    <w:rsid w:val="00CD22F0"/>
    <w:rsid w:val="00CD23FE"/>
    <w:rsid w:val="00CD2406"/>
    <w:rsid w:val="00CD27FC"/>
    <w:rsid w:val="00CD2AEA"/>
    <w:rsid w:val="00CD2AF3"/>
    <w:rsid w:val="00CD2B09"/>
    <w:rsid w:val="00CD2BA5"/>
    <w:rsid w:val="00CD2BC0"/>
    <w:rsid w:val="00CD2C29"/>
    <w:rsid w:val="00CD2E59"/>
    <w:rsid w:val="00CD2F8E"/>
    <w:rsid w:val="00CD3245"/>
    <w:rsid w:val="00CD3316"/>
    <w:rsid w:val="00CD333E"/>
    <w:rsid w:val="00CD3386"/>
    <w:rsid w:val="00CD35B7"/>
    <w:rsid w:val="00CD35DF"/>
    <w:rsid w:val="00CD36A1"/>
    <w:rsid w:val="00CD3D4C"/>
    <w:rsid w:val="00CD3DB7"/>
    <w:rsid w:val="00CD3E0F"/>
    <w:rsid w:val="00CD3EA3"/>
    <w:rsid w:val="00CD3EFD"/>
    <w:rsid w:val="00CD3F3A"/>
    <w:rsid w:val="00CD3F61"/>
    <w:rsid w:val="00CD412A"/>
    <w:rsid w:val="00CD4421"/>
    <w:rsid w:val="00CD44ED"/>
    <w:rsid w:val="00CD485C"/>
    <w:rsid w:val="00CD49DB"/>
    <w:rsid w:val="00CD4AE9"/>
    <w:rsid w:val="00CD4B00"/>
    <w:rsid w:val="00CD4B68"/>
    <w:rsid w:val="00CD4C2A"/>
    <w:rsid w:val="00CD4D56"/>
    <w:rsid w:val="00CD4DFB"/>
    <w:rsid w:val="00CD4E73"/>
    <w:rsid w:val="00CD4F11"/>
    <w:rsid w:val="00CD4F44"/>
    <w:rsid w:val="00CD5095"/>
    <w:rsid w:val="00CD50C5"/>
    <w:rsid w:val="00CD5114"/>
    <w:rsid w:val="00CD528D"/>
    <w:rsid w:val="00CD52E1"/>
    <w:rsid w:val="00CD53BA"/>
    <w:rsid w:val="00CD55E6"/>
    <w:rsid w:val="00CD56A5"/>
    <w:rsid w:val="00CD57E4"/>
    <w:rsid w:val="00CD5A74"/>
    <w:rsid w:val="00CD5B42"/>
    <w:rsid w:val="00CD5C48"/>
    <w:rsid w:val="00CD5C9E"/>
    <w:rsid w:val="00CD5F52"/>
    <w:rsid w:val="00CD5F64"/>
    <w:rsid w:val="00CD602A"/>
    <w:rsid w:val="00CD6045"/>
    <w:rsid w:val="00CD6096"/>
    <w:rsid w:val="00CD63EF"/>
    <w:rsid w:val="00CD6406"/>
    <w:rsid w:val="00CD67BF"/>
    <w:rsid w:val="00CD6C94"/>
    <w:rsid w:val="00CD6D85"/>
    <w:rsid w:val="00CD6D8E"/>
    <w:rsid w:val="00CD6E38"/>
    <w:rsid w:val="00CD6E92"/>
    <w:rsid w:val="00CD70C0"/>
    <w:rsid w:val="00CD7191"/>
    <w:rsid w:val="00CD7200"/>
    <w:rsid w:val="00CD721A"/>
    <w:rsid w:val="00CD722A"/>
    <w:rsid w:val="00CD7357"/>
    <w:rsid w:val="00CD73DC"/>
    <w:rsid w:val="00CD740C"/>
    <w:rsid w:val="00CD7414"/>
    <w:rsid w:val="00CD7584"/>
    <w:rsid w:val="00CD76B9"/>
    <w:rsid w:val="00CD777F"/>
    <w:rsid w:val="00CD77C8"/>
    <w:rsid w:val="00CD7BD7"/>
    <w:rsid w:val="00CD7D8F"/>
    <w:rsid w:val="00CD7DDC"/>
    <w:rsid w:val="00CD7FC2"/>
    <w:rsid w:val="00CE0024"/>
    <w:rsid w:val="00CE00C8"/>
    <w:rsid w:val="00CE013F"/>
    <w:rsid w:val="00CE0201"/>
    <w:rsid w:val="00CE022E"/>
    <w:rsid w:val="00CE02C5"/>
    <w:rsid w:val="00CE057A"/>
    <w:rsid w:val="00CE0607"/>
    <w:rsid w:val="00CE06AF"/>
    <w:rsid w:val="00CE06F1"/>
    <w:rsid w:val="00CE082E"/>
    <w:rsid w:val="00CE08B1"/>
    <w:rsid w:val="00CE0DC4"/>
    <w:rsid w:val="00CE0F2A"/>
    <w:rsid w:val="00CE1259"/>
    <w:rsid w:val="00CE158D"/>
    <w:rsid w:val="00CE15D5"/>
    <w:rsid w:val="00CE1686"/>
    <w:rsid w:val="00CE16DE"/>
    <w:rsid w:val="00CE1800"/>
    <w:rsid w:val="00CE187A"/>
    <w:rsid w:val="00CE196D"/>
    <w:rsid w:val="00CE1A06"/>
    <w:rsid w:val="00CE1A83"/>
    <w:rsid w:val="00CE1CDE"/>
    <w:rsid w:val="00CE1E1E"/>
    <w:rsid w:val="00CE21BA"/>
    <w:rsid w:val="00CE21D3"/>
    <w:rsid w:val="00CE2499"/>
    <w:rsid w:val="00CE24BC"/>
    <w:rsid w:val="00CE2968"/>
    <w:rsid w:val="00CE2976"/>
    <w:rsid w:val="00CE29DB"/>
    <w:rsid w:val="00CE2C54"/>
    <w:rsid w:val="00CE2CD1"/>
    <w:rsid w:val="00CE2E6D"/>
    <w:rsid w:val="00CE3121"/>
    <w:rsid w:val="00CE324C"/>
    <w:rsid w:val="00CE34BC"/>
    <w:rsid w:val="00CE36ED"/>
    <w:rsid w:val="00CE37A4"/>
    <w:rsid w:val="00CE3933"/>
    <w:rsid w:val="00CE3979"/>
    <w:rsid w:val="00CE3C4A"/>
    <w:rsid w:val="00CE3D4D"/>
    <w:rsid w:val="00CE3EB6"/>
    <w:rsid w:val="00CE4088"/>
    <w:rsid w:val="00CE4443"/>
    <w:rsid w:val="00CE4730"/>
    <w:rsid w:val="00CE4895"/>
    <w:rsid w:val="00CE494D"/>
    <w:rsid w:val="00CE49B3"/>
    <w:rsid w:val="00CE4A35"/>
    <w:rsid w:val="00CE4AD1"/>
    <w:rsid w:val="00CE4B1F"/>
    <w:rsid w:val="00CE4BF1"/>
    <w:rsid w:val="00CE4CFD"/>
    <w:rsid w:val="00CE4D54"/>
    <w:rsid w:val="00CE4E2B"/>
    <w:rsid w:val="00CE4FBE"/>
    <w:rsid w:val="00CE51AE"/>
    <w:rsid w:val="00CE52BB"/>
    <w:rsid w:val="00CE53F3"/>
    <w:rsid w:val="00CE5477"/>
    <w:rsid w:val="00CE54C0"/>
    <w:rsid w:val="00CE5528"/>
    <w:rsid w:val="00CE5755"/>
    <w:rsid w:val="00CE5775"/>
    <w:rsid w:val="00CE5897"/>
    <w:rsid w:val="00CE58AB"/>
    <w:rsid w:val="00CE5A10"/>
    <w:rsid w:val="00CE5ABF"/>
    <w:rsid w:val="00CE5C84"/>
    <w:rsid w:val="00CE5D5B"/>
    <w:rsid w:val="00CE5F27"/>
    <w:rsid w:val="00CE5F39"/>
    <w:rsid w:val="00CE5F60"/>
    <w:rsid w:val="00CE5FBA"/>
    <w:rsid w:val="00CE5FF4"/>
    <w:rsid w:val="00CE6030"/>
    <w:rsid w:val="00CE61F2"/>
    <w:rsid w:val="00CE6592"/>
    <w:rsid w:val="00CE66AE"/>
    <w:rsid w:val="00CE66B2"/>
    <w:rsid w:val="00CE67AB"/>
    <w:rsid w:val="00CE681F"/>
    <w:rsid w:val="00CE692E"/>
    <w:rsid w:val="00CE6931"/>
    <w:rsid w:val="00CE6947"/>
    <w:rsid w:val="00CE6B9B"/>
    <w:rsid w:val="00CE6B9F"/>
    <w:rsid w:val="00CE6D08"/>
    <w:rsid w:val="00CE71A3"/>
    <w:rsid w:val="00CE72CB"/>
    <w:rsid w:val="00CE72D7"/>
    <w:rsid w:val="00CE739B"/>
    <w:rsid w:val="00CE7593"/>
    <w:rsid w:val="00CE76A6"/>
    <w:rsid w:val="00CE76E5"/>
    <w:rsid w:val="00CE7969"/>
    <w:rsid w:val="00CE7C21"/>
    <w:rsid w:val="00CE7D48"/>
    <w:rsid w:val="00CE7E9F"/>
    <w:rsid w:val="00CF0300"/>
    <w:rsid w:val="00CF03A5"/>
    <w:rsid w:val="00CF03C3"/>
    <w:rsid w:val="00CF03DF"/>
    <w:rsid w:val="00CF089F"/>
    <w:rsid w:val="00CF099B"/>
    <w:rsid w:val="00CF0B16"/>
    <w:rsid w:val="00CF0B30"/>
    <w:rsid w:val="00CF0E45"/>
    <w:rsid w:val="00CF0FB9"/>
    <w:rsid w:val="00CF1003"/>
    <w:rsid w:val="00CF1011"/>
    <w:rsid w:val="00CF1106"/>
    <w:rsid w:val="00CF1111"/>
    <w:rsid w:val="00CF13A3"/>
    <w:rsid w:val="00CF13B1"/>
    <w:rsid w:val="00CF15DF"/>
    <w:rsid w:val="00CF16F6"/>
    <w:rsid w:val="00CF174E"/>
    <w:rsid w:val="00CF17CA"/>
    <w:rsid w:val="00CF18CE"/>
    <w:rsid w:val="00CF1D7B"/>
    <w:rsid w:val="00CF1FAD"/>
    <w:rsid w:val="00CF1FB3"/>
    <w:rsid w:val="00CF1FFA"/>
    <w:rsid w:val="00CF2059"/>
    <w:rsid w:val="00CF2062"/>
    <w:rsid w:val="00CF22C4"/>
    <w:rsid w:val="00CF2577"/>
    <w:rsid w:val="00CF2608"/>
    <w:rsid w:val="00CF27E9"/>
    <w:rsid w:val="00CF2B3C"/>
    <w:rsid w:val="00CF2B54"/>
    <w:rsid w:val="00CF2ED8"/>
    <w:rsid w:val="00CF2F35"/>
    <w:rsid w:val="00CF2FC7"/>
    <w:rsid w:val="00CF3076"/>
    <w:rsid w:val="00CF3087"/>
    <w:rsid w:val="00CF314E"/>
    <w:rsid w:val="00CF35DB"/>
    <w:rsid w:val="00CF36D6"/>
    <w:rsid w:val="00CF3987"/>
    <w:rsid w:val="00CF3BAE"/>
    <w:rsid w:val="00CF3BBA"/>
    <w:rsid w:val="00CF415B"/>
    <w:rsid w:val="00CF440B"/>
    <w:rsid w:val="00CF47A4"/>
    <w:rsid w:val="00CF4891"/>
    <w:rsid w:val="00CF4C56"/>
    <w:rsid w:val="00CF4CD9"/>
    <w:rsid w:val="00CF510F"/>
    <w:rsid w:val="00CF51CF"/>
    <w:rsid w:val="00CF5262"/>
    <w:rsid w:val="00CF52E9"/>
    <w:rsid w:val="00CF5337"/>
    <w:rsid w:val="00CF538E"/>
    <w:rsid w:val="00CF547F"/>
    <w:rsid w:val="00CF564D"/>
    <w:rsid w:val="00CF56BA"/>
    <w:rsid w:val="00CF56E0"/>
    <w:rsid w:val="00CF5840"/>
    <w:rsid w:val="00CF5860"/>
    <w:rsid w:val="00CF5979"/>
    <w:rsid w:val="00CF59F4"/>
    <w:rsid w:val="00CF5B35"/>
    <w:rsid w:val="00CF5C1C"/>
    <w:rsid w:val="00CF5CD0"/>
    <w:rsid w:val="00CF6067"/>
    <w:rsid w:val="00CF62CF"/>
    <w:rsid w:val="00CF636B"/>
    <w:rsid w:val="00CF63A4"/>
    <w:rsid w:val="00CF65B6"/>
    <w:rsid w:val="00CF6707"/>
    <w:rsid w:val="00CF6A70"/>
    <w:rsid w:val="00CF6AA6"/>
    <w:rsid w:val="00CF6B64"/>
    <w:rsid w:val="00CF6BA8"/>
    <w:rsid w:val="00CF6BE9"/>
    <w:rsid w:val="00CF6CAC"/>
    <w:rsid w:val="00CF6D46"/>
    <w:rsid w:val="00CF6E63"/>
    <w:rsid w:val="00CF6E90"/>
    <w:rsid w:val="00CF7254"/>
    <w:rsid w:val="00CF7271"/>
    <w:rsid w:val="00CF7318"/>
    <w:rsid w:val="00CF7337"/>
    <w:rsid w:val="00CF7351"/>
    <w:rsid w:val="00CF75D1"/>
    <w:rsid w:val="00CF7632"/>
    <w:rsid w:val="00CF7858"/>
    <w:rsid w:val="00CF7869"/>
    <w:rsid w:val="00CF7910"/>
    <w:rsid w:val="00CF7A9F"/>
    <w:rsid w:val="00CF7ABA"/>
    <w:rsid w:val="00CF7DD2"/>
    <w:rsid w:val="00CF7DE7"/>
    <w:rsid w:val="00CF7E43"/>
    <w:rsid w:val="00CF7E8C"/>
    <w:rsid w:val="00CF86BC"/>
    <w:rsid w:val="00D000E9"/>
    <w:rsid w:val="00D00124"/>
    <w:rsid w:val="00D0048A"/>
    <w:rsid w:val="00D004B3"/>
    <w:rsid w:val="00D006C4"/>
    <w:rsid w:val="00D007D5"/>
    <w:rsid w:val="00D007FE"/>
    <w:rsid w:val="00D009E9"/>
    <w:rsid w:val="00D00A1E"/>
    <w:rsid w:val="00D00B62"/>
    <w:rsid w:val="00D00EB3"/>
    <w:rsid w:val="00D01114"/>
    <w:rsid w:val="00D0123D"/>
    <w:rsid w:val="00D0141A"/>
    <w:rsid w:val="00D01525"/>
    <w:rsid w:val="00D015C1"/>
    <w:rsid w:val="00D0185B"/>
    <w:rsid w:val="00D01A8F"/>
    <w:rsid w:val="00D01BE5"/>
    <w:rsid w:val="00D01BEB"/>
    <w:rsid w:val="00D01D5B"/>
    <w:rsid w:val="00D01E17"/>
    <w:rsid w:val="00D01FBD"/>
    <w:rsid w:val="00D02122"/>
    <w:rsid w:val="00D021A3"/>
    <w:rsid w:val="00D0222E"/>
    <w:rsid w:val="00D02317"/>
    <w:rsid w:val="00D023F5"/>
    <w:rsid w:val="00D02563"/>
    <w:rsid w:val="00D02863"/>
    <w:rsid w:val="00D02C55"/>
    <w:rsid w:val="00D02CC1"/>
    <w:rsid w:val="00D0328C"/>
    <w:rsid w:val="00D03369"/>
    <w:rsid w:val="00D0345C"/>
    <w:rsid w:val="00D0348B"/>
    <w:rsid w:val="00D035FA"/>
    <w:rsid w:val="00D03A0B"/>
    <w:rsid w:val="00D03A55"/>
    <w:rsid w:val="00D03C63"/>
    <w:rsid w:val="00D03DB8"/>
    <w:rsid w:val="00D03E10"/>
    <w:rsid w:val="00D03EFE"/>
    <w:rsid w:val="00D0431E"/>
    <w:rsid w:val="00D045A7"/>
    <w:rsid w:val="00D0474F"/>
    <w:rsid w:val="00D04752"/>
    <w:rsid w:val="00D047E3"/>
    <w:rsid w:val="00D0484E"/>
    <w:rsid w:val="00D049D9"/>
    <w:rsid w:val="00D04E76"/>
    <w:rsid w:val="00D04EAD"/>
    <w:rsid w:val="00D04EC2"/>
    <w:rsid w:val="00D04EE4"/>
    <w:rsid w:val="00D04EF6"/>
    <w:rsid w:val="00D04F06"/>
    <w:rsid w:val="00D05023"/>
    <w:rsid w:val="00D054EE"/>
    <w:rsid w:val="00D055C8"/>
    <w:rsid w:val="00D055E9"/>
    <w:rsid w:val="00D05650"/>
    <w:rsid w:val="00D05672"/>
    <w:rsid w:val="00D05767"/>
    <w:rsid w:val="00D05A0A"/>
    <w:rsid w:val="00D05A16"/>
    <w:rsid w:val="00D05C43"/>
    <w:rsid w:val="00D05CDE"/>
    <w:rsid w:val="00D05D45"/>
    <w:rsid w:val="00D05DA8"/>
    <w:rsid w:val="00D06004"/>
    <w:rsid w:val="00D060A7"/>
    <w:rsid w:val="00D06118"/>
    <w:rsid w:val="00D06192"/>
    <w:rsid w:val="00D061A5"/>
    <w:rsid w:val="00D0667D"/>
    <w:rsid w:val="00D066B0"/>
    <w:rsid w:val="00D067B5"/>
    <w:rsid w:val="00D067EF"/>
    <w:rsid w:val="00D06A99"/>
    <w:rsid w:val="00D06D73"/>
    <w:rsid w:val="00D06EA9"/>
    <w:rsid w:val="00D06F57"/>
    <w:rsid w:val="00D06FAB"/>
    <w:rsid w:val="00D07052"/>
    <w:rsid w:val="00D075ED"/>
    <w:rsid w:val="00D07855"/>
    <w:rsid w:val="00D07B7B"/>
    <w:rsid w:val="00D07C68"/>
    <w:rsid w:val="00D07D0A"/>
    <w:rsid w:val="00D07FAB"/>
    <w:rsid w:val="00D101F3"/>
    <w:rsid w:val="00D1028A"/>
    <w:rsid w:val="00D102A0"/>
    <w:rsid w:val="00D10354"/>
    <w:rsid w:val="00D10367"/>
    <w:rsid w:val="00D103C4"/>
    <w:rsid w:val="00D1044C"/>
    <w:rsid w:val="00D104EF"/>
    <w:rsid w:val="00D10618"/>
    <w:rsid w:val="00D1065F"/>
    <w:rsid w:val="00D108EF"/>
    <w:rsid w:val="00D10C64"/>
    <w:rsid w:val="00D10D17"/>
    <w:rsid w:val="00D10FF4"/>
    <w:rsid w:val="00D1108F"/>
    <w:rsid w:val="00D110B6"/>
    <w:rsid w:val="00D112F9"/>
    <w:rsid w:val="00D11328"/>
    <w:rsid w:val="00D11504"/>
    <w:rsid w:val="00D11561"/>
    <w:rsid w:val="00D116CA"/>
    <w:rsid w:val="00D11743"/>
    <w:rsid w:val="00D11847"/>
    <w:rsid w:val="00D11AD7"/>
    <w:rsid w:val="00D11B0C"/>
    <w:rsid w:val="00D12015"/>
    <w:rsid w:val="00D121C8"/>
    <w:rsid w:val="00D124BF"/>
    <w:rsid w:val="00D1259C"/>
    <w:rsid w:val="00D1277E"/>
    <w:rsid w:val="00D127F5"/>
    <w:rsid w:val="00D12963"/>
    <w:rsid w:val="00D1357F"/>
    <w:rsid w:val="00D138B3"/>
    <w:rsid w:val="00D13A2D"/>
    <w:rsid w:val="00D13B55"/>
    <w:rsid w:val="00D13CBC"/>
    <w:rsid w:val="00D13CF6"/>
    <w:rsid w:val="00D13F3C"/>
    <w:rsid w:val="00D140A5"/>
    <w:rsid w:val="00D140BB"/>
    <w:rsid w:val="00D141D7"/>
    <w:rsid w:val="00D1420B"/>
    <w:rsid w:val="00D1430E"/>
    <w:rsid w:val="00D14674"/>
    <w:rsid w:val="00D14698"/>
    <w:rsid w:val="00D14908"/>
    <w:rsid w:val="00D149B9"/>
    <w:rsid w:val="00D14DFB"/>
    <w:rsid w:val="00D14F3C"/>
    <w:rsid w:val="00D14FD7"/>
    <w:rsid w:val="00D150FC"/>
    <w:rsid w:val="00D1528A"/>
    <w:rsid w:val="00D15630"/>
    <w:rsid w:val="00D1579B"/>
    <w:rsid w:val="00D1580A"/>
    <w:rsid w:val="00D159A2"/>
    <w:rsid w:val="00D159D3"/>
    <w:rsid w:val="00D15A09"/>
    <w:rsid w:val="00D15A2E"/>
    <w:rsid w:val="00D15A55"/>
    <w:rsid w:val="00D15A67"/>
    <w:rsid w:val="00D15AF7"/>
    <w:rsid w:val="00D15D3D"/>
    <w:rsid w:val="00D15E81"/>
    <w:rsid w:val="00D15F1C"/>
    <w:rsid w:val="00D15F49"/>
    <w:rsid w:val="00D16171"/>
    <w:rsid w:val="00D161F6"/>
    <w:rsid w:val="00D16453"/>
    <w:rsid w:val="00D16842"/>
    <w:rsid w:val="00D169D2"/>
    <w:rsid w:val="00D16A36"/>
    <w:rsid w:val="00D16BCF"/>
    <w:rsid w:val="00D16C0A"/>
    <w:rsid w:val="00D16C2C"/>
    <w:rsid w:val="00D16F31"/>
    <w:rsid w:val="00D16F3C"/>
    <w:rsid w:val="00D16FA9"/>
    <w:rsid w:val="00D17143"/>
    <w:rsid w:val="00D1728C"/>
    <w:rsid w:val="00D172F4"/>
    <w:rsid w:val="00D1731E"/>
    <w:rsid w:val="00D1733D"/>
    <w:rsid w:val="00D175F4"/>
    <w:rsid w:val="00D1777E"/>
    <w:rsid w:val="00D177DA"/>
    <w:rsid w:val="00D179C7"/>
    <w:rsid w:val="00D17A19"/>
    <w:rsid w:val="00D17BDB"/>
    <w:rsid w:val="00D17C27"/>
    <w:rsid w:val="00D17CAC"/>
    <w:rsid w:val="00D17D15"/>
    <w:rsid w:val="00D17D35"/>
    <w:rsid w:val="00D17D9A"/>
    <w:rsid w:val="00D17DE2"/>
    <w:rsid w:val="00D17E78"/>
    <w:rsid w:val="00D17E8C"/>
    <w:rsid w:val="00D17F15"/>
    <w:rsid w:val="00D20119"/>
    <w:rsid w:val="00D20123"/>
    <w:rsid w:val="00D205D6"/>
    <w:rsid w:val="00D2061D"/>
    <w:rsid w:val="00D20865"/>
    <w:rsid w:val="00D20939"/>
    <w:rsid w:val="00D20AAB"/>
    <w:rsid w:val="00D20C3D"/>
    <w:rsid w:val="00D20C76"/>
    <w:rsid w:val="00D20D08"/>
    <w:rsid w:val="00D20E3B"/>
    <w:rsid w:val="00D20F8B"/>
    <w:rsid w:val="00D2104A"/>
    <w:rsid w:val="00D212A4"/>
    <w:rsid w:val="00D2139C"/>
    <w:rsid w:val="00D214C8"/>
    <w:rsid w:val="00D214F5"/>
    <w:rsid w:val="00D21596"/>
    <w:rsid w:val="00D21679"/>
    <w:rsid w:val="00D218C1"/>
    <w:rsid w:val="00D21A05"/>
    <w:rsid w:val="00D21B82"/>
    <w:rsid w:val="00D21EBC"/>
    <w:rsid w:val="00D21EF3"/>
    <w:rsid w:val="00D21EF4"/>
    <w:rsid w:val="00D22230"/>
    <w:rsid w:val="00D22515"/>
    <w:rsid w:val="00D22553"/>
    <w:rsid w:val="00D225EE"/>
    <w:rsid w:val="00D22704"/>
    <w:rsid w:val="00D22930"/>
    <w:rsid w:val="00D22A3A"/>
    <w:rsid w:val="00D22CB8"/>
    <w:rsid w:val="00D22CF5"/>
    <w:rsid w:val="00D22DA3"/>
    <w:rsid w:val="00D22F1C"/>
    <w:rsid w:val="00D230A7"/>
    <w:rsid w:val="00D232B2"/>
    <w:rsid w:val="00D232D0"/>
    <w:rsid w:val="00D232E2"/>
    <w:rsid w:val="00D233D0"/>
    <w:rsid w:val="00D23452"/>
    <w:rsid w:val="00D234C9"/>
    <w:rsid w:val="00D23551"/>
    <w:rsid w:val="00D2387C"/>
    <w:rsid w:val="00D23A82"/>
    <w:rsid w:val="00D23A9D"/>
    <w:rsid w:val="00D23E12"/>
    <w:rsid w:val="00D23E7E"/>
    <w:rsid w:val="00D23EF5"/>
    <w:rsid w:val="00D24060"/>
    <w:rsid w:val="00D241CC"/>
    <w:rsid w:val="00D2447D"/>
    <w:rsid w:val="00D245A5"/>
    <w:rsid w:val="00D245FF"/>
    <w:rsid w:val="00D24651"/>
    <w:rsid w:val="00D24795"/>
    <w:rsid w:val="00D24857"/>
    <w:rsid w:val="00D248CB"/>
    <w:rsid w:val="00D248F1"/>
    <w:rsid w:val="00D24B86"/>
    <w:rsid w:val="00D24CAB"/>
    <w:rsid w:val="00D24D9D"/>
    <w:rsid w:val="00D24F0F"/>
    <w:rsid w:val="00D24F17"/>
    <w:rsid w:val="00D250C6"/>
    <w:rsid w:val="00D25557"/>
    <w:rsid w:val="00D25612"/>
    <w:rsid w:val="00D2563C"/>
    <w:rsid w:val="00D257DA"/>
    <w:rsid w:val="00D257DC"/>
    <w:rsid w:val="00D257E6"/>
    <w:rsid w:val="00D257F3"/>
    <w:rsid w:val="00D25A3E"/>
    <w:rsid w:val="00D25A78"/>
    <w:rsid w:val="00D25A8D"/>
    <w:rsid w:val="00D25B27"/>
    <w:rsid w:val="00D25B84"/>
    <w:rsid w:val="00D25BB3"/>
    <w:rsid w:val="00D25D28"/>
    <w:rsid w:val="00D25F73"/>
    <w:rsid w:val="00D25F75"/>
    <w:rsid w:val="00D25FAA"/>
    <w:rsid w:val="00D262A8"/>
    <w:rsid w:val="00D26344"/>
    <w:rsid w:val="00D26568"/>
    <w:rsid w:val="00D26577"/>
    <w:rsid w:val="00D26638"/>
    <w:rsid w:val="00D2671B"/>
    <w:rsid w:val="00D2680F"/>
    <w:rsid w:val="00D26A37"/>
    <w:rsid w:val="00D26A7C"/>
    <w:rsid w:val="00D26B81"/>
    <w:rsid w:val="00D26C63"/>
    <w:rsid w:val="00D26CB8"/>
    <w:rsid w:val="00D26D40"/>
    <w:rsid w:val="00D26D85"/>
    <w:rsid w:val="00D26EC5"/>
    <w:rsid w:val="00D271B9"/>
    <w:rsid w:val="00D271BD"/>
    <w:rsid w:val="00D27221"/>
    <w:rsid w:val="00D272F3"/>
    <w:rsid w:val="00D2752E"/>
    <w:rsid w:val="00D27863"/>
    <w:rsid w:val="00D278AE"/>
    <w:rsid w:val="00D27A02"/>
    <w:rsid w:val="00D27A9E"/>
    <w:rsid w:val="00D27F5F"/>
    <w:rsid w:val="00D30127"/>
    <w:rsid w:val="00D30509"/>
    <w:rsid w:val="00D3060C"/>
    <w:rsid w:val="00D30A21"/>
    <w:rsid w:val="00D30B2D"/>
    <w:rsid w:val="00D30B41"/>
    <w:rsid w:val="00D30CDE"/>
    <w:rsid w:val="00D30FD2"/>
    <w:rsid w:val="00D31600"/>
    <w:rsid w:val="00D3176B"/>
    <w:rsid w:val="00D318C7"/>
    <w:rsid w:val="00D31908"/>
    <w:rsid w:val="00D3190C"/>
    <w:rsid w:val="00D31A58"/>
    <w:rsid w:val="00D31ADE"/>
    <w:rsid w:val="00D31BBB"/>
    <w:rsid w:val="00D31D49"/>
    <w:rsid w:val="00D31F2E"/>
    <w:rsid w:val="00D31F66"/>
    <w:rsid w:val="00D3227C"/>
    <w:rsid w:val="00D322BE"/>
    <w:rsid w:val="00D3233D"/>
    <w:rsid w:val="00D3236F"/>
    <w:rsid w:val="00D32383"/>
    <w:rsid w:val="00D32412"/>
    <w:rsid w:val="00D324BF"/>
    <w:rsid w:val="00D3277C"/>
    <w:rsid w:val="00D327E8"/>
    <w:rsid w:val="00D3288D"/>
    <w:rsid w:val="00D32BE2"/>
    <w:rsid w:val="00D32C43"/>
    <w:rsid w:val="00D32C80"/>
    <w:rsid w:val="00D32F9D"/>
    <w:rsid w:val="00D33217"/>
    <w:rsid w:val="00D332DC"/>
    <w:rsid w:val="00D333B2"/>
    <w:rsid w:val="00D333FA"/>
    <w:rsid w:val="00D334D4"/>
    <w:rsid w:val="00D334E9"/>
    <w:rsid w:val="00D337A6"/>
    <w:rsid w:val="00D33BBE"/>
    <w:rsid w:val="00D33BD3"/>
    <w:rsid w:val="00D33C05"/>
    <w:rsid w:val="00D33D76"/>
    <w:rsid w:val="00D33E12"/>
    <w:rsid w:val="00D33E9B"/>
    <w:rsid w:val="00D34088"/>
    <w:rsid w:val="00D34271"/>
    <w:rsid w:val="00D34339"/>
    <w:rsid w:val="00D3450F"/>
    <w:rsid w:val="00D34891"/>
    <w:rsid w:val="00D34900"/>
    <w:rsid w:val="00D34910"/>
    <w:rsid w:val="00D35313"/>
    <w:rsid w:val="00D3551B"/>
    <w:rsid w:val="00D35536"/>
    <w:rsid w:val="00D35556"/>
    <w:rsid w:val="00D357D9"/>
    <w:rsid w:val="00D359B2"/>
    <w:rsid w:val="00D35A88"/>
    <w:rsid w:val="00D35BDA"/>
    <w:rsid w:val="00D36065"/>
    <w:rsid w:val="00D360F3"/>
    <w:rsid w:val="00D362D5"/>
    <w:rsid w:val="00D3639F"/>
    <w:rsid w:val="00D36492"/>
    <w:rsid w:val="00D366E4"/>
    <w:rsid w:val="00D368F3"/>
    <w:rsid w:val="00D36926"/>
    <w:rsid w:val="00D36AFC"/>
    <w:rsid w:val="00D36B89"/>
    <w:rsid w:val="00D36DAF"/>
    <w:rsid w:val="00D37275"/>
    <w:rsid w:val="00D37364"/>
    <w:rsid w:val="00D37669"/>
    <w:rsid w:val="00D3768D"/>
    <w:rsid w:val="00D376D7"/>
    <w:rsid w:val="00D378DD"/>
    <w:rsid w:val="00D37A79"/>
    <w:rsid w:val="00D37A7F"/>
    <w:rsid w:val="00D37E09"/>
    <w:rsid w:val="00D37F4B"/>
    <w:rsid w:val="00D4003F"/>
    <w:rsid w:val="00D400C3"/>
    <w:rsid w:val="00D40183"/>
    <w:rsid w:val="00D401D6"/>
    <w:rsid w:val="00D401E2"/>
    <w:rsid w:val="00D406A0"/>
    <w:rsid w:val="00D406B3"/>
    <w:rsid w:val="00D408A5"/>
    <w:rsid w:val="00D408F5"/>
    <w:rsid w:val="00D408F8"/>
    <w:rsid w:val="00D40A8A"/>
    <w:rsid w:val="00D40B8C"/>
    <w:rsid w:val="00D40BAA"/>
    <w:rsid w:val="00D40C07"/>
    <w:rsid w:val="00D40C88"/>
    <w:rsid w:val="00D40CCF"/>
    <w:rsid w:val="00D40FC1"/>
    <w:rsid w:val="00D41261"/>
    <w:rsid w:val="00D4137B"/>
    <w:rsid w:val="00D41426"/>
    <w:rsid w:val="00D414AF"/>
    <w:rsid w:val="00D41663"/>
    <w:rsid w:val="00D41761"/>
    <w:rsid w:val="00D41797"/>
    <w:rsid w:val="00D418AD"/>
    <w:rsid w:val="00D41A58"/>
    <w:rsid w:val="00D41B37"/>
    <w:rsid w:val="00D41BCA"/>
    <w:rsid w:val="00D41C64"/>
    <w:rsid w:val="00D41D49"/>
    <w:rsid w:val="00D41F35"/>
    <w:rsid w:val="00D41F7C"/>
    <w:rsid w:val="00D4203B"/>
    <w:rsid w:val="00D420FD"/>
    <w:rsid w:val="00D42114"/>
    <w:rsid w:val="00D42118"/>
    <w:rsid w:val="00D42181"/>
    <w:rsid w:val="00D422E7"/>
    <w:rsid w:val="00D4237D"/>
    <w:rsid w:val="00D42827"/>
    <w:rsid w:val="00D428AB"/>
    <w:rsid w:val="00D42E67"/>
    <w:rsid w:val="00D42F03"/>
    <w:rsid w:val="00D4314E"/>
    <w:rsid w:val="00D43242"/>
    <w:rsid w:val="00D432CE"/>
    <w:rsid w:val="00D433E5"/>
    <w:rsid w:val="00D435B5"/>
    <w:rsid w:val="00D4361C"/>
    <w:rsid w:val="00D43651"/>
    <w:rsid w:val="00D437DB"/>
    <w:rsid w:val="00D4390D"/>
    <w:rsid w:val="00D43B19"/>
    <w:rsid w:val="00D43EA1"/>
    <w:rsid w:val="00D441A1"/>
    <w:rsid w:val="00D44294"/>
    <w:rsid w:val="00D443BD"/>
    <w:rsid w:val="00D4453C"/>
    <w:rsid w:val="00D44846"/>
    <w:rsid w:val="00D4490D"/>
    <w:rsid w:val="00D44D4B"/>
    <w:rsid w:val="00D44F48"/>
    <w:rsid w:val="00D45057"/>
    <w:rsid w:val="00D45324"/>
    <w:rsid w:val="00D4534F"/>
    <w:rsid w:val="00D45386"/>
    <w:rsid w:val="00D453DB"/>
    <w:rsid w:val="00D453E6"/>
    <w:rsid w:val="00D4542C"/>
    <w:rsid w:val="00D45546"/>
    <w:rsid w:val="00D45577"/>
    <w:rsid w:val="00D45601"/>
    <w:rsid w:val="00D45616"/>
    <w:rsid w:val="00D456D2"/>
    <w:rsid w:val="00D45759"/>
    <w:rsid w:val="00D45795"/>
    <w:rsid w:val="00D45796"/>
    <w:rsid w:val="00D45B81"/>
    <w:rsid w:val="00D45B90"/>
    <w:rsid w:val="00D45EBB"/>
    <w:rsid w:val="00D45F33"/>
    <w:rsid w:val="00D460DB"/>
    <w:rsid w:val="00D46258"/>
    <w:rsid w:val="00D46263"/>
    <w:rsid w:val="00D46331"/>
    <w:rsid w:val="00D465B5"/>
    <w:rsid w:val="00D46601"/>
    <w:rsid w:val="00D466A1"/>
    <w:rsid w:val="00D4680B"/>
    <w:rsid w:val="00D468FA"/>
    <w:rsid w:val="00D46936"/>
    <w:rsid w:val="00D469B0"/>
    <w:rsid w:val="00D46BD2"/>
    <w:rsid w:val="00D46CBB"/>
    <w:rsid w:val="00D46D9B"/>
    <w:rsid w:val="00D46FCC"/>
    <w:rsid w:val="00D470E8"/>
    <w:rsid w:val="00D47231"/>
    <w:rsid w:val="00D474FB"/>
    <w:rsid w:val="00D47522"/>
    <w:rsid w:val="00D47595"/>
    <w:rsid w:val="00D47636"/>
    <w:rsid w:val="00D47691"/>
    <w:rsid w:val="00D47893"/>
    <w:rsid w:val="00D47C26"/>
    <w:rsid w:val="00D47E97"/>
    <w:rsid w:val="00D47EDF"/>
    <w:rsid w:val="00D47F51"/>
    <w:rsid w:val="00D47F6C"/>
    <w:rsid w:val="00D50028"/>
    <w:rsid w:val="00D50239"/>
    <w:rsid w:val="00D50276"/>
    <w:rsid w:val="00D502CF"/>
    <w:rsid w:val="00D508C6"/>
    <w:rsid w:val="00D50966"/>
    <w:rsid w:val="00D509C6"/>
    <w:rsid w:val="00D50AF4"/>
    <w:rsid w:val="00D50BCF"/>
    <w:rsid w:val="00D50CF3"/>
    <w:rsid w:val="00D50E96"/>
    <w:rsid w:val="00D50E99"/>
    <w:rsid w:val="00D50F42"/>
    <w:rsid w:val="00D51172"/>
    <w:rsid w:val="00D51241"/>
    <w:rsid w:val="00D512A3"/>
    <w:rsid w:val="00D51608"/>
    <w:rsid w:val="00D51612"/>
    <w:rsid w:val="00D5163D"/>
    <w:rsid w:val="00D519AF"/>
    <w:rsid w:val="00D519EF"/>
    <w:rsid w:val="00D51A44"/>
    <w:rsid w:val="00D51B55"/>
    <w:rsid w:val="00D51C94"/>
    <w:rsid w:val="00D51F4A"/>
    <w:rsid w:val="00D52058"/>
    <w:rsid w:val="00D5211F"/>
    <w:rsid w:val="00D52169"/>
    <w:rsid w:val="00D52201"/>
    <w:rsid w:val="00D5274C"/>
    <w:rsid w:val="00D5294B"/>
    <w:rsid w:val="00D52960"/>
    <w:rsid w:val="00D52B38"/>
    <w:rsid w:val="00D52BE2"/>
    <w:rsid w:val="00D52C73"/>
    <w:rsid w:val="00D53013"/>
    <w:rsid w:val="00D53143"/>
    <w:rsid w:val="00D53319"/>
    <w:rsid w:val="00D53663"/>
    <w:rsid w:val="00D53703"/>
    <w:rsid w:val="00D537C6"/>
    <w:rsid w:val="00D538AC"/>
    <w:rsid w:val="00D53C4E"/>
    <w:rsid w:val="00D53C79"/>
    <w:rsid w:val="00D53D02"/>
    <w:rsid w:val="00D53DA2"/>
    <w:rsid w:val="00D540AE"/>
    <w:rsid w:val="00D5411A"/>
    <w:rsid w:val="00D54136"/>
    <w:rsid w:val="00D541D4"/>
    <w:rsid w:val="00D54362"/>
    <w:rsid w:val="00D543B9"/>
    <w:rsid w:val="00D5442E"/>
    <w:rsid w:val="00D54459"/>
    <w:rsid w:val="00D544BE"/>
    <w:rsid w:val="00D5467F"/>
    <w:rsid w:val="00D5496D"/>
    <w:rsid w:val="00D54A4E"/>
    <w:rsid w:val="00D54ED2"/>
    <w:rsid w:val="00D54FDA"/>
    <w:rsid w:val="00D550C7"/>
    <w:rsid w:val="00D55247"/>
    <w:rsid w:val="00D55389"/>
    <w:rsid w:val="00D55502"/>
    <w:rsid w:val="00D556D4"/>
    <w:rsid w:val="00D557D7"/>
    <w:rsid w:val="00D55A61"/>
    <w:rsid w:val="00D55BD4"/>
    <w:rsid w:val="00D55C42"/>
    <w:rsid w:val="00D55D7F"/>
    <w:rsid w:val="00D55DB0"/>
    <w:rsid w:val="00D55EC7"/>
    <w:rsid w:val="00D55F11"/>
    <w:rsid w:val="00D55F4D"/>
    <w:rsid w:val="00D56000"/>
    <w:rsid w:val="00D560D8"/>
    <w:rsid w:val="00D560DA"/>
    <w:rsid w:val="00D56174"/>
    <w:rsid w:val="00D56476"/>
    <w:rsid w:val="00D5647F"/>
    <w:rsid w:val="00D5679C"/>
    <w:rsid w:val="00D569A3"/>
    <w:rsid w:val="00D56D1B"/>
    <w:rsid w:val="00D56DFA"/>
    <w:rsid w:val="00D56E8E"/>
    <w:rsid w:val="00D56FB3"/>
    <w:rsid w:val="00D57034"/>
    <w:rsid w:val="00D570C5"/>
    <w:rsid w:val="00D5722C"/>
    <w:rsid w:val="00D57251"/>
    <w:rsid w:val="00D572D1"/>
    <w:rsid w:val="00D57402"/>
    <w:rsid w:val="00D5748C"/>
    <w:rsid w:val="00D5753A"/>
    <w:rsid w:val="00D57AD6"/>
    <w:rsid w:val="00D57AE2"/>
    <w:rsid w:val="00D57AF4"/>
    <w:rsid w:val="00D57C18"/>
    <w:rsid w:val="00D57E16"/>
    <w:rsid w:val="00D57EC3"/>
    <w:rsid w:val="00D6019A"/>
    <w:rsid w:val="00D6026E"/>
    <w:rsid w:val="00D603E5"/>
    <w:rsid w:val="00D603F5"/>
    <w:rsid w:val="00D60484"/>
    <w:rsid w:val="00D605D1"/>
    <w:rsid w:val="00D605DF"/>
    <w:rsid w:val="00D605E2"/>
    <w:rsid w:val="00D60619"/>
    <w:rsid w:val="00D60879"/>
    <w:rsid w:val="00D60921"/>
    <w:rsid w:val="00D6096F"/>
    <w:rsid w:val="00D60A95"/>
    <w:rsid w:val="00D60B14"/>
    <w:rsid w:val="00D60DEB"/>
    <w:rsid w:val="00D61031"/>
    <w:rsid w:val="00D611D7"/>
    <w:rsid w:val="00D6139C"/>
    <w:rsid w:val="00D614BB"/>
    <w:rsid w:val="00D61538"/>
    <w:rsid w:val="00D61568"/>
    <w:rsid w:val="00D615D3"/>
    <w:rsid w:val="00D616FF"/>
    <w:rsid w:val="00D61933"/>
    <w:rsid w:val="00D61B47"/>
    <w:rsid w:val="00D61BB5"/>
    <w:rsid w:val="00D61C2F"/>
    <w:rsid w:val="00D61D21"/>
    <w:rsid w:val="00D61E6B"/>
    <w:rsid w:val="00D61F57"/>
    <w:rsid w:val="00D62035"/>
    <w:rsid w:val="00D62070"/>
    <w:rsid w:val="00D62190"/>
    <w:rsid w:val="00D622F9"/>
    <w:rsid w:val="00D62432"/>
    <w:rsid w:val="00D625DE"/>
    <w:rsid w:val="00D62614"/>
    <w:rsid w:val="00D62768"/>
    <w:rsid w:val="00D627AE"/>
    <w:rsid w:val="00D6292D"/>
    <w:rsid w:val="00D62A59"/>
    <w:rsid w:val="00D62BBA"/>
    <w:rsid w:val="00D62D31"/>
    <w:rsid w:val="00D62E9A"/>
    <w:rsid w:val="00D62ECA"/>
    <w:rsid w:val="00D63397"/>
    <w:rsid w:val="00D6349C"/>
    <w:rsid w:val="00D634E4"/>
    <w:rsid w:val="00D6366D"/>
    <w:rsid w:val="00D6368A"/>
    <w:rsid w:val="00D637A6"/>
    <w:rsid w:val="00D637BF"/>
    <w:rsid w:val="00D6380C"/>
    <w:rsid w:val="00D638FF"/>
    <w:rsid w:val="00D63A47"/>
    <w:rsid w:val="00D63BB8"/>
    <w:rsid w:val="00D63D37"/>
    <w:rsid w:val="00D63FF5"/>
    <w:rsid w:val="00D6400B"/>
    <w:rsid w:val="00D641FB"/>
    <w:rsid w:val="00D64203"/>
    <w:rsid w:val="00D6436A"/>
    <w:rsid w:val="00D6454D"/>
    <w:rsid w:val="00D6454E"/>
    <w:rsid w:val="00D646A6"/>
    <w:rsid w:val="00D6471A"/>
    <w:rsid w:val="00D6483C"/>
    <w:rsid w:val="00D64865"/>
    <w:rsid w:val="00D6497B"/>
    <w:rsid w:val="00D64C59"/>
    <w:rsid w:val="00D64E7D"/>
    <w:rsid w:val="00D64FD5"/>
    <w:rsid w:val="00D65000"/>
    <w:rsid w:val="00D6552D"/>
    <w:rsid w:val="00D655B8"/>
    <w:rsid w:val="00D65682"/>
    <w:rsid w:val="00D65690"/>
    <w:rsid w:val="00D656A3"/>
    <w:rsid w:val="00D65726"/>
    <w:rsid w:val="00D65735"/>
    <w:rsid w:val="00D65773"/>
    <w:rsid w:val="00D657AF"/>
    <w:rsid w:val="00D657DE"/>
    <w:rsid w:val="00D6586A"/>
    <w:rsid w:val="00D6599F"/>
    <w:rsid w:val="00D65AA2"/>
    <w:rsid w:val="00D65B40"/>
    <w:rsid w:val="00D65C85"/>
    <w:rsid w:val="00D65CD9"/>
    <w:rsid w:val="00D65D32"/>
    <w:rsid w:val="00D65D68"/>
    <w:rsid w:val="00D65FED"/>
    <w:rsid w:val="00D66097"/>
    <w:rsid w:val="00D66211"/>
    <w:rsid w:val="00D663F1"/>
    <w:rsid w:val="00D6648F"/>
    <w:rsid w:val="00D6671A"/>
    <w:rsid w:val="00D6686F"/>
    <w:rsid w:val="00D6694F"/>
    <w:rsid w:val="00D66A4E"/>
    <w:rsid w:val="00D66A72"/>
    <w:rsid w:val="00D66B7A"/>
    <w:rsid w:val="00D66BD1"/>
    <w:rsid w:val="00D66C08"/>
    <w:rsid w:val="00D66D57"/>
    <w:rsid w:val="00D66E5C"/>
    <w:rsid w:val="00D66EE9"/>
    <w:rsid w:val="00D66F9B"/>
    <w:rsid w:val="00D671B8"/>
    <w:rsid w:val="00D6721D"/>
    <w:rsid w:val="00D673A3"/>
    <w:rsid w:val="00D674BB"/>
    <w:rsid w:val="00D67569"/>
    <w:rsid w:val="00D6762C"/>
    <w:rsid w:val="00D677A1"/>
    <w:rsid w:val="00D67AAB"/>
    <w:rsid w:val="00D67BCB"/>
    <w:rsid w:val="00D67CF6"/>
    <w:rsid w:val="00D67ED3"/>
    <w:rsid w:val="00D67F1D"/>
    <w:rsid w:val="00D67F9A"/>
    <w:rsid w:val="00D700F8"/>
    <w:rsid w:val="00D701C5"/>
    <w:rsid w:val="00D704E4"/>
    <w:rsid w:val="00D7069E"/>
    <w:rsid w:val="00D7079C"/>
    <w:rsid w:val="00D70908"/>
    <w:rsid w:val="00D7090F"/>
    <w:rsid w:val="00D70ACB"/>
    <w:rsid w:val="00D70BAD"/>
    <w:rsid w:val="00D70D42"/>
    <w:rsid w:val="00D70D5D"/>
    <w:rsid w:val="00D70F33"/>
    <w:rsid w:val="00D7107A"/>
    <w:rsid w:val="00D71094"/>
    <w:rsid w:val="00D710FE"/>
    <w:rsid w:val="00D71237"/>
    <w:rsid w:val="00D7132F"/>
    <w:rsid w:val="00D7134F"/>
    <w:rsid w:val="00D716E1"/>
    <w:rsid w:val="00D716FD"/>
    <w:rsid w:val="00D718AF"/>
    <w:rsid w:val="00D71B38"/>
    <w:rsid w:val="00D71B84"/>
    <w:rsid w:val="00D7210A"/>
    <w:rsid w:val="00D7233A"/>
    <w:rsid w:val="00D726D6"/>
    <w:rsid w:val="00D72735"/>
    <w:rsid w:val="00D7276C"/>
    <w:rsid w:val="00D72866"/>
    <w:rsid w:val="00D72932"/>
    <w:rsid w:val="00D72B86"/>
    <w:rsid w:val="00D72EF4"/>
    <w:rsid w:val="00D73305"/>
    <w:rsid w:val="00D73481"/>
    <w:rsid w:val="00D7366C"/>
    <w:rsid w:val="00D73728"/>
    <w:rsid w:val="00D738F2"/>
    <w:rsid w:val="00D73A5D"/>
    <w:rsid w:val="00D73CBF"/>
    <w:rsid w:val="00D73D35"/>
    <w:rsid w:val="00D73E92"/>
    <w:rsid w:val="00D73F0D"/>
    <w:rsid w:val="00D74039"/>
    <w:rsid w:val="00D7407A"/>
    <w:rsid w:val="00D74091"/>
    <w:rsid w:val="00D74119"/>
    <w:rsid w:val="00D74130"/>
    <w:rsid w:val="00D74157"/>
    <w:rsid w:val="00D742C6"/>
    <w:rsid w:val="00D743C5"/>
    <w:rsid w:val="00D7443B"/>
    <w:rsid w:val="00D74496"/>
    <w:rsid w:val="00D7457A"/>
    <w:rsid w:val="00D7457E"/>
    <w:rsid w:val="00D746D8"/>
    <w:rsid w:val="00D74846"/>
    <w:rsid w:val="00D7490D"/>
    <w:rsid w:val="00D749D4"/>
    <w:rsid w:val="00D74A0E"/>
    <w:rsid w:val="00D74B67"/>
    <w:rsid w:val="00D74F89"/>
    <w:rsid w:val="00D74FB8"/>
    <w:rsid w:val="00D750A2"/>
    <w:rsid w:val="00D751BC"/>
    <w:rsid w:val="00D752D0"/>
    <w:rsid w:val="00D752DF"/>
    <w:rsid w:val="00D7539C"/>
    <w:rsid w:val="00D75704"/>
    <w:rsid w:val="00D75887"/>
    <w:rsid w:val="00D759B3"/>
    <w:rsid w:val="00D759F0"/>
    <w:rsid w:val="00D75A20"/>
    <w:rsid w:val="00D75BA6"/>
    <w:rsid w:val="00D75C98"/>
    <w:rsid w:val="00D75EAD"/>
    <w:rsid w:val="00D761A0"/>
    <w:rsid w:val="00D76254"/>
    <w:rsid w:val="00D763F9"/>
    <w:rsid w:val="00D766B7"/>
    <w:rsid w:val="00D76786"/>
    <w:rsid w:val="00D76899"/>
    <w:rsid w:val="00D76962"/>
    <w:rsid w:val="00D769AF"/>
    <w:rsid w:val="00D76D9A"/>
    <w:rsid w:val="00D76DA6"/>
    <w:rsid w:val="00D76FFD"/>
    <w:rsid w:val="00D77195"/>
    <w:rsid w:val="00D77251"/>
    <w:rsid w:val="00D772E1"/>
    <w:rsid w:val="00D77392"/>
    <w:rsid w:val="00D77401"/>
    <w:rsid w:val="00D7745A"/>
    <w:rsid w:val="00D77660"/>
    <w:rsid w:val="00D77731"/>
    <w:rsid w:val="00D777CB"/>
    <w:rsid w:val="00D77871"/>
    <w:rsid w:val="00D77992"/>
    <w:rsid w:val="00D77A1D"/>
    <w:rsid w:val="00D77B12"/>
    <w:rsid w:val="00D77D34"/>
    <w:rsid w:val="00D77DB9"/>
    <w:rsid w:val="00D77DE0"/>
    <w:rsid w:val="00D80269"/>
    <w:rsid w:val="00D80295"/>
    <w:rsid w:val="00D80654"/>
    <w:rsid w:val="00D80692"/>
    <w:rsid w:val="00D806DF"/>
    <w:rsid w:val="00D806F0"/>
    <w:rsid w:val="00D80920"/>
    <w:rsid w:val="00D8096C"/>
    <w:rsid w:val="00D80E54"/>
    <w:rsid w:val="00D80F57"/>
    <w:rsid w:val="00D81006"/>
    <w:rsid w:val="00D810DB"/>
    <w:rsid w:val="00D81268"/>
    <w:rsid w:val="00D8180D"/>
    <w:rsid w:val="00D819AD"/>
    <w:rsid w:val="00D81C84"/>
    <w:rsid w:val="00D81D27"/>
    <w:rsid w:val="00D81ED8"/>
    <w:rsid w:val="00D81F65"/>
    <w:rsid w:val="00D81FBF"/>
    <w:rsid w:val="00D8209B"/>
    <w:rsid w:val="00D820A9"/>
    <w:rsid w:val="00D8220B"/>
    <w:rsid w:val="00D82241"/>
    <w:rsid w:val="00D822B8"/>
    <w:rsid w:val="00D82388"/>
    <w:rsid w:val="00D82456"/>
    <w:rsid w:val="00D824DB"/>
    <w:rsid w:val="00D826A8"/>
    <w:rsid w:val="00D826CC"/>
    <w:rsid w:val="00D8283A"/>
    <w:rsid w:val="00D828E4"/>
    <w:rsid w:val="00D82B81"/>
    <w:rsid w:val="00D82DE9"/>
    <w:rsid w:val="00D82F62"/>
    <w:rsid w:val="00D82F8F"/>
    <w:rsid w:val="00D82FEF"/>
    <w:rsid w:val="00D83193"/>
    <w:rsid w:val="00D8321C"/>
    <w:rsid w:val="00D8359F"/>
    <w:rsid w:val="00D8360D"/>
    <w:rsid w:val="00D83873"/>
    <w:rsid w:val="00D839B2"/>
    <w:rsid w:val="00D83A1E"/>
    <w:rsid w:val="00D83AA3"/>
    <w:rsid w:val="00D83B1F"/>
    <w:rsid w:val="00D83B52"/>
    <w:rsid w:val="00D83B7B"/>
    <w:rsid w:val="00D83BAD"/>
    <w:rsid w:val="00D83C3F"/>
    <w:rsid w:val="00D83FB2"/>
    <w:rsid w:val="00D84497"/>
    <w:rsid w:val="00D845AE"/>
    <w:rsid w:val="00D847B8"/>
    <w:rsid w:val="00D84800"/>
    <w:rsid w:val="00D8484C"/>
    <w:rsid w:val="00D84899"/>
    <w:rsid w:val="00D84B9A"/>
    <w:rsid w:val="00D84F15"/>
    <w:rsid w:val="00D84F8C"/>
    <w:rsid w:val="00D84FC4"/>
    <w:rsid w:val="00D85092"/>
    <w:rsid w:val="00D850C8"/>
    <w:rsid w:val="00D850C9"/>
    <w:rsid w:val="00D851D9"/>
    <w:rsid w:val="00D85206"/>
    <w:rsid w:val="00D8524A"/>
    <w:rsid w:val="00D8525A"/>
    <w:rsid w:val="00D85300"/>
    <w:rsid w:val="00D85357"/>
    <w:rsid w:val="00D85366"/>
    <w:rsid w:val="00D8546E"/>
    <w:rsid w:val="00D85580"/>
    <w:rsid w:val="00D856B5"/>
    <w:rsid w:val="00D85791"/>
    <w:rsid w:val="00D85959"/>
    <w:rsid w:val="00D85B56"/>
    <w:rsid w:val="00D85B67"/>
    <w:rsid w:val="00D85BA0"/>
    <w:rsid w:val="00D85F04"/>
    <w:rsid w:val="00D86373"/>
    <w:rsid w:val="00D864BA"/>
    <w:rsid w:val="00D864C1"/>
    <w:rsid w:val="00D8665E"/>
    <w:rsid w:val="00D867D0"/>
    <w:rsid w:val="00D8690B"/>
    <w:rsid w:val="00D86A3F"/>
    <w:rsid w:val="00D86AB8"/>
    <w:rsid w:val="00D86BE4"/>
    <w:rsid w:val="00D86CBC"/>
    <w:rsid w:val="00D86D1C"/>
    <w:rsid w:val="00D86D2C"/>
    <w:rsid w:val="00D86EEE"/>
    <w:rsid w:val="00D86EFC"/>
    <w:rsid w:val="00D86F24"/>
    <w:rsid w:val="00D86F59"/>
    <w:rsid w:val="00D87047"/>
    <w:rsid w:val="00D870FD"/>
    <w:rsid w:val="00D8776A"/>
    <w:rsid w:val="00D8779B"/>
    <w:rsid w:val="00D879A7"/>
    <w:rsid w:val="00D87C99"/>
    <w:rsid w:val="00D900F0"/>
    <w:rsid w:val="00D90212"/>
    <w:rsid w:val="00D90315"/>
    <w:rsid w:val="00D90631"/>
    <w:rsid w:val="00D906DF"/>
    <w:rsid w:val="00D90751"/>
    <w:rsid w:val="00D90882"/>
    <w:rsid w:val="00D909B2"/>
    <w:rsid w:val="00D909F0"/>
    <w:rsid w:val="00D90A40"/>
    <w:rsid w:val="00D90C03"/>
    <w:rsid w:val="00D90D01"/>
    <w:rsid w:val="00D90EF3"/>
    <w:rsid w:val="00D91546"/>
    <w:rsid w:val="00D91588"/>
    <w:rsid w:val="00D9169C"/>
    <w:rsid w:val="00D91742"/>
    <w:rsid w:val="00D91824"/>
    <w:rsid w:val="00D91902"/>
    <w:rsid w:val="00D91A9D"/>
    <w:rsid w:val="00D91AD6"/>
    <w:rsid w:val="00D91ADF"/>
    <w:rsid w:val="00D91CBA"/>
    <w:rsid w:val="00D91CE2"/>
    <w:rsid w:val="00D91F31"/>
    <w:rsid w:val="00D9210C"/>
    <w:rsid w:val="00D92193"/>
    <w:rsid w:val="00D92236"/>
    <w:rsid w:val="00D92375"/>
    <w:rsid w:val="00D92540"/>
    <w:rsid w:val="00D9257A"/>
    <w:rsid w:val="00D9261A"/>
    <w:rsid w:val="00D9265D"/>
    <w:rsid w:val="00D9267E"/>
    <w:rsid w:val="00D92924"/>
    <w:rsid w:val="00D92A69"/>
    <w:rsid w:val="00D93004"/>
    <w:rsid w:val="00D930FC"/>
    <w:rsid w:val="00D93274"/>
    <w:rsid w:val="00D93450"/>
    <w:rsid w:val="00D9360B"/>
    <w:rsid w:val="00D937BA"/>
    <w:rsid w:val="00D937E6"/>
    <w:rsid w:val="00D9385D"/>
    <w:rsid w:val="00D93B16"/>
    <w:rsid w:val="00D93BE4"/>
    <w:rsid w:val="00D93CEF"/>
    <w:rsid w:val="00D93D30"/>
    <w:rsid w:val="00D93D5F"/>
    <w:rsid w:val="00D93EC1"/>
    <w:rsid w:val="00D93F48"/>
    <w:rsid w:val="00D93FBD"/>
    <w:rsid w:val="00D94148"/>
    <w:rsid w:val="00D944A4"/>
    <w:rsid w:val="00D9469F"/>
    <w:rsid w:val="00D94770"/>
    <w:rsid w:val="00D94A9A"/>
    <w:rsid w:val="00D94C06"/>
    <w:rsid w:val="00D94CDC"/>
    <w:rsid w:val="00D94D70"/>
    <w:rsid w:val="00D94E74"/>
    <w:rsid w:val="00D95175"/>
    <w:rsid w:val="00D95195"/>
    <w:rsid w:val="00D9530C"/>
    <w:rsid w:val="00D953FD"/>
    <w:rsid w:val="00D9548A"/>
    <w:rsid w:val="00D955F6"/>
    <w:rsid w:val="00D9578E"/>
    <w:rsid w:val="00D95C0F"/>
    <w:rsid w:val="00D95C27"/>
    <w:rsid w:val="00D95C79"/>
    <w:rsid w:val="00D95E0B"/>
    <w:rsid w:val="00D95E13"/>
    <w:rsid w:val="00D95E26"/>
    <w:rsid w:val="00D96063"/>
    <w:rsid w:val="00D960CB"/>
    <w:rsid w:val="00D961C7"/>
    <w:rsid w:val="00D9646F"/>
    <w:rsid w:val="00D96599"/>
    <w:rsid w:val="00D96673"/>
    <w:rsid w:val="00D96B34"/>
    <w:rsid w:val="00D96B9E"/>
    <w:rsid w:val="00D96C1A"/>
    <w:rsid w:val="00D96D37"/>
    <w:rsid w:val="00D97046"/>
    <w:rsid w:val="00D974EA"/>
    <w:rsid w:val="00D97532"/>
    <w:rsid w:val="00D97639"/>
    <w:rsid w:val="00D97642"/>
    <w:rsid w:val="00D97814"/>
    <w:rsid w:val="00D97851"/>
    <w:rsid w:val="00D97893"/>
    <w:rsid w:val="00D978DE"/>
    <w:rsid w:val="00D97A1E"/>
    <w:rsid w:val="00D97A3F"/>
    <w:rsid w:val="00D97A99"/>
    <w:rsid w:val="00D97CB7"/>
    <w:rsid w:val="00D97CEE"/>
    <w:rsid w:val="00D97E20"/>
    <w:rsid w:val="00D97ECD"/>
    <w:rsid w:val="00D97FBB"/>
    <w:rsid w:val="00DA008F"/>
    <w:rsid w:val="00DA035E"/>
    <w:rsid w:val="00DA0445"/>
    <w:rsid w:val="00DA0496"/>
    <w:rsid w:val="00DA087F"/>
    <w:rsid w:val="00DA0897"/>
    <w:rsid w:val="00DA09BB"/>
    <w:rsid w:val="00DA09EC"/>
    <w:rsid w:val="00DA0A69"/>
    <w:rsid w:val="00DA0A74"/>
    <w:rsid w:val="00DA0E85"/>
    <w:rsid w:val="00DA0F85"/>
    <w:rsid w:val="00DA0FA1"/>
    <w:rsid w:val="00DA0FAE"/>
    <w:rsid w:val="00DA0FD7"/>
    <w:rsid w:val="00DA102F"/>
    <w:rsid w:val="00DA1131"/>
    <w:rsid w:val="00DA1249"/>
    <w:rsid w:val="00DA1313"/>
    <w:rsid w:val="00DA13B5"/>
    <w:rsid w:val="00DA154C"/>
    <w:rsid w:val="00DA1BBB"/>
    <w:rsid w:val="00DA1DAC"/>
    <w:rsid w:val="00DA1E5E"/>
    <w:rsid w:val="00DA1E92"/>
    <w:rsid w:val="00DA1EEE"/>
    <w:rsid w:val="00DA1F63"/>
    <w:rsid w:val="00DA208F"/>
    <w:rsid w:val="00DA2154"/>
    <w:rsid w:val="00DA21B2"/>
    <w:rsid w:val="00DA21CF"/>
    <w:rsid w:val="00DA22C1"/>
    <w:rsid w:val="00DA22EA"/>
    <w:rsid w:val="00DA25E2"/>
    <w:rsid w:val="00DA29D2"/>
    <w:rsid w:val="00DA2A80"/>
    <w:rsid w:val="00DA2AAD"/>
    <w:rsid w:val="00DA2ADA"/>
    <w:rsid w:val="00DA2B9B"/>
    <w:rsid w:val="00DA2E3F"/>
    <w:rsid w:val="00DA2ECC"/>
    <w:rsid w:val="00DA30BA"/>
    <w:rsid w:val="00DA323C"/>
    <w:rsid w:val="00DA3395"/>
    <w:rsid w:val="00DA3608"/>
    <w:rsid w:val="00DA364D"/>
    <w:rsid w:val="00DA383A"/>
    <w:rsid w:val="00DA383F"/>
    <w:rsid w:val="00DA398D"/>
    <w:rsid w:val="00DA39B3"/>
    <w:rsid w:val="00DA3C15"/>
    <w:rsid w:val="00DA3C5F"/>
    <w:rsid w:val="00DA3C82"/>
    <w:rsid w:val="00DA3D50"/>
    <w:rsid w:val="00DA3DFE"/>
    <w:rsid w:val="00DA3E36"/>
    <w:rsid w:val="00DA3F4A"/>
    <w:rsid w:val="00DA416D"/>
    <w:rsid w:val="00DA4241"/>
    <w:rsid w:val="00DA4310"/>
    <w:rsid w:val="00DA44BD"/>
    <w:rsid w:val="00DA450F"/>
    <w:rsid w:val="00DA46E3"/>
    <w:rsid w:val="00DA475E"/>
    <w:rsid w:val="00DA4BA1"/>
    <w:rsid w:val="00DA4E17"/>
    <w:rsid w:val="00DA4FD8"/>
    <w:rsid w:val="00DA51FD"/>
    <w:rsid w:val="00DA558C"/>
    <w:rsid w:val="00DA5684"/>
    <w:rsid w:val="00DA5713"/>
    <w:rsid w:val="00DA5827"/>
    <w:rsid w:val="00DA5A0B"/>
    <w:rsid w:val="00DA5A54"/>
    <w:rsid w:val="00DA5C62"/>
    <w:rsid w:val="00DA5D21"/>
    <w:rsid w:val="00DA5D4B"/>
    <w:rsid w:val="00DA5E6F"/>
    <w:rsid w:val="00DA5F93"/>
    <w:rsid w:val="00DA5FEE"/>
    <w:rsid w:val="00DA6529"/>
    <w:rsid w:val="00DA6763"/>
    <w:rsid w:val="00DA67BB"/>
    <w:rsid w:val="00DA6809"/>
    <w:rsid w:val="00DA6900"/>
    <w:rsid w:val="00DA6BBD"/>
    <w:rsid w:val="00DA6BC9"/>
    <w:rsid w:val="00DA6EC5"/>
    <w:rsid w:val="00DA6F7E"/>
    <w:rsid w:val="00DA6F80"/>
    <w:rsid w:val="00DA7187"/>
    <w:rsid w:val="00DA71B5"/>
    <w:rsid w:val="00DA7214"/>
    <w:rsid w:val="00DA72BD"/>
    <w:rsid w:val="00DA7360"/>
    <w:rsid w:val="00DA7606"/>
    <w:rsid w:val="00DA7922"/>
    <w:rsid w:val="00DA7A4A"/>
    <w:rsid w:val="00DA7ADE"/>
    <w:rsid w:val="00DA7C2D"/>
    <w:rsid w:val="00DA7E00"/>
    <w:rsid w:val="00DA7FE8"/>
    <w:rsid w:val="00DB036C"/>
    <w:rsid w:val="00DB046E"/>
    <w:rsid w:val="00DB04B4"/>
    <w:rsid w:val="00DB05BF"/>
    <w:rsid w:val="00DB07CA"/>
    <w:rsid w:val="00DB0EE4"/>
    <w:rsid w:val="00DB0F1F"/>
    <w:rsid w:val="00DB0FB3"/>
    <w:rsid w:val="00DB1073"/>
    <w:rsid w:val="00DB126E"/>
    <w:rsid w:val="00DB1488"/>
    <w:rsid w:val="00DB1655"/>
    <w:rsid w:val="00DB1767"/>
    <w:rsid w:val="00DB1B51"/>
    <w:rsid w:val="00DB1B9E"/>
    <w:rsid w:val="00DB2100"/>
    <w:rsid w:val="00DB21AE"/>
    <w:rsid w:val="00DB253F"/>
    <w:rsid w:val="00DB258F"/>
    <w:rsid w:val="00DB26D4"/>
    <w:rsid w:val="00DB27CC"/>
    <w:rsid w:val="00DB2930"/>
    <w:rsid w:val="00DB2A2A"/>
    <w:rsid w:val="00DB2A5B"/>
    <w:rsid w:val="00DB2A6C"/>
    <w:rsid w:val="00DB2BBC"/>
    <w:rsid w:val="00DB2BE0"/>
    <w:rsid w:val="00DB2D31"/>
    <w:rsid w:val="00DB2D6D"/>
    <w:rsid w:val="00DB2DF9"/>
    <w:rsid w:val="00DB2E40"/>
    <w:rsid w:val="00DB2F57"/>
    <w:rsid w:val="00DB2F64"/>
    <w:rsid w:val="00DB305E"/>
    <w:rsid w:val="00DB30A4"/>
    <w:rsid w:val="00DB3153"/>
    <w:rsid w:val="00DB3205"/>
    <w:rsid w:val="00DB3312"/>
    <w:rsid w:val="00DB354B"/>
    <w:rsid w:val="00DB3980"/>
    <w:rsid w:val="00DB3B15"/>
    <w:rsid w:val="00DB3B85"/>
    <w:rsid w:val="00DB3EAF"/>
    <w:rsid w:val="00DB4492"/>
    <w:rsid w:val="00DB45B5"/>
    <w:rsid w:val="00DB45F5"/>
    <w:rsid w:val="00DB46B5"/>
    <w:rsid w:val="00DB4752"/>
    <w:rsid w:val="00DB487D"/>
    <w:rsid w:val="00DB493F"/>
    <w:rsid w:val="00DB4C45"/>
    <w:rsid w:val="00DB4EE9"/>
    <w:rsid w:val="00DB4F02"/>
    <w:rsid w:val="00DB4F44"/>
    <w:rsid w:val="00DB4FB0"/>
    <w:rsid w:val="00DB5127"/>
    <w:rsid w:val="00DB524D"/>
    <w:rsid w:val="00DB5331"/>
    <w:rsid w:val="00DB54C7"/>
    <w:rsid w:val="00DB54D4"/>
    <w:rsid w:val="00DB565E"/>
    <w:rsid w:val="00DB5692"/>
    <w:rsid w:val="00DB5917"/>
    <w:rsid w:val="00DB5AEC"/>
    <w:rsid w:val="00DB5B8C"/>
    <w:rsid w:val="00DB5B8F"/>
    <w:rsid w:val="00DB5C3D"/>
    <w:rsid w:val="00DB5D53"/>
    <w:rsid w:val="00DB5F63"/>
    <w:rsid w:val="00DB5F81"/>
    <w:rsid w:val="00DB6316"/>
    <w:rsid w:val="00DB639C"/>
    <w:rsid w:val="00DB6415"/>
    <w:rsid w:val="00DB667C"/>
    <w:rsid w:val="00DB69A3"/>
    <w:rsid w:val="00DB6AB0"/>
    <w:rsid w:val="00DB6AFE"/>
    <w:rsid w:val="00DB6B30"/>
    <w:rsid w:val="00DB6D01"/>
    <w:rsid w:val="00DB6F5E"/>
    <w:rsid w:val="00DB7005"/>
    <w:rsid w:val="00DB70BA"/>
    <w:rsid w:val="00DB70CC"/>
    <w:rsid w:val="00DB70D2"/>
    <w:rsid w:val="00DB71E3"/>
    <w:rsid w:val="00DB7321"/>
    <w:rsid w:val="00DB7355"/>
    <w:rsid w:val="00DB7497"/>
    <w:rsid w:val="00DB7541"/>
    <w:rsid w:val="00DB75B5"/>
    <w:rsid w:val="00DB7604"/>
    <w:rsid w:val="00DB7657"/>
    <w:rsid w:val="00DB76CD"/>
    <w:rsid w:val="00DB7924"/>
    <w:rsid w:val="00DB7B15"/>
    <w:rsid w:val="00DB7B58"/>
    <w:rsid w:val="00DB7BCF"/>
    <w:rsid w:val="00DB7BEA"/>
    <w:rsid w:val="00DB7ECA"/>
    <w:rsid w:val="00DB7F1A"/>
    <w:rsid w:val="00DC00CD"/>
    <w:rsid w:val="00DC00DB"/>
    <w:rsid w:val="00DC0195"/>
    <w:rsid w:val="00DC01BE"/>
    <w:rsid w:val="00DC022A"/>
    <w:rsid w:val="00DC02C3"/>
    <w:rsid w:val="00DC0334"/>
    <w:rsid w:val="00DC041A"/>
    <w:rsid w:val="00DC0738"/>
    <w:rsid w:val="00DC09E7"/>
    <w:rsid w:val="00DC0B9B"/>
    <w:rsid w:val="00DC0D8C"/>
    <w:rsid w:val="00DC1088"/>
    <w:rsid w:val="00DC1188"/>
    <w:rsid w:val="00DC12E6"/>
    <w:rsid w:val="00DC13B2"/>
    <w:rsid w:val="00DC1415"/>
    <w:rsid w:val="00DC17B7"/>
    <w:rsid w:val="00DC1856"/>
    <w:rsid w:val="00DC191A"/>
    <w:rsid w:val="00DC1B0D"/>
    <w:rsid w:val="00DC1DE0"/>
    <w:rsid w:val="00DC1F89"/>
    <w:rsid w:val="00DC1F93"/>
    <w:rsid w:val="00DC1FB5"/>
    <w:rsid w:val="00DC1FDE"/>
    <w:rsid w:val="00DC20C8"/>
    <w:rsid w:val="00DC21D0"/>
    <w:rsid w:val="00DC221D"/>
    <w:rsid w:val="00DC25EB"/>
    <w:rsid w:val="00DC2734"/>
    <w:rsid w:val="00DC27EB"/>
    <w:rsid w:val="00DC288F"/>
    <w:rsid w:val="00DC2973"/>
    <w:rsid w:val="00DC29A5"/>
    <w:rsid w:val="00DC2AE4"/>
    <w:rsid w:val="00DC2CA4"/>
    <w:rsid w:val="00DC2D5F"/>
    <w:rsid w:val="00DC2D73"/>
    <w:rsid w:val="00DC2D82"/>
    <w:rsid w:val="00DC2FEE"/>
    <w:rsid w:val="00DC3124"/>
    <w:rsid w:val="00DC316C"/>
    <w:rsid w:val="00DC3203"/>
    <w:rsid w:val="00DC321A"/>
    <w:rsid w:val="00DC32A5"/>
    <w:rsid w:val="00DC32EB"/>
    <w:rsid w:val="00DC32F3"/>
    <w:rsid w:val="00DC362D"/>
    <w:rsid w:val="00DC3C4F"/>
    <w:rsid w:val="00DC3F9D"/>
    <w:rsid w:val="00DC4140"/>
    <w:rsid w:val="00DC4293"/>
    <w:rsid w:val="00DC4391"/>
    <w:rsid w:val="00DC448D"/>
    <w:rsid w:val="00DC4583"/>
    <w:rsid w:val="00DC4594"/>
    <w:rsid w:val="00DC45DE"/>
    <w:rsid w:val="00DC4672"/>
    <w:rsid w:val="00DC46EE"/>
    <w:rsid w:val="00DC488E"/>
    <w:rsid w:val="00DC49E3"/>
    <w:rsid w:val="00DC49F7"/>
    <w:rsid w:val="00DC4AE7"/>
    <w:rsid w:val="00DC4B41"/>
    <w:rsid w:val="00DC4CC5"/>
    <w:rsid w:val="00DC4EB9"/>
    <w:rsid w:val="00DC4ECA"/>
    <w:rsid w:val="00DC4ED6"/>
    <w:rsid w:val="00DC500A"/>
    <w:rsid w:val="00DC5177"/>
    <w:rsid w:val="00DC5485"/>
    <w:rsid w:val="00DC56D0"/>
    <w:rsid w:val="00DC5704"/>
    <w:rsid w:val="00DC5A52"/>
    <w:rsid w:val="00DC5BC6"/>
    <w:rsid w:val="00DC5C53"/>
    <w:rsid w:val="00DC5E25"/>
    <w:rsid w:val="00DC5EAB"/>
    <w:rsid w:val="00DC5FE1"/>
    <w:rsid w:val="00DC6104"/>
    <w:rsid w:val="00DC635A"/>
    <w:rsid w:val="00DC636E"/>
    <w:rsid w:val="00DC650B"/>
    <w:rsid w:val="00DC6512"/>
    <w:rsid w:val="00DC6585"/>
    <w:rsid w:val="00DC6760"/>
    <w:rsid w:val="00DC67EB"/>
    <w:rsid w:val="00DC698B"/>
    <w:rsid w:val="00DC6B24"/>
    <w:rsid w:val="00DC6E0E"/>
    <w:rsid w:val="00DC6E8C"/>
    <w:rsid w:val="00DC6F1A"/>
    <w:rsid w:val="00DC701C"/>
    <w:rsid w:val="00DC7160"/>
    <w:rsid w:val="00DC7164"/>
    <w:rsid w:val="00DC7365"/>
    <w:rsid w:val="00DC747E"/>
    <w:rsid w:val="00DC74B8"/>
    <w:rsid w:val="00DC7508"/>
    <w:rsid w:val="00DC75C7"/>
    <w:rsid w:val="00DC767E"/>
    <w:rsid w:val="00DC77D5"/>
    <w:rsid w:val="00DC77F2"/>
    <w:rsid w:val="00DC79F0"/>
    <w:rsid w:val="00DC7AC5"/>
    <w:rsid w:val="00DC7B2A"/>
    <w:rsid w:val="00DC7C40"/>
    <w:rsid w:val="00DC7D89"/>
    <w:rsid w:val="00DD0073"/>
    <w:rsid w:val="00DD00F3"/>
    <w:rsid w:val="00DD0105"/>
    <w:rsid w:val="00DD01CF"/>
    <w:rsid w:val="00DD038D"/>
    <w:rsid w:val="00DD0499"/>
    <w:rsid w:val="00DD05DE"/>
    <w:rsid w:val="00DD0677"/>
    <w:rsid w:val="00DD0A55"/>
    <w:rsid w:val="00DD0B3A"/>
    <w:rsid w:val="00DD0B93"/>
    <w:rsid w:val="00DD0C65"/>
    <w:rsid w:val="00DD0E11"/>
    <w:rsid w:val="00DD0E58"/>
    <w:rsid w:val="00DD0ECA"/>
    <w:rsid w:val="00DD12F2"/>
    <w:rsid w:val="00DD12FC"/>
    <w:rsid w:val="00DD1657"/>
    <w:rsid w:val="00DD17D9"/>
    <w:rsid w:val="00DD19FB"/>
    <w:rsid w:val="00DD1C36"/>
    <w:rsid w:val="00DD1C4A"/>
    <w:rsid w:val="00DD1CA1"/>
    <w:rsid w:val="00DD1ECB"/>
    <w:rsid w:val="00DD1F4E"/>
    <w:rsid w:val="00DD2197"/>
    <w:rsid w:val="00DD235D"/>
    <w:rsid w:val="00DD25B8"/>
    <w:rsid w:val="00DD273C"/>
    <w:rsid w:val="00DD279F"/>
    <w:rsid w:val="00DD2851"/>
    <w:rsid w:val="00DD28C2"/>
    <w:rsid w:val="00DD2ACA"/>
    <w:rsid w:val="00DD2AE5"/>
    <w:rsid w:val="00DD2D1D"/>
    <w:rsid w:val="00DD2E67"/>
    <w:rsid w:val="00DD2F5E"/>
    <w:rsid w:val="00DD3075"/>
    <w:rsid w:val="00DD312C"/>
    <w:rsid w:val="00DD317B"/>
    <w:rsid w:val="00DD3254"/>
    <w:rsid w:val="00DD3360"/>
    <w:rsid w:val="00DD3546"/>
    <w:rsid w:val="00DD3558"/>
    <w:rsid w:val="00DD3583"/>
    <w:rsid w:val="00DD35FA"/>
    <w:rsid w:val="00DD364D"/>
    <w:rsid w:val="00DD36A1"/>
    <w:rsid w:val="00DD3A7B"/>
    <w:rsid w:val="00DD3B81"/>
    <w:rsid w:val="00DD3DF5"/>
    <w:rsid w:val="00DD3F01"/>
    <w:rsid w:val="00DD3FDC"/>
    <w:rsid w:val="00DD4012"/>
    <w:rsid w:val="00DD40B2"/>
    <w:rsid w:val="00DD4134"/>
    <w:rsid w:val="00DD42BA"/>
    <w:rsid w:val="00DD45BF"/>
    <w:rsid w:val="00DD4721"/>
    <w:rsid w:val="00DD495D"/>
    <w:rsid w:val="00DD4C4B"/>
    <w:rsid w:val="00DD5236"/>
    <w:rsid w:val="00DD5240"/>
    <w:rsid w:val="00DD52B5"/>
    <w:rsid w:val="00DD53C4"/>
    <w:rsid w:val="00DD53FE"/>
    <w:rsid w:val="00DD551D"/>
    <w:rsid w:val="00DD567E"/>
    <w:rsid w:val="00DD56BF"/>
    <w:rsid w:val="00DD5795"/>
    <w:rsid w:val="00DD587A"/>
    <w:rsid w:val="00DD5A3A"/>
    <w:rsid w:val="00DD5A63"/>
    <w:rsid w:val="00DD5CDB"/>
    <w:rsid w:val="00DD5D18"/>
    <w:rsid w:val="00DD5D37"/>
    <w:rsid w:val="00DD5EB3"/>
    <w:rsid w:val="00DD6065"/>
    <w:rsid w:val="00DD61A0"/>
    <w:rsid w:val="00DD6202"/>
    <w:rsid w:val="00DD627A"/>
    <w:rsid w:val="00DD62A2"/>
    <w:rsid w:val="00DD6379"/>
    <w:rsid w:val="00DD640B"/>
    <w:rsid w:val="00DD6437"/>
    <w:rsid w:val="00DD6493"/>
    <w:rsid w:val="00DD64F9"/>
    <w:rsid w:val="00DD6763"/>
    <w:rsid w:val="00DD68FD"/>
    <w:rsid w:val="00DD698E"/>
    <w:rsid w:val="00DD6AAC"/>
    <w:rsid w:val="00DD6B2A"/>
    <w:rsid w:val="00DD6B5F"/>
    <w:rsid w:val="00DD6CBC"/>
    <w:rsid w:val="00DD6D3D"/>
    <w:rsid w:val="00DD6E57"/>
    <w:rsid w:val="00DD6FB8"/>
    <w:rsid w:val="00DD6FC7"/>
    <w:rsid w:val="00DD7041"/>
    <w:rsid w:val="00DD7080"/>
    <w:rsid w:val="00DD7208"/>
    <w:rsid w:val="00DD7492"/>
    <w:rsid w:val="00DD7522"/>
    <w:rsid w:val="00DD756D"/>
    <w:rsid w:val="00DD766F"/>
    <w:rsid w:val="00DD7B2B"/>
    <w:rsid w:val="00DD7C8E"/>
    <w:rsid w:val="00DD7D2D"/>
    <w:rsid w:val="00DD7F90"/>
    <w:rsid w:val="00DE0024"/>
    <w:rsid w:val="00DE01F6"/>
    <w:rsid w:val="00DE0288"/>
    <w:rsid w:val="00DE067C"/>
    <w:rsid w:val="00DE06BC"/>
    <w:rsid w:val="00DE083A"/>
    <w:rsid w:val="00DE0858"/>
    <w:rsid w:val="00DE08D3"/>
    <w:rsid w:val="00DE0996"/>
    <w:rsid w:val="00DE09A4"/>
    <w:rsid w:val="00DE09BE"/>
    <w:rsid w:val="00DE0AB8"/>
    <w:rsid w:val="00DE0B23"/>
    <w:rsid w:val="00DE0D26"/>
    <w:rsid w:val="00DE0D40"/>
    <w:rsid w:val="00DE0E1E"/>
    <w:rsid w:val="00DE10C4"/>
    <w:rsid w:val="00DE138A"/>
    <w:rsid w:val="00DE151D"/>
    <w:rsid w:val="00DE15A4"/>
    <w:rsid w:val="00DE15C1"/>
    <w:rsid w:val="00DE1687"/>
    <w:rsid w:val="00DE169C"/>
    <w:rsid w:val="00DE19EA"/>
    <w:rsid w:val="00DE19F7"/>
    <w:rsid w:val="00DE1A04"/>
    <w:rsid w:val="00DE1A4F"/>
    <w:rsid w:val="00DE1A7D"/>
    <w:rsid w:val="00DE1E5D"/>
    <w:rsid w:val="00DE1F3E"/>
    <w:rsid w:val="00DE1F8C"/>
    <w:rsid w:val="00DE1FB1"/>
    <w:rsid w:val="00DE2004"/>
    <w:rsid w:val="00DE20D9"/>
    <w:rsid w:val="00DE24D6"/>
    <w:rsid w:val="00DE2636"/>
    <w:rsid w:val="00DE26A6"/>
    <w:rsid w:val="00DE26E2"/>
    <w:rsid w:val="00DE27AF"/>
    <w:rsid w:val="00DE2AB6"/>
    <w:rsid w:val="00DE2E82"/>
    <w:rsid w:val="00DE2E9B"/>
    <w:rsid w:val="00DE2F92"/>
    <w:rsid w:val="00DE306B"/>
    <w:rsid w:val="00DE310A"/>
    <w:rsid w:val="00DE3191"/>
    <w:rsid w:val="00DE32B6"/>
    <w:rsid w:val="00DE3580"/>
    <w:rsid w:val="00DE365A"/>
    <w:rsid w:val="00DE3A73"/>
    <w:rsid w:val="00DE3BB2"/>
    <w:rsid w:val="00DE3D44"/>
    <w:rsid w:val="00DE3E3B"/>
    <w:rsid w:val="00DE3EA0"/>
    <w:rsid w:val="00DE3F30"/>
    <w:rsid w:val="00DE3FD3"/>
    <w:rsid w:val="00DE40EC"/>
    <w:rsid w:val="00DE42CB"/>
    <w:rsid w:val="00DE436C"/>
    <w:rsid w:val="00DE437F"/>
    <w:rsid w:val="00DE4465"/>
    <w:rsid w:val="00DE449B"/>
    <w:rsid w:val="00DE44D0"/>
    <w:rsid w:val="00DE45BB"/>
    <w:rsid w:val="00DE4944"/>
    <w:rsid w:val="00DE49FD"/>
    <w:rsid w:val="00DE4CBE"/>
    <w:rsid w:val="00DE4DB1"/>
    <w:rsid w:val="00DE4DCD"/>
    <w:rsid w:val="00DE4E55"/>
    <w:rsid w:val="00DE5091"/>
    <w:rsid w:val="00DE5196"/>
    <w:rsid w:val="00DE528D"/>
    <w:rsid w:val="00DE55D2"/>
    <w:rsid w:val="00DE58D6"/>
    <w:rsid w:val="00DE58FA"/>
    <w:rsid w:val="00DE59A6"/>
    <w:rsid w:val="00DE59B7"/>
    <w:rsid w:val="00DE5A3B"/>
    <w:rsid w:val="00DE5CA0"/>
    <w:rsid w:val="00DE5E2A"/>
    <w:rsid w:val="00DE5E7D"/>
    <w:rsid w:val="00DE5F4F"/>
    <w:rsid w:val="00DE5FA5"/>
    <w:rsid w:val="00DE629E"/>
    <w:rsid w:val="00DE6314"/>
    <w:rsid w:val="00DE6346"/>
    <w:rsid w:val="00DE637A"/>
    <w:rsid w:val="00DE63A2"/>
    <w:rsid w:val="00DE641F"/>
    <w:rsid w:val="00DE654B"/>
    <w:rsid w:val="00DE66CE"/>
    <w:rsid w:val="00DE696E"/>
    <w:rsid w:val="00DE6BB2"/>
    <w:rsid w:val="00DE6BEC"/>
    <w:rsid w:val="00DE6D30"/>
    <w:rsid w:val="00DE6E11"/>
    <w:rsid w:val="00DE701C"/>
    <w:rsid w:val="00DE7129"/>
    <w:rsid w:val="00DE748E"/>
    <w:rsid w:val="00DE7672"/>
    <w:rsid w:val="00DE78A6"/>
    <w:rsid w:val="00DE78BC"/>
    <w:rsid w:val="00DE79AA"/>
    <w:rsid w:val="00DE7A70"/>
    <w:rsid w:val="00DE7C36"/>
    <w:rsid w:val="00DE7C8F"/>
    <w:rsid w:val="00DE7CA4"/>
    <w:rsid w:val="00DE7D45"/>
    <w:rsid w:val="00DE7F4C"/>
    <w:rsid w:val="00DF0243"/>
    <w:rsid w:val="00DF029D"/>
    <w:rsid w:val="00DF02A7"/>
    <w:rsid w:val="00DF041B"/>
    <w:rsid w:val="00DF04BB"/>
    <w:rsid w:val="00DF065E"/>
    <w:rsid w:val="00DF0742"/>
    <w:rsid w:val="00DF089D"/>
    <w:rsid w:val="00DF0A6F"/>
    <w:rsid w:val="00DF0ABB"/>
    <w:rsid w:val="00DF0D01"/>
    <w:rsid w:val="00DF0D6D"/>
    <w:rsid w:val="00DF0EE5"/>
    <w:rsid w:val="00DF0F29"/>
    <w:rsid w:val="00DF0FA3"/>
    <w:rsid w:val="00DF10AE"/>
    <w:rsid w:val="00DF1220"/>
    <w:rsid w:val="00DF1316"/>
    <w:rsid w:val="00DF1547"/>
    <w:rsid w:val="00DF156B"/>
    <w:rsid w:val="00DF157B"/>
    <w:rsid w:val="00DF1624"/>
    <w:rsid w:val="00DF16B7"/>
    <w:rsid w:val="00DF16D7"/>
    <w:rsid w:val="00DF16DC"/>
    <w:rsid w:val="00DF1795"/>
    <w:rsid w:val="00DF17B1"/>
    <w:rsid w:val="00DF185C"/>
    <w:rsid w:val="00DF1A49"/>
    <w:rsid w:val="00DF1B08"/>
    <w:rsid w:val="00DF1B12"/>
    <w:rsid w:val="00DF1BFC"/>
    <w:rsid w:val="00DF1DFC"/>
    <w:rsid w:val="00DF201A"/>
    <w:rsid w:val="00DF2229"/>
    <w:rsid w:val="00DF2246"/>
    <w:rsid w:val="00DF22B8"/>
    <w:rsid w:val="00DF2664"/>
    <w:rsid w:val="00DF28D6"/>
    <w:rsid w:val="00DF2CB3"/>
    <w:rsid w:val="00DF2EB3"/>
    <w:rsid w:val="00DF2FA4"/>
    <w:rsid w:val="00DF305A"/>
    <w:rsid w:val="00DF3211"/>
    <w:rsid w:val="00DF35FD"/>
    <w:rsid w:val="00DF3687"/>
    <w:rsid w:val="00DF3706"/>
    <w:rsid w:val="00DF3795"/>
    <w:rsid w:val="00DF381F"/>
    <w:rsid w:val="00DF384B"/>
    <w:rsid w:val="00DF38AA"/>
    <w:rsid w:val="00DF38CB"/>
    <w:rsid w:val="00DF3A24"/>
    <w:rsid w:val="00DF3B59"/>
    <w:rsid w:val="00DF3C50"/>
    <w:rsid w:val="00DF3D66"/>
    <w:rsid w:val="00DF3DD5"/>
    <w:rsid w:val="00DF4007"/>
    <w:rsid w:val="00DF4140"/>
    <w:rsid w:val="00DF4239"/>
    <w:rsid w:val="00DF43CC"/>
    <w:rsid w:val="00DF43FF"/>
    <w:rsid w:val="00DF44DD"/>
    <w:rsid w:val="00DF4571"/>
    <w:rsid w:val="00DF45D5"/>
    <w:rsid w:val="00DF465C"/>
    <w:rsid w:val="00DF46CE"/>
    <w:rsid w:val="00DF4870"/>
    <w:rsid w:val="00DF4909"/>
    <w:rsid w:val="00DF4940"/>
    <w:rsid w:val="00DF498C"/>
    <w:rsid w:val="00DF4B8E"/>
    <w:rsid w:val="00DF4E69"/>
    <w:rsid w:val="00DF4ED2"/>
    <w:rsid w:val="00DF4FA1"/>
    <w:rsid w:val="00DF50AE"/>
    <w:rsid w:val="00DF545D"/>
    <w:rsid w:val="00DF54A1"/>
    <w:rsid w:val="00DF553E"/>
    <w:rsid w:val="00DF564C"/>
    <w:rsid w:val="00DF5980"/>
    <w:rsid w:val="00DF5A5E"/>
    <w:rsid w:val="00DF5BFA"/>
    <w:rsid w:val="00DF5DD6"/>
    <w:rsid w:val="00DF5E2F"/>
    <w:rsid w:val="00DF5E74"/>
    <w:rsid w:val="00DF5ED2"/>
    <w:rsid w:val="00DF5F07"/>
    <w:rsid w:val="00DF6092"/>
    <w:rsid w:val="00DF60A8"/>
    <w:rsid w:val="00DF6330"/>
    <w:rsid w:val="00DF6416"/>
    <w:rsid w:val="00DF6427"/>
    <w:rsid w:val="00DF64A8"/>
    <w:rsid w:val="00DF65D5"/>
    <w:rsid w:val="00DF66BD"/>
    <w:rsid w:val="00DF6720"/>
    <w:rsid w:val="00DF68CD"/>
    <w:rsid w:val="00DF69CE"/>
    <w:rsid w:val="00DF6A79"/>
    <w:rsid w:val="00DF6AA8"/>
    <w:rsid w:val="00DF6B95"/>
    <w:rsid w:val="00DF6CEC"/>
    <w:rsid w:val="00DF6CEE"/>
    <w:rsid w:val="00DF6E0A"/>
    <w:rsid w:val="00DF701B"/>
    <w:rsid w:val="00DF717D"/>
    <w:rsid w:val="00DF71B8"/>
    <w:rsid w:val="00DF7392"/>
    <w:rsid w:val="00DF73E2"/>
    <w:rsid w:val="00DF7456"/>
    <w:rsid w:val="00DF7531"/>
    <w:rsid w:val="00DF7959"/>
    <w:rsid w:val="00DF7A0E"/>
    <w:rsid w:val="00DF7A56"/>
    <w:rsid w:val="00DF7BBE"/>
    <w:rsid w:val="00E0010E"/>
    <w:rsid w:val="00E0016C"/>
    <w:rsid w:val="00E002E9"/>
    <w:rsid w:val="00E00581"/>
    <w:rsid w:val="00E0062F"/>
    <w:rsid w:val="00E007E6"/>
    <w:rsid w:val="00E00961"/>
    <w:rsid w:val="00E0098F"/>
    <w:rsid w:val="00E00A64"/>
    <w:rsid w:val="00E00AEC"/>
    <w:rsid w:val="00E00B24"/>
    <w:rsid w:val="00E00EB1"/>
    <w:rsid w:val="00E00F76"/>
    <w:rsid w:val="00E01117"/>
    <w:rsid w:val="00E014ED"/>
    <w:rsid w:val="00E01670"/>
    <w:rsid w:val="00E01685"/>
    <w:rsid w:val="00E01707"/>
    <w:rsid w:val="00E01791"/>
    <w:rsid w:val="00E0186F"/>
    <w:rsid w:val="00E01923"/>
    <w:rsid w:val="00E01A52"/>
    <w:rsid w:val="00E01A77"/>
    <w:rsid w:val="00E01B88"/>
    <w:rsid w:val="00E01BB7"/>
    <w:rsid w:val="00E01D7E"/>
    <w:rsid w:val="00E01E89"/>
    <w:rsid w:val="00E01F1B"/>
    <w:rsid w:val="00E01F50"/>
    <w:rsid w:val="00E0220B"/>
    <w:rsid w:val="00E022A2"/>
    <w:rsid w:val="00E022FE"/>
    <w:rsid w:val="00E02475"/>
    <w:rsid w:val="00E02496"/>
    <w:rsid w:val="00E026B7"/>
    <w:rsid w:val="00E027EC"/>
    <w:rsid w:val="00E02CBD"/>
    <w:rsid w:val="00E02ED4"/>
    <w:rsid w:val="00E02F45"/>
    <w:rsid w:val="00E02F72"/>
    <w:rsid w:val="00E02F83"/>
    <w:rsid w:val="00E030A4"/>
    <w:rsid w:val="00E030CC"/>
    <w:rsid w:val="00E031FD"/>
    <w:rsid w:val="00E0357B"/>
    <w:rsid w:val="00E036CB"/>
    <w:rsid w:val="00E0371D"/>
    <w:rsid w:val="00E0383F"/>
    <w:rsid w:val="00E03885"/>
    <w:rsid w:val="00E039F4"/>
    <w:rsid w:val="00E03ADA"/>
    <w:rsid w:val="00E03AF3"/>
    <w:rsid w:val="00E03C30"/>
    <w:rsid w:val="00E03C53"/>
    <w:rsid w:val="00E03CED"/>
    <w:rsid w:val="00E03E43"/>
    <w:rsid w:val="00E0414B"/>
    <w:rsid w:val="00E041BF"/>
    <w:rsid w:val="00E041E0"/>
    <w:rsid w:val="00E04249"/>
    <w:rsid w:val="00E043A5"/>
    <w:rsid w:val="00E04407"/>
    <w:rsid w:val="00E044DD"/>
    <w:rsid w:val="00E04834"/>
    <w:rsid w:val="00E0486C"/>
    <w:rsid w:val="00E04A5E"/>
    <w:rsid w:val="00E04AAA"/>
    <w:rsid w:val="00E04FED"/>
    <w:rsid w:val="00E0509A"/>
    <w:rsid w:val="00E050A5"/>
    <w:rsid w:val="00E053F7"/>
    <w:rsid w:val="00E05848"/>
    <w:rsid w:val="00E058B9"/>
    <w:rsid w:val="00E05906"/>
    <w:rsid w:val="00E05983"/>
    <w:rsid w:val="00E05999"/>
    <w:rsid w:val="00E05F7D"/>
    <w:rsid w:val="00E060AD"/>
    <w:rsid w:val="00E06385"/>
    <w:rsid w:val="00E06460"/>
    <w:rsid w:val="00E0659C"/>
    <w:rsid w:val="00E06608"/>
    <w:rsid w:val="00E06660"/>
    <w:rsid w:val="00E066CE"/>
    <w:rsid w:val="00E06768"/>
    <w:rsid w:val="00E0682C"/>
    <w:rsid w:val="00E068C1"/>
    <w:rsid w:val="00E06965"/>
    <w:rsid w:val="00E069A8"/>
    <w:rsid w:val="00E06A10"/>
    <w:rsid w:val="00E06AFF"/>
    <w:rsid w:val="00E06B02"/>
    <w:rsid w:val="00E06C88"/>
    <w:rsid w:val="00E06CF4"/>
    <w:rsid w:val="00E06F36"/>
    <w:rsid w:val="00E06F8D"/>
    <w:rsid w:val="00E06FBA"/>
    <w:rsid w:val="00E072E8"/>
    <w:rsid w:val="00E07795"/>
    <w:rsid w:val="00E07873"/>
    <w:rsid w:val="00E07943"/>
    <w:rsid w:val="00E07A69"/>
    <w:rsid w:val="00E07CAB"/>
    <w:rsid w:val="00E07DE7"/>
    <w:rsid w:val="00E07ED4"/>
    <w:rsid w:val="00E07FAD"/>
    <w:rsid w:val="00E10122"/>
    <w:rsid w:val="00E101FA"/>
    <w:rsid w:val="00E1026B"/>
    <w:rsid w:val="00E10314"/>
    <w:rsid w:val="00E106B8"/>
    <w:rsid w:val="00E107E3"/>
    <w:rsid w:val="00E10827"/>
    <w:rsid w:val="00E10BBF"/>
    <w:rsid w:val="00E10CE7"/>
    <w:rsid w:val="00E10CEE"/>
    <w:rsid w:val="00E10E7F"/>
    <w:rsid w:val="00E10F84"/>
    <w:rsid w:val="00E10F8E"/>
    <w:rsid w:val="00E1106F"/>
    <w:rsid w:val="00E110DA"/>
    <w:rsid w:val="00E11294"/>
    <w:rsid w:val="00E114CB"/>
    <w:rsid w:val="00E11694"/>
    <w:rsid w:val="00E11826"/>
    <w:rsid w:val="00E118A3"/>
    <w:rsid w:val="00E11A4E"/>
    <w:rsid w:val="00E11B02"/>
    <w:rsid w:val="00E11B42"/>
    <w:rsid w:val="00E11B7C"/>
    <w:rsid w:val="00E11BC7"/>
    <w:rsid w:val="00E11BD0"/>
    <w:rsid w:val="00E11CCE"/>
    <w:rsid w:val="00E11CD0"/>
    <w:rsid w:val="00E11D78"/>
    <w:rsid w:val="00E11E62"/>
    <w:rsid w:val="00E11EED"/>
    <w:rsid w:val="00E11EF5"/>
    <w:rsid w:val="00E11F72"/>
    <w:rsid w:val="00E120F4"/>
    <w:rsid w:val="00E12267"/>
    <w:rsid w:val="00E12271"/>
    <w:rsid w:val="00E12333"/>
    <w:rsid w:val="00E126A2"/>
    <w:rsid w:val="00E127BB"/>
    <w:rsid w:val="00E1281F"/>
    <w:rsid w:val="00E129F0"/>
    <w:rsid w:val="00E12AEF"/>
    <w:rsid w:val="00E12D14"/>
    <w:rsid w:val="00E12F5A"/>
    <w:rsid w:val="00E13035"/>
    <w:rsid w:val="00E1323A"/>
    <w:rsid w:val="00E13355"/>
    <w:rsid w:val="00E13366"/>
    <w:rsid w:val="00E13402"/>
    <w:rsid w:val="00E13641"/>
    <w:rsid w:val="00E13801"/>
    <w:rsid w:val="00E13908"/>
    <w:rsid w:val="00E13A1A"/>
    <w:rsid w:val="00E13D87"/>
    <w:rsid w:val="00E13E60"/>
    <w:rsid w:val="00E13FFE"/>
    <w:rsid w:val="00E1424F"/>
    <w:rsid w:val="00E142DA"/>
    <w:rsid w:val="00E14394"/>
    <w:rsid w:val="00E14515"/>
    <w:rsid w:val="00E146AC"/>
    <w:rsid w:val="00E146B8"/>
    <w:rsid w:val="00E14843"/>
    <w:rsid w:val="00E14D06"/>
    <w:rsid w:val="00E14D14"/>
    <w:rsid w:val="00E14DBA"/>
    <w:rsid w:val="00E14DEE"/>
    <w:rsid w:val="00E150D9"/>
    <w:rsid w:val="00E1516E"/>
    <w:rsid w:val="00E15180"/>
    <w:rsid w:val="00E1525E"/>
    <w:rsid w:val="00E15569"/>
    <w:rsid w:val="00E155ED"/>
    <w:rsid w:val="00E15BA9"/>
    <w:rsid w:val="00E15CDA"/>
    <w:rsid w:val="00E15F80"/>
    <w:rsid w:val="00E16276"/>
    <w:rsid w:val="00E162DC"/>
    <w:rsid w:val="00E1634A"/>
    <w:rsid w:val="00E16588"/>
    <w:rsid w:val="00E16B0F"/>
    <w:rsid w:val="00E16B13"/>
    <w:rsid w:val="00E16B7C"/>
    <w:rsid w:val="00E16B9E"/>
    <w:rsid w:val="00E16DDC"/>
    <w:rsid w:val="00E16E20"/>
    <w:rsid w:val="00E16EA1"/>
    <w:rsid w:val="00E16F11"/>
    <w:rsid w:val="00E171E3"/>
    <w:rsid w:val="00E17522"/>
    <w:rsid w:val="00E17592"/>
    <w:rsid w:val="00E175DC"/>
    <w:rsid w:val="00E176A8"/>
    <w:rsid w:val="00E176C6"/>
    <w:rsid w:val="00E177E9"/>
    <w:rsid w:val="00E17969"/>
    <w:rsid w:val="00E1798E"/>
    <w:rsid w:val="00E17E7A"/>
    <w:rsid w:val="00E2004F"/>
    <w:rsid w:val="00E200A8"/>
    <w:rsid w:val="00E20163"/>
    <w:rsid w:val="00E201A9"/>
    <w:rsid w:val="00E201D9"/>
    <w:rsid w:val="00E2026A"/>
    <w:rsid w:val="00E2031B"/>
    <w:rsid w:val="00E206EE"/>
    <w:rsid w:val="00E20787"/>
    <w:rsid w:val="00E20983"/>
    <w:rsid w:val="00E209A5"/>
    <w:rsid w:val="00E20A3B"/>
    <w:rsid w:val="00E20A3F"/>
    <w:rsid w:val="00E20A96"/>
    <w:rsid w:val="00E20B68"/>
    <w:rsid w:val="00E20C35"/>
    <w:rsid w:val="00E20FA0"/>
    <w:rsid w:val="00E20FB9"/>
    <w:rsid w:val="00E21075"/>
    <w:rsid w:val="00E2155F"/>
    <w:rsid w:val="00E216E2"/>
    <w:rsid w:val="00E21885"/>
    <w:rsid w:val="00E21929"/>
    <w:rsid w:val="00E21990"/>
    <w:rsid w:val="00E219A7"/>
    <w:rsid w:val="00E219CD"/>
    <w:rsid w:val="00E21E5D"/>
    <w:rsid w:val="00E21F8C"/>
    <w:rsid w:val="00E21FDF"/>
    <w:rsid w:val="00E220C2"/>
    <w:rsid w:val="00E22267"/>
    <w:rsid w:val="00E223F8"/>
    <w:rsid w:val="00E22545"/>
    <w:rsid w:val="00E226D6"/>
    <w:rsid w:val="00E22853"/>
    <w:rsid w:val="00E22A29"/>
    <w:rsid w:val="00E22BE5"/>
    <w:rsid w:val="00E22CE7"/>
    <w:rsid w:val="00E22DC7"/>
    <w:rsid w:val="00E22E53"/>
    <w:rsid w:val="00E22E9A"/>
    <w:rsid w:val="00E22EE8"/>
    <w:rsid w:val="00E23090"/>
    <w:rsid w:val="00E2340B"/>
    <w:rsid w:val="00E23428"/>
    <w:rsid w:val="00E23478"/>
    <w:rsid w:val="00E2347E"/>
    <w:rsid w:val="00E23493"/>
    <w:rsid w:val="00E235E8"/>
    <w:rsid w:val="00E2364F"/>
    <w:rsid w:val="00E23710"/>
    <w:rsid w:val="00E23799"/>
    <w:rsid w:val="00E23975"/>
    <w:rsid w:val="00E239E6"/>
    <w:rsid w:val="00E23AB6"/>
    <w:rsid w:val="00E23B03"/>
    <w:rsid w:val="00E23B13"/>
    <w:rsid w:val="00E23C7D"/>
    <w:rsid w:val="00E23CE4"/>
    <w:rsid w:val="00E23D2E"/>
    <w:rsid w:val="00E23E39"/>
    <w:rsid w:val="00E23FE0"/>
    <w:rsid w:val="00E24032"/>
    <w:rsid w:val="00E24045"/>
    <w:rsid w:val="00E2414B"/>
    <w:rsid w:val="00E24207"/>
    <w:rsid w:val="00E242F7"/>
    <w:rsid w:val="00E24348"/>
    <w:rsid w:val="00E245AF"/>
    <w:rsid w:val="00E2470F"/>
    <w:rsid w:val="00E2483F"/>
    <w:rsid w:val="00E248AD"/>
    <w:rsid w:val="00E24946"/>
    <w:rsid w:val="00E24AF0"/>
    <w:rsid w:val="00E24AF5"/>
    <w:rsid w:val="00E24C4E"/>
    <w:rsid w:val="00E25111"/>
    <w:rsid w:val="00E251AE"/>
    <w:rsid w:val="00E252D4"/>
    <w:rsid w:val="00E25546"/>
    <w:rsid w:val="00E25577"/>
    <w:rsid w:val="00E2571A"/>
    <w:rsid w:val="00E25752"/>
    <w:rsid w:val="00E25881"/>
    <w:rsid w:val="00E25900"/>
    <w:rsid w:val="00E25B50"/>
    <w:rsid w:val="00E25BAD"/>
    <w:rsid w:val="00E25C4A"/>
    <w:rsid w:val="00E25CAE"/>
    <w:rsid w:val="00E25CAF"/>
    <w:rsid w:val="00E25E16"/>
    <w:rsid w:val="00E25F54"/>
    <w:rsid w:val="00E26016"/>
    <w:rsid w:val="00E26024"/>
    <w:rsid w:val="00E26167"/>
    <w:rsid w:val="00E26246"/>
    <w:rsid w:val="00E26298"/>
    <w:rsid w:val="00E263D3"/>
    <w:rsid w:val="00E263FB"/>
    <w:rsid w:val="00E26479"/>
    <w:rsid w:val="00E267EF"/>
    <w:rsid w:val="00E26861"/>
    <w:rsid w:val="00E26BBC"/>
    <w:rsid w:val="00E26C73"/>
    <w:rsid w:val="00E2708A"/>
    <w:rsid w:val="00E27207"/>
    <w:rsid w:val="00E27427"/>
    <w:rsid w:val="00E27574"/>
    <w:rsid w:val="00E276BA"/>
    <w:rsid w:val="00E277A8"/>
    <w:rsid w:val="00E2793F"/>
    <w:rsid w:val="00E27AED"/>
    <w:rsid w:val="00E27B1C"/>
    <w:rsid w:val="00E27D39"/>
    <w:rsid w:val="00E27D93"/>
    <w:rsid w:val="00E27E6F"/>
    <w:rsid w:val="00E304CF"/>
    <w:rsid w:val="00E30598"/>
    <w:rsid w:val="00E30631"/>
    <w:rsid w:val="00E308CC"/>
    <w:rsid w:val="00E308D0"/>
    <w:rsid w:val="00E308E2"/>
    <w:rsid w:val="00E30989"/>
    <w:rsid w:val="00E309D6"/>
    <w:rsid w:val="00E30A55"/>
    <w:rsid w:val="00E30A74"/>
    <w:rsid w:val="00E30B0A"/>
    <w:rsid w:val="00E30C72"/>
    <w:rsid w:val="00E30D54"/>
    <w:rsid w:val="00E30E3B"/>
    <w:rsid w:val="00E310B6"/>
    <w:rsid w:val="00E311CD"/>
    <w:rsid w:val="00E312B8"/>
    <w:rsid w:val="00E31358"/>
    <w:rsid w:val="00E313E4"/>
    <w:rsid w:val="00E3144F"/>
    <w:rsid w:val="00E316F8"/>
    <w:rsid w:val="00E31736"/>
    <w:rsid w:val="00E31748"/>
    <w:rsid w:val="00E31841"/>
    <w:rsid w:val="00E31903"/>
    <w:rsid w:val="00E31C57"/>
    <w:rsid w:val="00E31D08"/>
    <w:rsid w:val="00E31E69"/>
    <w:rsid w:val="00E31ED9"/>
    <w:rsid w:val="00E32080"/>
    <w:rsid w:val="00E3209B"/>
    <w:rsid w:val="00E32109"/>
    <w:rsid w:val="00E32119"/>
    <w:rsid w:val="00E321A5"/>
    <w:rsid w:val="00E32539"/>
    <w:rsid w:val="00E326ED"/>
    <w:rsid w:val="00E3279E"/>
    <w:rsid w:val="00E32811"/>
    <w:rsid w:val="00E32841"/>
    <w:rsid w:val="00E328AC"/>
    <w:rsid w:val="00E328C6"/>
    <w:rsid w:val="00E32A54"/>
    <w:rsid w:val="00E32A57"/>
    <w:rsid w:val="00E32AAA"/>
    <w:rsid w:val="00E32CBC"/>
    <w:rsid w:val="00E32CF5"/>
    <w:rsid w:val="00E32D3C"/>
    <w:rsid w:val="00E32E03"/>
    <w:rsid w:val="00E3303D"/>
    <w:rsid w:val="00E331F8"/>
    <w:rsid w:val="00E335DD"/>
    <w:rsid w:val="00E3361F"/>
    <w:rsid w:val="00E337B2"/>
    <w:rsid w:val="00E3386E"/>
    <w:rsid w:val="00E338FF"/>
    <w:rsid w:val="00E33AE2"/>
    <w:rsid w:val="00E33D20"/>
    <w:rsid w:val="00E33D3F"/>
    <w:rsid w:val="00E33D54"/>
    <w:rsid w:val="00E33E86"/>
    <w:rsid w:val="00E3419A"/>
    <w:rsid w:val="00E344FC"/>
    <w:rsid w:val="00E34875"/>
    <w:rsid w:val="00E34915"/>
    <w:rsid w:val="00E34D30"/>
    <w:rsid w:val="00E34EB6"/>
    <w:rsid w:val="00E34FD7"/>
    <w:rsid w:val="00E35183"/>
    <w:rsid w:val="00E352DE"/>
    <w:rsid w:val="00E354C1"/>
    <w:rsid w:val="00E3559F"/>
    <w:rsid w:val="00E35A25"/>
    <w:rsid w:val="00E35A5E"/>
    <w:rsid w:val="00E35AB9"/>
    <w:rsid w:val="00E35C0D"/>
    <w:rsid w:val="00E35DD5"/>
    <w:rsid w:val="00E35E02"/>
    <w:rsid w:val="00E3626E"/>
    <w:rsid w:val="00E36275"/>
    <w:rsid w:val="00E362B9"/>
    <w:rsid w:val="00E3651D"/>
    <w:rsid w:val="00E367A3"/>
    <w:rsid w:val="00E367B0"/>
    <w:rsid w:val="00E368C3"/>
    <w:rsid w:val="00E36A3C"/>
    <w:rsid w:val="00E36C99"/>
    <w:rsid w:val="00E36CA4"/>
    <w:rsid w:val="00E36F36"/>
    <w:rsid w:val="00E36FC2"/>
    <w:rsid w:val="00E371FC"/>
    <w:rsid w:val="00E3725B"/>
    <w:rsid w:val="00E374BC"/>
    <w:rsid w:val="00E37513"/>
    <w:rsid w:val="00E37923"/>
    <w:rsid w:val="00E37945"/>
    <w:rsid w:val="00E3797B"/>
    <w:rsid w:val="00E37B29"/>
    <w:rsid w:val="00E37BB7"/>
    <w:rsid w:val="00E37BFA"/>
    <w:rsid w:val="00E37C37"/>
    <w:rsid w:val="00E37C47"/>
    <w:rsid w:val="00E37D16"/>
    <w:rsid w:val="00E37D7B"/>
    <w:rsid w:val="00E400A0"/>
    <w:rsid w:val="00E407D6"/>
    <w:rsid w:val="00E4080E"/>
    <w:rsid w:val="00E4081E"/>
    <w:rsid w:val="00E40858"/>
    <w:rsid w:val="00E40F85"/>
    <w:rsid w:val="00E410B0"/>
    <w:rsid w:val="00E4122E"/>
    <w:rsid w:val="00E41259"/>
    <w:rsid w:val="00E41346"/>
    <w:rsid w:val="00E4149E"/>
    <w:rsid w:val="00E416FA"/>
    <w:rsid w:val="00E417B6"/>
    <w:rsid w:val="00E417D8"/>
    <w:rsid w:val="00E4195E"/>
    <w:rsid w:val="00E419B3"/>
    <w:rsid w:val="00E41AE9"/>
    <w:rsid w:val="00E41D6F"/>
    <w:rsid w:val="00E41DF5"/>
    <w:rsid w:val="00E421DE"/>
    <w:rsid w:val="00E42239"/>
    <w:rsid w:val="00E42287"/>
    <w:rsid w:val="00E4232A"/>
    <w:rsid w:val="00E42348"/>
    <w:rsid w:val="00E423D5"/>
    <w:rsid w:val="00E4252F"/>
    <w:rsid w:val="00E4257C"/>
    <w:rsid w:val="00E427AD"/>
    <w:rsid w:val="00E4283A"/>
    <w:rsid w:val="00E42932"/>
    <w:rsid w:val="00E429B8"/>
    <w:rsid w:val="00E42A45"/>
    <w:rsid w:val="00E42C7B"/>
    <w:rsid w:val="00E42D75"/>
    <w:rsid w:val="00E42D77"/>
    <w:rsid w:val="00E42DAB"/>
    <w:rsid w:val="00E42E60"/>
    <w:rsid w:val="00E42EEA"/>
    <w:rsid w:val="00E42F62"/>
    <w:rsid w:val="00E43077"/>
    <w:rsid w:val="00E43444"/>
    <w:rsid w:val="00E4346F"/>
    <w:rsid w:val="00E4369A"/>
    <w:rsid w:val="00E438DE"/>
    <w:rsid w:val="00E43A5A"/>
    <w:rsid w:val="00E43BA3"/>
    <w:rsid w:val="00E43DE2"/>
    <w:rsid w:val="00E43E50"/>
    <w:rsid w:val="00E43E87"/>
    <w:rsid w:val="00E43F21"/>
    <w:rsid w:val="00E44086"/>
    <w:rsid w:val="00E442B1"/>
    <w:rsid w:val="00E44510"/>
    <w:rsid w:val="00E445EB"/>
    <w:rsid w:val="00E4469C"/>
    <w:rsid w:val="00E446B0"/>
    <w:rsid w:val="00E446EA"/>
    <w:rsid w:val="00E4482C"/>
    <w:rsid w:val="00E448BB"/>
    <w:rsid w:val="00E449E8"/>
    <w:rsid w:val="00E44B0E"/>
    <w:rsid w:val="00E44CAA"/>
    <w:rsid w:val="00E44E5F"/>
    <w:rsid w:val="00E44EDF"/>
    <w:rsid w:val="00E44F78"/>
    <w:rsid w:val="00E45032"/>
    <w:rsid w:val="00E450C3"/>
    <w:rsid w:val="00E45272"/>
    <w:rsid w:val="00E4552A"/>
    <w:rsid w:val="00E45542"/>
    <w:rsid w:val="00E455DB"/>
    <w:rsid w:val="00E45629"/>
    <w:rsid w:val="00E4563F"/>
    <w:rsid w:val="00E457AB"/>
    <w:rsid w:val="00E4580C"/>
    <w:rsid w:val="00E4588C"/>
    <w:rsid w:val="00E4597F"/>
    <w:rsid w:val="00E45C9B"/>
    <w:rsid w:val="00E45DB0"/>
    <w:rsid w:val="00E45E76"/>
    <w:rsid w:val="00E45F09"/>
    <w:rsid w:val="00E45FA4"/>
    <w:rsid w:val="00E462C7"/>
    <w:rsid w:val="00E464C4"/>
    <w:rsid w:val="00E464DD"/>
    <w:rsid w:val="00E4658A"/>
    <w:rsid w:val="00E465A0"/>
    <w:rsid w:val="00E46B69"/>
    <w:rsid w:val="00E46BED"/>
    <w:rsid w:val="00E46CB1"/>
    <w:rsid w:val="00E46CCD"/>
    <w:rsid w:val="00E4707D"/>
    <w:rsid w:val="00E47169"/>
    <w:rsid w:val="00E4719D"/>
    <w:rsid w:val="00E4720F"/>
    <w:rsid w:val="00E47230"/>
    <w:rsid w:val="00E4733D"/>
    <w:rsid w:val="00E47952"/>
    <w:rsid w:val="00E47BDC"/>
    <w:rsid w:val="00E47C20"/>
    <w:rsid w:val="00E47D07"/>
    <w:rsid w:val="00E47EEC"/>
    <w:rsid w:val="00E47F44"/>
    <w:rsid w:val="00E5014E"/>
    <w:rsid w:val="00E50176"/>
    <w:rsid w:val="00E501D2"/>
    <w:rsid w:val="00E501D3"/>
    <w:rsid w:val="00E502BE"/>
    <w:rsid w:val="00E503A9"/>
    <w:rsid w:val="00E50522"/>
    <w:rsid w:val="00E50536"/>
    <w:rsid w:val="00E506AF"/>
    <w:rsid w:val="00E509C9"/>
    <w:rsid w:val="00E50C47"/>
    <w:rsid w:val="00E50C5A"/>
    <w:rsid w:val="00E50CB1"/>
    <w:rsid w:val="00E510F5"/>
    <w:rsid w:val="00E51568"/>
    <w:rsid w:val="00E516A6"/>
    <w:rsid w:val="00E5183C"/>
    <w:rsid w:val="00E51857"/>
    <w:rsid w:val="00E5196E"/>
    <w:rsid w:val="00E519A5"/>
    <w:rsid w:val="00E519FC"/>
    <w:rsid w:val="00E51D3A"/>
    <w:rsid w:val="00E51E03"/>
    <w:rsid w:val="00E51E77"/>
    <w:rsid w:val="00E522D3"/>
    <w:rsid w:val="00E52301"/>
    <w:rsid w:val="00E52322"/>
    <w:rsid w:val="00E5249B"/>
    <w:rsid w:val="00E525C4"/>
    <w:rsid w:val="00E5261D"/>
    <w:rsid w:val="00E52836"/>
    <w:rsid w:val="00E52908"/>
    <w:rsid w:val="00E52983"/>
    <w:rsid w:val="00E52CD4"/>
    <w:rsid w:val="00E52F48"/>
    <w:rsid w:val="00E53154"/>
    <w:rsid w:val="00E536AE"/>
    <w:rsid w:val="00E536D6"/>
    <w:rsid w:val="00E53819"/>
    <w:rsid w:val="00E539FB"/>
    <w:rsid w:val="00E53A0B"/>
    <w:rsid w:val="00E53C55"/>
    <w:rsid w:val="00E53E5A"/>
    <w:rsid w:val="00E53F21"/>
    <w:rsid w:val="00E54019"/>
    <w:rsid w:val="00E5411F"/>
    <w:rsid w:val="00E5431D"/>
    <w:rsid w:val="00E54342"/>
    <w:rsid w:val="00E54369"/>
    <w:rsid w:val="00E5436C"/>
    <w:rsid w:val="00E543B1"/>
    <w:rsid w:val="00E543B5"/>
    <w:rsid w:val="00E544C5"/>
    <w:rsid w:val="00E54699"/>
    <w:rsid w:val="00E54984"/>
    <w:rsid w:val="00E54C66"/>
    <w:rsid w:val="00E54CEB"/>
    <w:rsid w:val="00E54D33"/>
    <w:rsid w:val="00E54D51"/>
    <w:rsid w:val="00E54F4C"/>
    <w:rsid w:val="00E54F6D"/>
    <w:rsid w:val="00E54FB5"/>
    <w:rsid w:val="00E558A9"/>
    <w:rsid w:val="00E55B88"/>
    <w:rsid w:val="00E55BC4"/>
    <w:rsid w:val="00E55E79"/>
    <w:rsid w:val="00E55EDD"/>
    <w:rsid w:val="00E55F10"/>
    <w:rsid w:val="00E55F39"/>
    <w:rsid w:val="00E56091"/>
    <w:rsid w:val="00E562F8"/>
    <w:rsid w:val="00E56307"/>
    <w:rsid w:val="00E56413"/>
    <w:rsid w:val="00E56443"/>
    <w:rsid w:val="00E56473"/>
    <w:rsid w:val="00E5668B"/>
    <w:rsid w:val="00E56DFA"/>
    <w:rsid w:val="00E56E0B"/>
    <w:rsid w:val="00E56E74"/>
    <w:rsid w:val="00E56E85"/>
    <w:rsid w:val="00E56F48"/>
    <w:rsid w:val="00E57000"/>
    <w:rsid w:val="00E571F9"/>
    <w:rsid w:val="00E5725C"/>
    <w:rsid w:val="00E572EC"/>
    <w:rsid w:val="00E57304"/>
    <w:rsid w:val="00E576D8"/>
    <w:rsid w:val="00E57916"/>
    <w:rsid w:val="00E579E4"/>
    <w:rsid w:val="00E57C19"/>
    <w:rsid w:val="00E57CB5"/>
    <w:rsid w:val="00E57EBA"/>
    <w:rsid w:val="00E601D2"/>
    <w:rsid w:val="00E60411"/>
    <w:rsid w:val="00E60462"/>
    <w:rsid w:val="00E604A2"/>
    <w:rsid w:val="00E604A8"/>
    <w:rsid w:val="00E605AC"/>
    <w:rsid w:val="00E60993"/>
    <w:rsid w:val="00E609A8"/>
    <w:rsid w:val="00E60A4D"/>
    <w:rsid w:val="00E60AC6"/>
    <w:rsid w:val="00E60CD4"/>
    <w:rsid w:val="00E60D52"/>
    <w:rsid w:val="00E60DA8"/>
    <w:rsid w:val="00E60F19"/>
    <w:rsid w:val="00E61088"/>
    <w:rsid w:val="00E612B7"/>
    <w:rsid w:val="00E613E5"/>
    <w:rsid w:val="00E61483"/>
    <w:rsid w:val="00E6155F"/>
    <w:rsid w:val="00E61619"/>
    <w:rsid w:val="00E6166A"/>
    <w:rsid w:val="00E6181F"/>
    <w:rsid w:val="00E61982"/>
    <w:rsid w:val="00E61A9B"/>
    <w:rsid w:val="00E61CE6"/>
    <w:rsid w:val="00E61D38"/>
    <w:rsid w:val="00E61E8A"/>
    <w:rsid w:val="00E61EBB"/>
    <w:rsid w:val="00E62092"/>
    <w:rsid w:val="00E620B5"/>
    <w:rsid w:val="00E6226B"/>
    <w:rsid w:val="00E622EB"/>
    <w:rsid w:val="00E623F5"/>
    <w:rsid w:val="00E626EE"/>
    <w:rsid w:val="00E62860"/>
    <w:rsid w:val="00E62880"/>
    <w:rsid w:val="00E62B37"/>
    <w:rsid w:val="00E62C7C"/>
    <w:rsid w:val="00E62D19"/>
    <w:rsid w:val="00E62F1C"/>
    <w:rsid w:val="00E62F8D"/>
    <w:rsid w:val="00E62FA4"/>
    <w:rsid w:val="00E632F2"/>
    <w:rsid w:val="00E63363"/>
    <w:rsid w:val="00E633BD"/>
    <w:rsid w:val="00E63464"/>
    <w:rsid w:val="00E6370B"/>
    <w:rsid w:val="00E63A00"/>
    <w:rsid w:val="00E63C8E"/>
    <w:rsid w:val="00E63CA7"/>
    <w:rsid w:val="00E63D16"/>
    <w:rsid w:val="00E63D3B"/>
    <w:rsid w:val="00E63FCA"/>
    <w:rsid w:val="00E64161"/>
    <w:rsid w:val="00E6436F"/>
    <w:rsid w:val="00E643C5"/>
    <w:rsid w:val="00E643D5"/>
    <w:rsid w:val="00E6442D"/>
    <w:rsid w:val="00E644B4"/>
    <w:rsid w:val="00E644FA"/>
    <w:rsid w:val="00E64535"/>
    <w:rsid w:val="00E6459E"/>
    <w:rsid w:val="00E6464F"/>
    <w:rsid w:val="00E6474D"/>
    <w:rsid w:val="00E647F2"/>
    <w:rsid w:val="00E6491D"/>
    <w:rsid w:val="00E64947"/>
    <w:rsid w:val="00E64975"/>
    <w:rsid w:val="00E649D9"/>
    <w:rsid w:val="00E64B8B"/>
    <w:rsid w:val="00E64CAB"/>
    <w:rsid w:val="00E64FC6"/>
    <w:rsid w:val="00E65094"/>
    <w:rsid w:val="00E651A7"/>
    <w:rsid w:val="00E65304"/>
    <w:rsid w:val="00E65512"/>
    <w:rsid w:val="00E65578"/>
    <w:rsid w:val="00E65662"/>
    <w:rsid w:val="00E657CE"/>
    <w:rsid w:val="00E6586C"/>
    <w:rsid w:val="00E658A3"/>
    <w:rsid w:val="00E658FA"/>
    <w:rsid w:val="00E65A66"/>
    <w:rsid w:val="00E65AC2"/>
    <w:rsid w:val="00E65BC2"/>
    <w:rsid w:val="00E66085"/>
    <w:rsid w:val="00E66166"/>
    <w:rsid w:val="00E66227"/>
    <w:rsid w:val="00E663C2"/>
    <w:rsid w:val="00E66484"/>
    <w:rsid w:val="00E66773"/>
    <w:rsid w:val="00E66826"/>
    <w:rsid w:val="00E66A17"/>
    <w:rsid w:val="00E66A8C"/>
    <w:rsid w:val="00E66AF9"/>
    <w:rsid w:val="00E66E5F"/>
    <w:rsid w:val="00E66EBE"/>
    <w:rsid w:val="00E66FA0"/>
    <w:rsid w:val="00E67193"/>
    <w:rsid w:val="00E67299"/>
    <w:rsid w:val="00E672D5"/>
    <w:rsid w:val="00E673AC"/>
    <w:rsid w:val="00E67490"/>
    <w:rsid w:val="00E67665"/>
    <w:rsid w:val="00E6769F"/>
    <w:rsid w:val="00E6775D"/>
    <w:rsid w:val="00E6776D"/>
    <w:rsid w:val="00E6788A"/>
    <w:rsid w:val="00E67A89"/>
    <w:rsid w:val="00E67AE5"/>
    <w:rsid w:val="00E67B56"/>
    <w:rsid w:val="00E67BD1"/>
    <w:rsid w:val="00E67C57"/>
    <w:rsid w:val="00E67CEA"/>
    <w:rsid w:val="00E67ECE"/>
    <w:rsid w:val="00E70103"/>
    <w:rsid w:val="00E7013A"/>
    <w:rsid w:val="00E70212"/>
    <w:rsid w:val="00E70232"/>
    <w:rsid w:val="00E70405"/>
    <w:rsid w:val="00E70539"/>
    <w:rsid w:val="00E70578"/>
    <w:rsid w:val="00E7064C"/>
    <w:rsid w:val="00E706BA"/>
    <w:rsid w:val="00E70742"/>
    <w:rsid w:val="00E70856"/>
    <w:rsid w:val="00E708B9"/>
    <w:rsid w:val="00E70A3F"/>
    <w:rsid w:val="00E70AED"/>
    <w:rsid w:val="00E70B39"/>
    <w:rsid w:val="00E70BA1"/>
    <w:rsid w:val="00E70F3D"/>
    <w:rsid w:val="00E70F49"/>
    <w:rsid w:val="00E711D6"/>
    <w:rsid w:val="00E711DA"/>
    <w:rsid w:val="00E7136B"/>
    <w:rsid w:val="00E71490"/>
    <w:rsid w:val="00E71659"/>
    <w:rsid w:val="00E716B9"/>
    <w:rsid w:val="00E718AC"/>
    <w:rsid w:val="00E71B04"/>
    <w:rsid w:val="00E71E1A"/>
    <w:rsid w:val="00E71F13"/>
    <w:rsid w:val="00E72085"/>
    <w:rsid w:val="00E722D7"/>
    <w:rsid w:val="00E724D1"/>
    <w:rsid w:val="00E729DE"/>
    <w:rsid w:val="00E729E8"/>
    <w:rsid w:val="00E72B47"/>
    <w:rsid w:val="00E72C17"/>
    <w:rsid w:val="00E72CC6"/>
    <w:rsid w:val="00E72D55"/>
    <w:rsid w:val="00E72D6E"/>
    <w:rsid w:val="00E72DAA"/>
    <w:rsid w:val="00E72DB2"/>
    <w:rsid w:val="00E72E0C"/>
    <w:rsid w:val="00E72F9F"/>
    <w:rsid w:val="00E73342"/>
    <w:rsid w:val="00E73493"/>
    <w:rsid w:val="00E735BA"/>
    <w:rsid w:val="00E7360F"/>
    <w:rsid w:val="00E738D4"/>
    <w:rsid w:val="00E73A7E"/>
    <w:rsid w:val="00E73E86"/>
    <w:rsid w:val="00E74021"/>
    <w:rsid w:val="00E7421F"/>
    <w:rsid w:val="00E7425F"/>
    <w:rsid w:val="00E7442E"/>
    <w:rsid w:val="00E74435"/>
    <w:rsid w:val="00E74673"/>
    <w:rsid w:val="00E746B1"/>
    <w:rsid w:val="00E746B9"/>
    <w:rsid w:val="00E74705"/>
    <w:rsid w:val="00E7481F"/>
    <w:rsid w:val="00E748B4"/>
    <w:rsid w:val="00E7497F"/>
    <w:rsid w:val="00E74996"/>
    <w:rsid w:val="00E74A93"/>
    <w:rsid w:val="00E74C79"/>
    <w:rsid w:val="00E74ED3"/>
    <w:rsid w:val="00E75179"/>
    <w:rsid w:val="00E752F5"/>
    <w:rsid w:val="00E75324"/>
    <w:rsid w:val="00E75398"/>
    <w:rsid w:val="00E753FB"/>
    <w:rsid w:val="00E7553A"/>
    <w:rsid w:val="00E7555D"/>
    <w:rsid w:val="00E757C8"/>
    <w:rsid w:val="00E75838"/>
    <w:rsid w:val="00E7592A"/>
    <w:rsid w:val="00E75AA7"/>
    <w:rsid w:val="00E75AC8"/>
    <w:rsid w:val="00E75B5A"/>
    <w:rsid w:val="00E75C05"/>
    <w:rsid w:val="00E762B4"/>
    <w:rsid w:val="00E762E4"/>
    <w:rsid w:val="00E76430"/>
    <w:rsid w:val="00E76451"/>
    <w:rsid w:val="00E7659C"/>
    <w:rsid w:val="00E7675C"/>
    <w:rsid w:val="00E7676B"/>
    <w:rsid w:val="00E767B7"/>
    <w:rsid w:val="00E76859"/>
    <w:rsid w:val="00E768B4"/>
    <w:rsid w:val="00E768C3"/>
    <w:rsid w:val="00E76930"/>
    <w:rsid w:val="00E76DC3"/>
    <w:rsid w:val="00E76E39"/>
    <w:rsid w:val="00E76EAD"/>
    <w:rsid w:val="00E76F67"/>
    <w:rsid w:val="00E770C6"/>
    <w:rsid w:val="00E77322"/>
    <w:rsid w:val="00E7744B"/>
    <w:rsid w:val="00E77533"/>
    <w:rsid w:val="00E77618"/>
    <w:rsid w:val="00E7787C"/>
    <w:rsid w:val="00E77B80"/>
    <w:rsid w:val="00E77D26"/>
    <w:rsid w:val="00E77D8F"/>
    <w:rsid w:val="00E802A3"/>
    <w:rsid w:val="00E8050D"/>
    <w:rsid w:val="00E8059F"/>
    <w:rsid w:val="00E8061D"/>
    <w:rsid w:val="00E807B0"/>
    <w:rsid w:val="00E808D3"/>
    <w:rsid w:val="00E80B44"/>
    <w:rsid w:val="00E80E55"/>
    <w:rsid w:val="00E80E59"/>
    <w:rsid w:val="00E80ED7"/>
    <w:rsid w:val="00E80F92"/>
    <w:rsid w:val="00E81086"/>
    <w:rsid w:val="00E810B3"/>
    <w:rsid w:val="00E8116D"/>
    <w:rsid w:val="00E811E5"/>
    <w:rsid w:val="00E8126E"/>
    <w:rsid w:val="00E81323"/>
    <w:rsid w:val="00E813E5"/>
    <w:rsid w:val="00E814B5"/>
    <w:rsid w:val="00E814D4"/>
    <w:rsid w:val="00E814E7"/>
    <w:rsid w:val="00E81549"/>
    <w:rsid w:val="00E815CF"/>
    <w:rsid w:val="00E81A29"/>
    <w:rsid w:val="00E81C04"/>
    <w:rsid w:val="00E81CD1"/>
    <w:rsid w:val="00E8204F"/>
    <w:rsid w:val="00E822B2"/>
    <w:rsid w:val="00E823C4"/>
    <w:rsid w:val="00E825C8"/>
    <w:rsid w:val="00E825D0"/>
    <w:rsid w:val="00E82687"/>
    <w:rsid w:val="00E826BA"/>
    <w:rsid w:val="00E82BB2"/>
    <w:rsid w:val="00E82C2C"/>
    <w:rsid w:val="00E82CE4"/>
    <w:rsid w:val="00E82E0F"/>
    <w:rsid w:val="00E83060"/>
    <w:rsid w:val="00E833A3"/>
    <w:rsid w:val="00E834BA"/>
    <w:rsid w:val="00E834BE"/>
    <w:rsid w:val="00E834F2"/>
    <w:rsid w:val="00E839B8"/>
    <w:rsid w:val="00E83A6F"/>
    <w:rsid w:val="00E83E10"/>
    <w:rsid w:val="00E83FB3"/>
    <w:rsid w:val="00E84017"/>
    <w:rsid w:val="00E84047"/>
    <w:rsid w:val="00E840AA"/>
    <w:rsid w:val="00E840E0"/>
    <w:rsid w:val="00E8453A"/>
    <w:rsid w:val="00E845D9"/>
    <w:rsid w:val="00E84829"/>
    <w:rsid w:val="00E8489D"/>
    <w:rsid w:val="00E84950"/>
    <w:rsid w:val="00E84A69"/>
    <w:rsid w:val="00E84B50"/>
    <w:rsid w:val="00E84BDC"/>
    <w:rsid w:val="00E84E37"/>
    <w:rsid w:val="00E84E9C"/>
    <w:rsid w:val="00E84EBF"/>
    <w:rsid w:val="00E84F02"/>
    <w:rsid w:val="00E8502C"/>
    <w:rsid w:val="00E8504F"/>
    <w:rsid w:val="00E85379"/>
    <w:rsid w:val="00E8538B"/>
    <w:rsid w:val="00E853F1"/>
    <w:rsid w:val="00E8555D"/>
    <w:rsid w:val="00E85657"/>
    <w:rsid w:val="00E856D9"/>
    <w:rsid w:val="00E85712"/>
    <w:rsid w:val="00E85892"/>
    <w:rsid w:val="00E85AE6"/>
    <w:rsid w:val="00E85BE8"/>
    <w:rsid w:val="00E85C80"/>
    <w:rsid w:val="00E85CEE"/>
    <w:rsid w:val="00E85F51"/>
    <w:rsid w:val="00E86034"/>
    <w:rsid w:val="00E86079"/>
    <w:rsid w:val="00E860D1"/>
    <w:rsid w:val="00E861F6"/>
    <w:rsid w:val="00E86257"/>
    <w:rsid w:val="00E862D5"/>
    <w:rsid w:val="00E8647E"/>
    <w:rsid w:val="00E86500"/>
    <w:rsid w:val="00E865F5"/>
    <w:rsid w:val="00E86B88"/>
    <w:rsid w:val="00E86CD2"/>
    <w:rsid w:val="00E86D21"/>
    <w:rsid w:val="00E86E1C"/>
    <w:rsid w:val="00E8722D"/>
    <w:rsid w:val="00E872AE"/>
    <w:rsid w:val="00E87492"/>
    <w:rsid w:val="00E874E8"/>
    <w:rsid w:val="00E877DB"/>
    <w:rsid w:val="00E877E0"/>
    <w:rsid w:val="00E8787C"/>
    <w:rsid w:val="00E8797E"/>
    <w:rsid w:val="00E87A73"/>
    <w:rsid w:val="00E87BFA"/>
    <w:rsid w:val="00E87C86"/>
    <w:rsid w:val="00E87E34"/>
    <w:rsid w:val="00E9007D"/>
    <w:rsid w:val="00E901EA"/>
    <w:rsid w:val="00E902D4"/>
    <w:rsid w:val="00E90408"/>
    <w:rsid w:val="00E904AB"/>
    <w:rsid w:val="00E904DB"/>
    <w:rsid w:val="00E90506"/>
    <w:rsid w:val="00E90571"/>
    <w:rsid w:val="00E906F6"/>
    <w:rsid w:val="00E90813"/>
    <w:rsid w:val="00E909E3"/>
    <w:rsid w:val="00E90CE8"/>
    <w:rsid w:val="00E90D34"/>
    <w:rsid w:val="00E90F33"/>
    <w:rsid w:val="00E91110"/>
    <w:rsid w:val="00E91117"/>
    <w:rsid w:val="00E9111F"/>
    <w:rsid w:val="00E911D1"/>
    <w:rsid w:val="00E91200"/>
    <w:rsid w:val="00E91448"/>
    <w:rsid w:val="00E91476"/>
    <w:rsid w:val="00E9151D"/>
    <w:rsid w:val="00E9165B"/>
    <w:rsid w:val="00E9169B"/>
    <w:rsid w:val="00E9190A"/>
    <w:rsid w:val="00E919BB"/>
    <w:rsid w:val="00E91A83"/>
    <w:rsid w:val="00E91AAF"/>
    <w:rsid w:val="00E91C04"/>
    <w:rsid w:val="00E91C63"/>
    <w:rsid w:val="00E91F02"/>
    <w:rsid w:val="00E91F9B"/>
    <w:rsid w:val="00E91FDE"/>
    <w:rsid w:val="00E920AA"/>
    <w:rsid w:val="00E922C1"/>
    <w:rsid w:val="00E92371"/>
    <w:rsid w:val="00E923A7"/>
    <w:rsid w:val="00E923CA"/>
    <w:rsid w:val="00E9242C"/>
    <w:rsid w:val="00E925FC"/>
    <w:rsid w:val="00E9266B"/>
    <w:rsid w:val="00E92B87"/>
    <w:rsid w:val="00E92BB9"/>
    <w:rsid w:val="00E92CF9"/>
    <w:rsid w:val="00E92D19"/>
    <w:rsid w:val="00E92D35"/>
    <w:rsid w:val="00E92D44"/>
    <w:rsid w:val="00E92E45"/>
    <w:rsid w:val="00E92E9D"/>
    <w:rsid w:val="00E9309B"/>
    <w:rsid w:val="00E9386C"/>
    <w:rsid w:val="00E938D3"/>
    <w:rsid w:val="00E938EE"/>
    <w:rsid w:val="00E93DEC"/>
    <w:rsid w:val="00E93E11"/>
    <w:rsid w:val="00E93E4C"/>
    <w:rsid w:val="00E943D0"/>
    <w:rsid w:val="00E944A3"/>
    <w:rsid w:val="00E945E5"/>
    <w:rsid w:val="00E94955"/>
    <w:rsid w:val="00E949E2"/>
    <w:rsid w:val="00E94A22"/>
    <w:rsid w:val="00E94A9A"/>
    <w:rsid w:val="00E94C84"/>
    <w:rsid w:val="00E94D36"/>
    <w:rsid w:val="00E95296"/>
    <w:rsid w:val="00E9541D"/>
    <w:rsid w:val="00E955DF"/>
    <w:rsid w:val="00E95802"/>
    <w:rsid w:val="00E95A88"/>
    <w:rsid w:val="00E95DEA"/>
    <w:rsid w:val="00E95EAD"/>
    <w:rsid w:val="00E9600D"/>
    <w:rsid w:val="00E9609E"/>
    <w:rsid w:val="00E960AC"/>
    <w:rsid w:val="00E9634F"/>
    <w:rsid w:val="00E96466"/>
    <w:rsid w:val="00E9664D"/>
    <w:rsid w:val="00E96675"/>
    <w:rsid w:val="00E968E2"/>
    <w:rsid w:val="00E96CEE"/>
    <w:rsid w:val="00E971CA"/>
    <w:rsid w:val="00E972B2"/>
    <w:rsid w:val="00E974FF"/>
    <w:rsid w:val="00E97707"/>
    <w:rsid w:val="00E97900"/>
    <w:rsid w:val="00E97BC2"/>
    <w:rsid w:val="00E97CB3"/>
    <w:rsid w:val="00E97D89"/>
    <w:rsid w:val="00E97DAD"/>
    <w:rsid w:val="00E97DD9"/>
    <w:rsid w:val="00E97EC4"/>
    <w:rsid w:val="00EA02F2"/>
    <w:rsid w:val="00EA0700"/>
    <w:rsid w:val="00EA07CE"/>
    <w:rsid w:val="00EA09BC"/>
    <w:rsid w:val="00EA09D0"/>
    <w:rsid w:val="00EA0E4B"/>
    <w:rsid w:val="00EA116A"/>
    <w:rsid w:val="00EA120C"/>
    <w:rsid w:val="00EA1387"/>
    <w:rsid w:val="00EA13AF"/>
    <w:rsid w:val="00EA1456"/>
    <w:rsid w:val="00EA161E"/>
    <w:rsid w:val="00EA1A59"/>
    <w:rsid w:val="00EA1AC8"/>
    <w:rsid w:val="00EA20AA"/>
    <w:rsid w:val="00EA210C"/>
    <w:rsid w:val="00EA250C"/>
    <w:rsid w:val="00EA2590"/>
    <w:rsid w:val="00EA27DA"/>
    <w:rsid w:val="00EA2A33"/>
    <w:rsid w:val="00EA2A93"/>
    <w:rsid w:val="00EA2B4F"/>
    <w:rsid w:val="00EA2C58"/>
    <w:rsid w:val="00EA2EE0"/>
    <w:rsid w:val="00EA3121"/>
    <w:rsid w:val="00EA31B5"/>
    <w:rsid w:val="00EA331D"/>
    <w:rsid w:val="00EA3484"/>
    <w:rsid w:val="00EA349B"/>
    <w:rsid w:val="00EA3534"/>
    <w:rsid w:val="00EA3618"/>
    <w:rsid w:val="00EA37CF"/>
    <w:rsid w:val="00EA3849"/>
    <w:rsid w:val="00EA3A7A"/>
    <w:rsid w:val="00EA3AB6"/>
    <w:rsid w:val="00EA3BB4"/>
    <w:rsid w:val="00EA3C92"/>
    <w:rsid w:val="00EA3D86"/>
    <w:rsid w:val="00EA3F02"/>
    <w:rsid w:val="00EA3F2E"/>
    <w:rsid w:val="00EA3FC3"/>
    <w:rsid w:val="00EA41F6"/>
    <w:rsid w:val="00EA4207"/>
    <w:rsid w:val="00EA4499"/>
    <w:rsid w:val="00EA44C7"/>
    <w:rsid w:val="00EA4614"/>
    <w:rsid w:val="00EA46F8"/>
    <w:rsid w:val="00EA4752"/>
    <w:rsid w:val="00EA4765"/>
    <w:rsid w:val="00EA47A5"/>
    <w:rsid w:val="00EA4902"/>
    <w:rsid w:val="00EA4E10"/>
    <w:rsid w:val="00EA4E1A"/>
    <w:rsid w:val="00EA5030"/>
    <w:rsid w:val="00EA5078"/>
    <w:rsid w:val="00EA508F"/>
    <w:rsid w:val="00EA5211"/>
    <w:rsid w:val="00EA54BC"/>
    <w:rsid w:val="00EA556E"/>
    <w:rsid w:val="00EA5640"/>
    <w:rsid w:val="00EA57C6"/>
    <w:rsid w:val="00EA5843"/>
    <w:rsid w:val="00EA58F1"/>
    <w:rsid w:val="00EA5DD6"/>
    <w:rsid w:val="00EA5DFD"/>
    <w:rsid w:val="00EA5FC6"/>
    <w:rsid w:val="00EA6189"/>
    <w:rsid w:val="00EA62CC"/>
    <w:rsid w:val="00EA63C7"/>
    <w:rsid w:val="00EA6586"/>
    <w:rsid w:val="00EA65A8"/>
    <w:rsid w:val="00EA6786"/>
    <w:rsid w:val="00EA680B"/>
    <w:rsid w:val="00EA68F3"/>
    <w:rsid w:val="00EA6982"/>
    <w:rsid w:val="00EA6A11"/>
    <w:rsid w:val="00EA6A3E"/>
    <w:rsid w:val="00EA6FA2"/>
    <w:rsid w:val="00EA70EB"/>
    <w:rsid w:val="00EA7322"/>
    <w:rsid w:val="00EA73F7"/>
    <w:rsid w:val="00EA76E1"/>
    <w:rsid w:val="00EA7707"/>
    <w:rsid w:val="00EA7934"/>
    <w:rsid w:val="00EA79CC"/>
    <w:rsid w:val="00EA7A13"/>
    <w:rsid w:val="00EA7A95"/>
    <w:rsid w:val="00EA7AE5"/>
    <w:rsid w:val="00EA7B54"/>
    <w:rsid w:val="00EA7D9E"/>
    <w:rsid w:val="00EB014B"/>
    <w:rsid w:val="00EB0278"/>
    <w:rsid w:val="00EB05D4"/>
    <w:rsid w:val="00EB0790"/>
    <w:rsid w:val="00EB07DE"/>
    <w:rsid w:val="00EB08CF"/>
    <w:rsid w:val="00EB09B1"/>
    <w:rsid w:val="00EB0AE1"/>
    <w:rsid w:val="00EB0B10"/>
    <w:rsid w:val="00EB0CF2"/>
    <w:rsid w:val="00EB0DE9"/>
    <w:rsid w:val="00EB0F3E"/>
    <w:rsid w:val="00EB1182"/>
    <w:rsid w:val="00EB14F4"/>
    <w:rsid w:val="00EB17F2"/>
    <w:rsid w:val="00EB1BCF"/>
    <w:rsid w:val="00EB1C62"/>
    <w:rsid w:val="00EB1CCB"/>
    <w:rsid w:val="00EB1DA6"/>
    <w:rsid w:val="00EB1E9B"/>
    <w:rsid w:val="00EB1ED3"/>
    <w:rsid w:val="00EB1F4B"/>
    <w:rsid w:val="00EB1FA6"/>
    <w:rsid w:val="00EB22B7"/>
    <w:rsid w:val="00EB22ED"/>
    <w:rsid w:val="00EB243F"/>
    <w:rsid w:val="00EB2469"/>
    <w:rsid w:val="00EB2523"/>
    <w:rsid w:val="00EB25F8"/>
    <w:rsid w:val="00EB27D4"/>
    <w:rsid w:val="00EB29F3"/>
    <w:rsid w:val="00EB2D47"/>
    <w:rsid w:val="00EB2F8A"/>
    <w:rsid w:val="00EB2FA1"/>
    <w:rsid w:val="00EB31FC"/>
    <w:rsid w:val="00EB34C8"/>
    <w:rsid w:val="00EB3712"/>
    <w:rsid w:val="00EB3759"/>
    <w:rsid w:val="00EB37C1"/>
    <w:rsid w:val="00EB3858"/>
    <w:rsid w:val="00EB3963"/>
    <w:rsid w:val="00EB39AF"/>
    <w:rsid w:val="00EB3A8D"/>
    <w:rsid w:val="00EB3A95"/>
    <w:rsid w:val="00EB3AA2"/>
    <w:rsid w:val="00EB3B16"/>
    <w:rsid w:val="00EB3C75"/>
    <w:rsid w:val="00EB3C93"/>
    <w:rsid w:val="00EB3C99"/>
    <w:rsid w:val="00EB3EE6"/>
    <w:rsid w:val="00EB3FD8"/>
    <w:rsid w:val="00EB401E"/>
    <w:rsid w:val="00EB417A"/>
    <w:rsid w:val="00EB4182"/>
    <w:rsid w:val="00EB41A8"/>
    <w:rsid w:val="00EB4386"/>
    <w:rsid w:val="00EB445C"/>
    <w:rsid w:val="00EB4675"/>
    <w:rsid w:val="00EB47C3"/>
    <w:rsid w:val="00EB493A"/>
    <w:rsid w:val="00EB49F7"/>
    <w:rsid w:val="00EB4A1F"/>
    <w:rsid w:val="00EB4A31"/>
    <w:rsid w:val="00EB4ABA"/>
    <w:rsid w:val="00EB4BA8"/>
    <w:rsid w:val="00EB4C60"/>
    <w:rsid w:val="00EB4CC3"/>
    <w:rsid w:val="00EB4D57"/>
    <w:rsid w:val="00EB4D92"/>
    <w:rsid w:val="00EB4D93"/>
    <w:rsid w:val="00EB4E46"/>
    <w:rsid w:val="00EB4EA1"/>
    <w:rsid w:val="00EB4F15"/>
    <w:rsid w:val="00EB4F79"/>
    <w:rsid w:val="00EB5014"/>
    <w:rsid w:val="00EB50B0"/>
    <w:rsid w:val="00EB50CB"/>
    <w:rsid w:val="00EB51F1"/>
    <w:rsid w:val="00EB52B1"/>
    <w:rsid w:val="00EB55BB"/>
    <w:rsid w:val="00EB58A4"/>
    <w:rsid w:val="00EB58BD"/>
    <w:rsid w:val="00EB59E0"/>
    <w:rsid w:val="00EB5A38"/>
    <w:rsid w:val="00EB5A88"/>
    <w:rsid w:val="00EB5AD3"/>
    <w:rsid w:val="00EB5C09"/>
    <w:rsid w:val="00EB5C7C"/>
    <w:rsid w:val="00EB5CD6"/>
    <w:rsid w:val="00EB5D06"/>
    <w:rsid w:val="00EB615E"/>
    <w:rsid w:val="00EB618C"/>
    <w:rsid w:val="00EB618E"/>
    <w:rsid w:val="00EB62FF"/>
    <w:rsid w:val="00EB6483"/>
    <w:rsid w:val="00EB659B"/>
    <w:rsid w:val="00EB6611"/>
    <w:rsid w:val="00EB6805"/>
    <w:rsid w:val="00EB6970"/>
    <w:rsid w:val="00EB6B52"/>
    <w:rsid w:val="00EB6D0C"/>
    <w:rsid w:val="00EB6D6B"/>
    <w:rsid w:val="00EB6D83"/>
    <w:rsid w:val="00EB6EF5"/>
    <w:rsid w:val="00EB6F9F"/>
    <w:rsid w:val="00EB728D"/>
    <w:rsid w:val="00EB7361"/>
    <w:rsid w:val="00EB73B8"/>
    <w:rsid w:val="00EB73BA"/>
    <w:rsid w:val="00EB755D"/>
    <w:rsid w:val="00EB768E"/>
    <w:rsid w:val="00EB76A9"/>
    <w:rsid w:val="00EB77C5"/>
    <w:rsid w:val="00EB77C9"/>
    <w:rsid w:val="00EB788B"/>
    <w:rsid w:val="00EB78D0"/>
    <w:rsid w:val="00EB79FB"/>
    <w:rsid w:val="00EB7BD1"/>
    <w:rsid w:val="00EB7C9B"/>
    <w:rsid w:val="00EB7EB2"/>
    <w:rsid w:val="00EB7F22"/>
    <w:rsid w:val="00EB7F88"/>
    <w:rsid w:val="00EB7FFD"/>
    <w:rsid w:val="00EC005F"/>
    <w:rsid w:val="00EC0173"/>
    <w:rsid w:val="00EC0268"/>
    <w:rsid w:val="00EC02D4"/>
    <w:rsid w:val="00EC0339"/>
    <w:rsid w:val="00EC092E"/>
    <w:rsid w:val="00EC099A"/>
    <w:rsid w:val="00EC0AEC"/>
    <w:rsid w:val="00EC0AFA"/>
    <w:rsid w:val="00EC0B75"/>
    <w:rsid w:val="00EC1071"/>
    <w:rsid w:val="00EC107D"/>
    <w:rsid w:val="00EC116A"/>
    <w:rsid w:val="00EC1315"/>
    <w:rsid w:val="00EC14BD"/>
    <w:rsid w:val="00EC16BB"/>
    <w:rsid w:val="00EC17A7"/>
    <w:rsid w:val="00EC180E"/>
    <w:rsid w:val="00EC1A3F"/>
    <w:rsid w:val="00EC1A6A"/>
    <w:rsid w:val="00EC1AD0"/>
    <w:rsid w:val="00EC1C8C"/>
    <w:rsid w:val="00EC1DBA"/>
    <w:rsid w:val="00EC1E09"/>
    <w:rsid w:val="00EC1EAF"/>
    <w:rsid w:val="00EC1F0F"/>
    <w:rsid w:val="00EC1F13"/>
    <w:rsid w:val="00EC1F76"/>
    <w:rsid w:val="00EC1FEA"/>
    <w:rsid w:val="00EC2070"/>
    <w:rsid w:val="00EC215B"/>
    <w:rsid w:val="00EC25E7"/>
    <w:rsid w:val="00EC271B"/>
    <w:rsid w:val="00EC2921"/>
    <w:rsid w:val="00EC2B5E"/>
    <w:rsid w:val="00EC2C6B"/>
    <w:rsid w:val="00EC2C84"/>
    <w:rsid w:val="00EC2CB7"/>
    <w:rsid w:val="00EC2F7E"/>
    <w:rsid w:val="00EC3145"/>
    <w:rsid w:val="00EC3158"/>
    <w:rsid w:val="00EC34DF"/>
    <w:rsid w:val="00EC388A"/>
    <w:rsid w:val="00EC3998"/>
    <w:rsid w:val="00EC3DF5"/>
    <w:rsid w:val="00EC41A7"/>
    <w:rsid w:val="00EC4208"/>
    <w:rsid w:val="00EC44C5"/>
    <w:rsid w:val="00EC4537"/>
    <w:rsid w:val="00EC4704"/>
    <w:rsid w:val="00EC499D"/>
    <w:rsid w:val="00EC4C27"/>
    <w:rsid w:val="00EC4C7D"/>
    <w:rsid w:val="00EC4D64"/>
    <w:rsid w:val="00EC4E21"/>
    <w:rsid w:val="00EC4FC1"/>
    <w:rsid w:val="00EC51BE"/>
    <w:rsid w:val="00EC52B2"/>
    <w:rsid w:val="00EC530D"/>
    <w:rsid w:val="00EC5324"/>
    <w:rsid w:val="00EC5417"/>
    <w:rsid w:val="00EC54B3"/>
    <w:rsid w:val="00EC54C1"/>
    <w:rsid w:val="00EC573C"/>
    <w:rsid w:val="00EC57DD"/>
    <w:rsid w:val="00EC5872"/>
    <w:rsid w:val="00EC5AF8"/>
    <w:rsid w:val="00EC5C19"/>
    <w:rsid w:val="00EC5C5A"/>
    <w:rsid w:val="00EC5D74"/>
    <w:rsid w:val="00EC5D8A"/>
    <w:rsid w:val="00EC5F73"/>
    <w:rsid w:val="00EC6277"/>
    <w:rsid w:val="00EC652A"/>
    <w:rsid w:val="00EC6577"/>
    <w:rsid w:val="00EC65B1"/>
    <w:rsid w:val="00EC6899"/>
    <w:rsid w:val="00EC6C7D"/>
    <w:rsid w:val="00EC6CD3"/>
    <w:rsid w:val="00EC6F06"/>
    <w:rsid w:val="00EC6F99"/>
    <w:rsid w:val="00EC700C"/>
    <w:rsid w:val="00EC708B"/>
    <w:rsid w:val="00EC7168"/>
    <w:rsid w:val="00EC7242"/>
    <w:rsid w:val="00EC7405"/>
    <w:rsid w:val="00EC74EE"/>
    <w:rsid w:val="00EC778E"/>
    <w:rsid w:val="00EC77F6"/>
    <w:rsid w:val="00EC7939"/>
    <w:rsid w:val="00EC7B6B"/>
    <w:rsid w:val="00ED0028"/>
    <w:rsid w:val="00ED00F0"/>
    <w:rsid w:val="00ED0160"/>
    <w:rsid w:val="00ED01F9"/>
    <w:rsid w:val="00ED026D"/>
    <w:rsid w:val="00ED02B3"/>
    <w:rsid w:val="00ED04CB"/>
    <w:rsid w:val="00ED0781"/>
    <w:rsid w:val="00ED0808"/>
    <w:rsid w:val="00ED0BE4"/>
    <w:rsid w:val="00ED0CC2"/>
    <w:rsid w:val="00ED0EEE"/>
    <w:rsid w:val="00ED0F86"/>
    <w:rsid w:val="00ED0FCB"/>
    <w:rsid w:val="00ED10C8"/>
    <w:rsid w:val="00ED10DC"/>
    <w:rsid w:val="00ED12D2"/>
    <w:rsid w:val="00ED13C2"/>
    <w:rsid w:val="00ED143B"/>
    <w:rsid w:val="00ED14A4"/>
    <w:rsid w:val="00ED14C3"/>
    <w:rsid w:val="00ED1573"/>
    <w:rsid w:val="00ED1710"/>
    <w:rsid w:val="00ED17AC"/>
    <w:rsid w:val="00ED1B8C"/>
    <w:rsid w:val="00ED2119"/>
    <w:rsid w:val="00ED2123"/>
    <w:rsid w:val="00ED2349"/>
    <w:rsid w:val="00ED26C1"/>
    <w:rsid w:val="00ED26EB"/>
    <w:rsid w:val="00ED2715"/>
    <w:rsid w:val="00ED2869"/>
    <w:rsid w:val="00ED2942"/>
    <w:rsid w:val="00ED2AC6"/>
    <w:rsid w:val="00ED2B59"/>
    <w:rsid w:val="00ED2BDA"/>
    <w:rsid w:val="00ED2CC8"/>
    <w:rsid w:val="00ED2ED2"/>
    <w:rsid w:val="00ED2F38"/>
    <w:rsid w:val="00ED2FD0"/>
    <w:rsid w:val="00ED3052"/>
    <w:rsid w:val="00ED305A"/>
    <w:rsid w:val="00ED321F"/>
    <w:rsid w:val="00ED322E"/>
    <w:rsid w:val="00ED36FA"/>
    <w:rsid w:val="00ED37A5"/>
    <w:rsid w:val="00ED38C9"/>
    <w:rsid w:val="00ED3A0F"/>
    <w:rsid w:val="00ED3A65"/>
    <w:rsid w:val="00ED3CC0"/>
    <w:rsid w:val="00ED3F23"/>
    <w:rsid w:val="00ED3FB2"/>
    <w:rsid w:val="00ED4050"/>
    <w:rsid w:val="00ED44B8"/>
    <w:rsid w:val="00ED44F7"/>
    <w:rsid w:val="00ED4622"/>
    <w:rsid w:val="00ED46A3"/>
    <w:rsid w:val="00ED46E1"/>
    <w:rsid w:val="00ED48D3"/>
    <w:rsid w:val="00ED4AB7"/>
    <w:rsid w:val="00ED4F8C"/>
    <w:rsid w:val="00ED5025"/>
    <w:rsid w:val="00ED5058"/>
    <w:rsid w:val="00ED512C"/>
    <w:rsid w:val="00ED531C"/>
    <w:rsid w:val="00ED55C0"/>
    <w:rsid w:val="00ED5761"/>
    <w:rsid w:val="00ED57C4"/>
    <w:rsid w:val="00ED57F4"/>
    <w:rsid w:val="00ED5A06"/>
    <w:rsid w:val="00ED5BED"/>
    <w:rsid w:val="00ED5CFD"/>
    <w:rsid w:val="00ED5FE1"/>
    <w:rsid w:val="00ED6014"/>
    <w:rsid w:val="00ED624F"/>
    <w:rsid w:val="00ED625B"/>
    <w:rsid w:val="00ED647D"/>
    <w:rsid w:val="00ED657E"/>
    <w:rsid w:val="00ED6641"/>
    <w:rsid w:val="00ED666F"/>
    <w:rsid w:val="00ED6675"/>
    <w:rsid w:val="00ED669F"/>
    <w:rsid w:val="00ED6AD9"/>
    <w:rsid w:val="00ED6B11"/>
    <w:rsid w:val="00ED6C4C"/>
    <w:rsid w:val="00ED6DFA"/>
    <w:rsid w:val="00ED6E2D"/>
    <w:rsid w:val="00ED6EAF"/>
    <w:rsid w:val="00ED6EC8"/>
    <w:rsid w:val="00ED6FB8"/>
    <w:rsid w:val="00ED71DD"/>
    <w:rsid w:val="00ED72D0"/>
    <w:rsid w:val="00ED742E"/>
    <w:rsid w:val="00ED76FA"/>
    <w:rsid w:val="00ED7720"/>
    <w:rsid w:val="00ED77D3"/>
    <w:rsid w:val="00ED7866"/>
    <w:rsid w:val="00ED7916"/>
    <w:rsid w:val="00ED7957"/>
    <w:rsid w:val="00ED79DE"/>
    <w:rsid w:val="00ED7BC1"/>
    <w:rsid w:val="00ED7C25"/>
    <w:rsid w:val="00ED7C2C"/>
    <w:rsid w:val="00ED7F80"/>
    <w:rsid w:val="00EE009D"/>
    <w:rsid w:val="00EE0115"/>
    <w:rsid w:val="00EE02DD"/>
    <w:rsid w:val="00EE0512"/>
    <w:rsid w:val="00EE056F"/>
    <w:rsid w:val="00EE0790"/>
    <w:rsid w:val="00EE0A1B"/>
    <w:rsid w:val="00EE0C86"/>
    <w:rsid w:val="00EE0CA5"/>
    <w:rsid w:val="00EE0CBB"/>
    <w:rsid w:val="00EE0D03"/>
    <w:rsid w:val="00EE0D42"/>
    <w:rsid w:val="00EE0EAF"/>
    <w:rsid w:val="00EE0EDC"/>
    <w:rsid w:val="00EE10B5"/>
    <w:rsid w:val="00EE116F"/>
    <w:rsid w:val="00EE11B2"/>
    <w:rsid w:val="00EE1349"/>
    <w:rsid w:val="00EE160F"/>
    <w:rsid w:val="00EE1629"/>
    <w:rsid w:val="00EE16BD"/>
    <w:rsid w:val="00EE16C6"/>
    <w:rsid w:val="00EE17EE"/>
    <w:rsid w:val="00EE1BBE"/>
    <w:rsid w:val="00EE1CF2"/>
    <w:rsid w:val="00EE1DC6"/>
    <w:rsid w:val="00EE1EF2"/>
    <w:rsid w:val="00EE26CD"/>
    <w:rsid w:val="00EE2716"/>
    <w:rsid w:val="00EE2724"/>
    <w:rsid w:val="00EE29C1"/>
    <w:rsid w:val="00EE2BB4"/>
    <w:rsid w:val="00EE2C21"/>
    <w:rsid w:val="00EE341F"/>
    <w:rsid w:val="00EE342B"/>
    <w:rsid w:val="00EE3467"/>
    <w:rsid w:val="00EE386F"/>
    <w:rsid w:val="00EE391F"/>
    <w:rsid w:val="00EE3D0D"/>
    <w:rsid w:val="00EE3D37"/>
    <w:rsid w:val="00EE3EAF"/>
    <w:rsid w:val="00EE3F72"/>
    <w:rsid w:val="00EE4307"/>
    <w:rsid w:val="00EE4394"/>
    <w:rsid w:val="00EE4396"/>
    <w:rsid w:val="00EE45C4"/>
    <w:rsid w:val="00EE46C7"/>
    <w:rsid w:val="00EE4903"/>
    <w:rsid w:val="00EE49F9"/>
    <w:rsid w:val="00EE4AB3"/>
    <w:rsid w:val="00EE4AEC"/>
    <w:rsid w:val="00EE4D78"/>
    <w:rsid w:val="00EE504A"/>
    <w:rsid w:val="00EE50EE"/>
    <w:rsid w:val="00EE50F7"/>
    <w:rsid w:val="00EE5427"/>
    <w:rsid w:val="00EE5446"/>
    <w:rsid w:val="00EE5575"/>
    <w:rsid w:val="00EE5639"/>
    <w:rsid w:val="00EE5994"/>
    <w:rsid w:val="00EE5E80"/>
    <w:rsid w:val="00EE601E"/>
    <w:rsid w:val="00EE60B1"/>
    <w:rsid w:val="00EE61F3"/>
    <w:rsid w:val="00EE649C"/>
    <w:rsid w:val="00EE65FF"/>
    <w:rsid w:val="00EE6626"/>
    <w:rsid w:val="00EE663A"/>
    <w:rsid w:val="00EE6688"/>
    <w:rsid w:val="00EE66E8"/>
    <w:rsid w:val="00EE66F7"/>
    <w:rsid w:val="00EE67E9"/>
    <w:rsid w:val="00EE69FA"/>
    <w:rsid w:val="00EE6C2D"/>
    <w:rsid w:val="00EE6C32"/>
    <w:rsid w:val="00EE6E3E"/>
    <w:rsid w:val="00EE6E8B"/>
    <w:rsid w:val="00EE7328"/>
    <w:rsid w:val="00EE765A"/>
    <w:rsid w:val="00EE7673"/>
    <w:rsid w:val="00EE7975"/>
    <w:rsid w:val="00EE7990"/>
    <w:rsid w:val="00EE7B8A"/>
    <w:rsid w:val="00EE7D1C"/>
    <w:rsid w:val="00EE7E1D"/>
    <w:rsid w:val="00EE7F28"/>
    <w:rsid w:val="00EF005F"/>
    <w:rsid w:val="00EF0070"/>
    <w:rsid w:val="00EF0091"/>
    <w:rsid w:val="00EF0160"/>
    <w:rsid w:val="00EF0255"/>
    <w:rsid w:val="00EF0281"/>
    <w:rsid w:val="00EF0822"/>
    <w:rsid w:val="00EF08F0"/>
    <w:rsid w:val="00EF095B"/>
    <w:rsid w:val="00EF09EB"/>
    <w:rsid w:val="00EF0A28"/>
    <w:rsid w:val="00EF0A68"/>
    <w:rsid w:val="00EF0F32"/>
    <w:rsid w:val="00EF1110"/>
    <w:rsid w:val="00EF1182"/>
    <w:rsid w:val="00EF124B"/>
    <w:rsid w:val="00EF1407"/>
    <w:rsid w:val="00EF17D5"/>
    <w:rsid w:val="00EF1A3C"/>
    <w:rsid w:val="00EF1A66"/>
    <w:rsid w:val="00EF1AF0"/>
    <w:rsid w:val="00EF1C41"/>
    <w:rsid w:val="00EF1CB6"/>
    <w:rsid w:val="00EF1DD1"/>
    <w:rsid w:val="00EF1EDC"/>
    <w:rsid w:val="00EF1EF4"/>
    <w:rsid w:val="00EF1F0E"/>
    <w:rsid w:val="00EF2220"/>
    <w:rsid w:val="00EF2450"/>
    <w:rsid w:val="00EF2512"/>
    <w:rsid w:val="00EF2630"/>
    <w:rsid w:val="00EF26CB"/>
    <w:rsid w:val="00EF295D"/>
    <w:rsid w:val="00EF29F8"/>
    <w:rsid w:val="00EF2B4E"/>
    <w:rsid w:val="00EF2BAF"/>
    <w:rsid w:val="00EF2E01"/>
    <w:rsid w:val="00EF2E4A"/>
    <w:rsid w:val="00EF2E59"/>
    <w:rsid w:val="00EF2F99"/>
    <w:rsid w:val="00EF2FED"/>
    <w:rsid w:val="00EF335B"/>
    <w:rsid w:val="00EF3364"/>
    <w:rsid w:val="00EF34D6"/>
    <w:rsid w:val="00EF37BC"/>
    <w:rsid w:val="00EF3A0E"/>
    <w:rsid w:val="00EF3A78"/>
    <w:rsid w:val="00EF3BE3"/>
    <w:rsid w:val="00EF3CBA"/>
    <w:rsid w:val="00EF3D40"/>
    <w:rsid w:val="00EF3D7C"/>
    <w:rsid w:val="00EF3D8D"/>
    <w:rsid w:val="00EF3E36"/>
    <w:rsid w:val="00EF3EF4"/>
    <w:rsid w:val="00EF3F5C"/>
    <w:rsid w:val="00EF3F83"/>
    <w:rsid w:val="00EF3FBA"/>
    <w:rsid w:val="00EF404D"/>
    <w:rsid w:val="00EF4072"/>
    <w:rsid w:val="00EF4252"/>
    <w:rsid w:val="00EF4348"/>
    <w:rsid w:val="00EF43D8"/>
    <w:rsid w:val="00EF45F9"/>
    <w:rsid w:val="00EF4749"/>
    <w:rsid w:val="00EF47DC"/>
    <w:rsid w:val="00EF49F4"/>
    <w:rsid w:val="00EF4ACD"/>
    <w:rsid w:val="00EF4C1A"/>
    <w:rsid w:val="00EF4C50"/>
    <w:rsid w:val="00EF4D1F"/>
    <w:rsid w:val="00EF508F"/>
    <w:rsid w:val="00EF5221"/>
    <w:rsid w:val="00EF52B7"/>
    <w:rsid w:val="00EF5404"/>
    <w:rsid w:val="00EF54A9"/>
    <w:rsid w:val="00EF54FE"/>
    <w:rsid w:val="00EF5506"/>
    <w:rsid w:val="00EF565C"/>
    <w:rsid w:val="00EF56D4"/>
    <w:rsid w:val="00EF57EE"/>
    <w:rsid w:val="00EF5838"/>
    <w:rsid w:val="00EF58F7"/>
    <w:rsid w:val="00EF59E7"/>
    <w:rsid w:val="00EF5D1C"/>
    <w:rsid w:val="00EF5D65"/>
    <w:rsid w:val="00EF5E6F"/>
    <w:rsid w:val="00EF6009"/>
    <w:rsid w:val="00EF6052"/>
    <w:rsid w:val="00EF60E9"/>
    <w:rsid w:val="00EF61C1"/>
    <w:rsid w:val="00EF64ED"/>
    <w:rsid w:val="00EF65D8"/>
    <w:rsid w:val="00EF65F3"/>
    <w:rsid w:val="00EF67E9"/>
    <w:rsid w:val="00EF68D6"/>
    <w:rsid w:val="00EF6B13"/>
    <w:rsid w:val="00EF6F37"/>
    <w:rsid w:val="00EF7024"/>
    <w:rsid w:val="00EF7351"/>
    <w:rsid w:val="00EF7567"/>
    <w:rsid w:val="00EF76F9"/>
    <w:rsid w:val="00EF7716"/>
    <w:rsid w:val="00EF7B07"/>
    <w:rsid w:val="00EF7C02"/>
    <w:rsid w:val="00EF7C6A"/>
    <w:rsid w:val="00EF7D60"/>
    <w:rsid w:val="00EF7E9B"/>
    <w:rsid w:val="00EF7EA0"/>
    <w:rsid w:val="00EF7F3D"/>
    <w:rsid w:val="00EF7F73"/>
    <w:rsid w:val="00EF7FC4"/>
    <w:rsid w:val="00F000A2"/>
    <w:rsid w:val="00F00240"/>
    <w:rsid w:val="00F00362"/>
    <w:rsid w:val="00F004CA"/>
    <w:rsid w:val="00F00706"/>
    <w:rsid w:val="00F009A7"/>
    <w:rsid w:val="00F00A64"/>
    <w:rsid w:val="00F00AF1"/>
    <w:rsid w:val="00F00B0B"/>
    <w:rsid w:val="00F00D11"/>
    <w:rsid w:val="00F00EC2"/>
    <w:rsid w:val="00F01008"/>
    <w:rsid w:val="00F01040"/>
    <w:rsid w:val="00F01108"/>
    <w:rsid w:val="00F01196"/>
    <w:rsid w:val="00F011D1"/>
    <w:rsid w:val="00F013B3"/>
    <w:rsid w:val="00F0144B"/>
    <w:rsid w:val="00F016AB"/>
    <w:rsid w:val="00F016CB"/>
    <w:rsid w:val="00F017B4"/>
    <w:rsid w:val="00F01A00"/>
    <w:rsid w:val="00F01ADA"/>
    <w:rsid w:val="00F01C67"/>
    <w:rsid w:val="00F01D05"/>
    <w:rsid w:val="00F01D79"/>
    <w:rsid w:val="00F01EA3"/>
    <w:rsid w:val="00F01EAE"/>
    <w:rsid w:val="00F01EBE"/>
    <w:rsid w:val="00F02021"/>
    <w:rsid w:val="00F02341"/>
    <w:rsid w:val="00F027B3"/>
    <w:rsid w:val="00F02851"/>
    <w:rsid w:val="00F02934"/>
    <w:rsid w:val="00F029EB"/>
    <w:rsid w:val="00F02B96"/>
    <w:rsid w:val="00F02BA1"/>
    <w:rsid w:val="00F02CAA"/>
    <w:rsid w:val="00F02D4C"/>
    <w:rsid w:val="00F02F99"/>
    <w:rsid w:val="00F02FA9"/>
    <w:rsid w:val="00F03128"/>
    <w:rsid w:val="00F0331C"/>
    <w:rsid w:val="00F0347A"/>
    <w:rsid w:val="00F034EC"/>
    <w:rsid w:val="00F03559"/>
    <w:rsid w:val="00F037A2"/>
    <w:rsid w:val="00F037A7"/>
    <w:rsid w:val="00F03A91"/>
    <w:rsid w:val="00F03B2B"/>
    <w:rsid w:val="00F03B9F"/>
    <w:rsid w:val="00F03D43"/>
    <w:rsid w:val="00F03D50"/>
    <w:rsid w:val="00F03D66"/>
    <w:rsid w:val="00F03E7B"/>
    <w:rsid w:val="00F03F13"/>
    <w:rsid w:val="00F03FB9"/>
    <w:rsid w:val="00F046C5"/>
    <w:rsid w:val="00F046DF"/>
    <w:rsid w:val="00F04792"/>
    <w:rsid w:val="00F047E0"/>
    <w:rsid w:val="00F048FC"/>
    <w:rsid w:val="00F04942"/>
    <w:rsid w:val="00F04978"/>
    <w:rsid w:val="00F04A11"/>
    <w:rsid w:val="00F04BEE"/>
    <w:rsid w:val="00F04BFB"/>
    <w:rsid w:val="00F04C8A"/>
    <w:rsid w:val="00F04D0B"/>
    <w:rsid w:val="00F04E46"/>
    <w:rsid w:val="00F04E69"/>
    <w:rsid w:val="00F04F11"/>
    <w:rsid w:val="00F04F4F"/>
    <w:rsid w:val="00F0511C"/>
    <w:rsid w:val="00F0512B"/>
    <w:rsid w:val="00F0524F"/>
    <w:rsid w:val="00F052E5"/>
    <w:rsid w:val="00F05554"/>
    <w:rsid w:val="00F0569C"/>
    <w:rsid w:val="00F05789"/>
    <w:rsid w:val="00F057AF"/>
    <w:rsid w:val="00F0584F"/>
    <w:rsid w:val="00F0586D"/>
    <w:rsid w:val="00F0588C"/>
    <w:rsid w:val="00F05970"/>
    <w:rsid w:val="00F05B73"/>
    <w:rsid w:val="00F05C5F"/>
    <w:rsid w:val="00F05ECF"/>
    <w:rsid w:val="00F06046"/>
    <w:rsid w:val="00F06182"/>
    <w:rsid w:val="00F06195"/>
    <w:rsid w:val="00F062E3"/>
    <w:rsid w:val="00F0637E"/>
    <w:rsid w:val="00F06A63"/>
    <w:rsid w:val="00F06A72"/>
    <w:rsid w:val="00F06D65"/>
    <w:rsid w:val="00F06FF8"/>
    <w:rsid w:val="00F07022"/>
    <w:rsid w:val="00F0710E"/>
    <w:rsid w:val="00F0715F"/>
    <w:rsid w:val="00F071A4"/>
    <w:rsid w:val="00F07217"/>
    <w:rsid w:val="00F07232"/>
    <w:rsid w:val="00F07286"/>
    <w:rsid w:val="00F072B9"/>
    <w:rsid w:val="00F07315"/>
    <w:rsid w:val="00F0749C"/>
    <w:rsid w:val="00F074EA"/>
    <w:rsid w:val="00F074F1"/>
    <w:rsid w:val="00F07818"/>
    <w:rsid w:val="00F07974"/>
    <w:rsid w:val="00F07AAA"/>
    <w:rsid w:val="00F07EC3"/>
    <w:rsid w:val="00F0B178"/>
    <w:rsid w:val="00F10024"/>
    <w:rsid w:val="00F1002F"/>
    <w:rsid w:val="00F10086"/>
    <w:rsid w:val="00F101B6"/>
    <w:rsid w:val="00F105C3"/>
    <w:rsid w:val="00F10917"/>
    <w:rsid w:val="00F10A62"/>
    <w:rsid w:val="00F10AAD"/>
    <w:rsid w:val="00F10BF0"/>
    <w:rsid w:val="00F10D11"/>
    <w:rsid w:val="00F10DB6"/>
    <w:rsid w:val="00F10E33"/>
    <w:rsid w:val="00F10EE5"/>
    <w:rsid w:val="00F10F9C"/>
    <w:rsid w:val="00F110FD"/>
    <w:rsid w:val="00F11172"/>
    <w:rsid w:val="00F111D9"/>
    <w:rsid w:val="00F111E5"/>
    <w:rsid w:val="00F113D0"/>
    <w:rsid w:val="00F113E8"/>
    <w:rsid w:val="00F1141D"/>
    <w:rsid w:val="00F11446"/>
    <w:rsid w:val="00F11505"/>
    <w:rsid w:val="00F11543"/>
    <w:rsid w:val="00F1155D"/>
    <w:rsid w:val="00F11569"/>
    <w:rsid w:val="00F11597"/>
    <w:rsid w:val="00F1160C"/>
    <w:rsid w:val="00F11700"/>
    <w:rsid w:val="00F11837"/>
    <w:rsid w:val="00F118AF"/>
    <w:rsid w:val="00F1191D"/>
    <w:rsid w:val="00F11AF7"/>
    <w:rsid w:val="00F11B0E"/>
    <w:rsid w:val="00F11D48"/>
    <w:rsid w:val="00F11DDB"/>
    <w:rsid w:val="00F11DF2"/>
    <w:rsid w:val="00F12199"/>
    <w:rsid w:val="00F121EA"/>
    <w:rsid w:val="00F12218"/>
    <w:rsid w:val="00F12222"/>
    <w:rsid w:val="00F122EF"/>
    <w:rsid w:val="00F12300"/>
    <w:rsid w:val="00F1241D"/>
    <w:rsid w:val="00F129A5"/>
    <w:rsid w:val="00F12C6E"/>
    <w:rsid w:val="00F12D05"/>
    <w:rsid w:val="00F12DDF"/>
    <w:rsid w:val="00F12F4C"/>
    <w:rsid w:val="00F12F7C"/>
    <w:rsid w:val="00F13058"/>
    <w:rsid w:val="00F13093"/>
    <w:rsid w:val="00F1319E"/>
    <w:rsid w:val="00F1342A"/>
    <w:rsid w:val="00F13442"/>
    <w:rsid w:val="00F136C5"/>
    <w:rsid w:val="00F137F4"/>
    <w:rsid w:val="00F13852"/>
    <w:rsid w:val="00F13A6A"/>
    <w:rsid w:val="00F13AF1"/>
    <w:rsid w:val="00F13C3F"/>
    <w:rsid w:val="00F13CA3"/>
    <w:rsid w:val="00F13D30"/>
    <w:rsid w:val="00F13D60"/>
    <w:rsid w:val="00F13E9C"/>
    <w:rsid w:val="00F13F08"/>
    <w:rsid w:val="00F13F78"/>
    <w:rsid w:val="00F13FE9"/>
    <w:rsid w:val="00F14335"/>
    <w:rsid w:val="00F14520"/>
    <w:rsid w:val="00F1455D"/>
    <w:rsid w:val="00F14B7C"/>
    <w:rsid w:val="00F14DF8"/>
    <w:rsid w:val="00F14E5F"/>
    <w:rsid w:val="00F1511A"/>
    <w:rsid w:val="00F152B2"/>
    <w:rsid w:val="00F1533D"/>
    <w:rsid w:val="00F15385"/>
    <w:rsid w:val="00F1560F"/>
    <w:rsid w:val="00F156CC"/>
    <w:rsid w:val="00F15DAD"/>
    <w:rsid w:val="00F15E4A"/>
    <w:rsid w:val="00F15EB5"/>
    <w:rsid w:val="00F15F07"/>
    <w:rsid w:val="00F15FC7"/>
    <w:rsid w:val="00F1622D"/>
    <w:rsid w:val="00F16360"/>
    <w:rsid w:val="00F16371"/>
    <w:rsid w:val="00F1643D"/>
    <w:rsid w:val="00F1648E"/>
    <w:rsid w:val="00F165F6"/>
    <w:rsid w:val="00F1687A"/>
    <w:rsid w:val="00F16A71"/>
    <w:rsid w:val="00F16AC5"/>
    <w:rsid w:val="00F16BA8"/>
    <w:rsid w:val="00F16BF7"/>
    <w:rsid w:val="00F16C92"/>
    <w:rsid w:val="00F16CAB"/>
    <w:rsid w:val="00F16CBF"/>
    <w:rsid w:val="00F16FA5"/>
    <w:rsid w:val="00F16FB5"/>
    <w:rsid w:val="00F17010"/>
    <w:rsid w:val="00F170ED"/>
    <w:rsid w:val="00F17117"/>
    <w:rsid w:val="00F1747B"/>
    <w:rsid w:val="00F176D8"/>
    <w:rsid w:val="00F1784C"/>
    <w:rsid w:val="00F178DC"/>
    <w:rsid w:val="00F178F6"/>
    <w:rsid w:val="00F17E69"/>
    <w:rsid w:val="00F20113"/>
    <w:rsid w:val="00F20169"/>
    <w:rsid w:val="00F20369"/>
    <w:rsid w:val="00F20435"/>
    <w:rsid w:val="00F20544"/>
    <w:rsid w:val="00F205CE"/>
    <w:rsid w:val="00F205F8"/>
    <w:rsid w:val="00F206C8"/>
    <w:rsid w:val="00F2083D"/>
    <w:rsid w:val="00F20B20"/>
    <w:rsid w:val="00F20B67"/>
    <w:rsid w:val="00F20B9C"/>
    <w:rsid w:val="00F20D5E"/>
    <w:rsid w:val="00F20DC6"/>
    <w:rsid w:val="00F20FF8"/>
    <w:rsid w:val="00F21014"/>
    <w:rsid w:val="00F21183"/>
    <w:rsid w:val="00F21404"/>
    <w:rsid w:val="00F21439"/>
    <w:rsid w:val="00F2145C"/>
    <w:rsid w:val="00F2159B"/>
    <w:rsid w:val="00F216DF"/>
    <w:rsid w:val="00F21718"/>
    <w:rsid w:val="00F21899"/>
    <w:rsid w:val="00F21A49"/>
    <w:rsid w:val="00F21F30"/>
    <w:rsid w:val="00F21FD2"/>
    <w:rsid w:val="00F22001"/>
    <w:rsid w:val="00F221E8"/>
    <w:rsid w:val="00F22296"/>
    <w:rsid w:val="00F2232B"/>
    <w:rsid w:val="00F22417"/>
    <w:rsid w:val="00F22505"/>
    <w:rsid w:val="00F2256E"/>
    <w:rsid w:val="00F22691"/>
    <w:rsid w:val="00F22801"/>
    <w:rsid w:val="00F22853"/>
    <w:rsid w:val="00F229A9"/>
    <w:rsid w:val="00F22ED3"/>
    <w:rsid w:val="00F22F33"/>
    <w:rsid w:val="00F23155"/>
    <w:rsid w:val="00F23243"/>
    <w:rsid w:val="00F2327E"/>
    <w:rsid w:val="00F23365"/>
    <w:rsid w:val="00F233D0"/>
    <w:rsid w:val="00F2358D"/>
    <w:rsid w:val="00F235DA"/>
    <w:rsid w:val="00F237C2"/>
    <w:rsid w:val="00F23867"/>
    <w:rsid w:val="00F239C7"/>
    <w:rsid w:val="00F23CB6"/>
    <w:rsid w:val="00F23D5C"/>
    <w:rsid w:val="00F23DD2"/>
    <w:rsid w:val="00F241EA"/>
    <w:rsid w:val="00F24394"/>
    <w:rsid w:val="00F243A5"/>
    <w:rsid w:val="00F244F2"/>
    <w:rsid w:val="00F246B3"/>
    <w:rsid w:val="00F24744"/>
    <w:rsid w:val="00F24793"/>
    <w:rsid w:val="00F24A87"/>
    <w:rsid w:val="00F24B34"/>
    <w:rsid w:val="00F24CEB"/>
    <w:rsid w:val="00F24E32"/>
    <w:rsid w:val="00F24E99"/>
    <w:rsid w:val="00F24F61"/>
    <w:rsid w:val="00F250A8"/>
    <w:rsid w:val="00F25148"/>
    <w:rsid w:val="00F25459"/>
    <w:rsid w:val="00F25648"/>
    <w:rsid w:val="00F25695"/>
    <w:rsid w:val="00F25696"/>
    <w:rsid w:val="00F256A9"/>
    <w:rsid w:val="00F2572E"/>
    <w:rsid w:val="00F258D3"/>
    <w:rsid w:val="00F25C5E"/>
    <w:rsid w:val="00F25C67"/>
    <w:rsid w:val="00F25CD4"/>
    <w:rsid w:val="00F26054"/>
    <w:rsid w:val="00F260CC"/>
    <w:rsid w:val="00F260D7"/>
    <w:rsid w:val="00F26275"/>
    <w:rsid w:val="00F262E7"/>
    <w:rsid w:val="00F264DD"/>
    <w:rsid w:val="00F2674E"/>
    <w:rsid w:val="00F267FC"/>
    <w:rsid w:val="00F26813"/>
    <w:rsid w:val="00F268E8"/>
    <w:rsid w:val="00F26914"/>
    <w:rsid w:val="00F26981"/>
    <w:rsid w:val="00F26C23"/>
    <w:rsid w:val="00F26D8C"/>
    <w:rsid w:val="00F26F2F"/>
    <w:rsid w:val="00F26FE2"/>
    <w:rsid w:val="00F2711E"/>
    <w:rsid w:val="00F27184"/>
    <w:rsid w:val="00F271F0"/>
    <w:rsid w:val="00F27243"/>
    <w:rsid w:val="00F272FB"/>
    <w:rsid w:val="00F27506"/>
    <w:rsid w:val="00F275E6"/>
    <w:rsid w:val="00F27727"/>
    <w:rsid w:val="00F27794"/>
    <w:rsid w:val="00F277C9"/>
    <w:rsid w:val="00F279D4"/>
    <w:rsid w:val="00F27ABB"/>
    <w:rsid w:val="00F27B75"/>
    <w:rsid w:val="00F27BE4"/>
    <w:rsid w:val="00F2B413"/>
    <w:rsid w:val="00F30067"/>
    <w:rsid w:val="00F3012D"/>
    <w:rsid w:val="00F3025B"/>
    <w:rsid w:val="00F30454"/>
    <w:rsid w:val="00F3056E"/>
    <w:rsid w:val="00F306E4"/>
    <w:rsid w:val="00F306FE"/>
    <w:rsid w:val="00F3089C"/>
    <w:rsid w:val="00F308CC"/>
    <w:rsid w:val="00F30AA7"/>
    <w:rsid w:val="00F30D69"/>
    <w:rsid w:val="00F30DEA"/>
    <w:rsid w:val="00F30EF6"/>
    <w:rsid w:val="00F311AC"/>
    <w:rsid w:val="00F31204"/>
    <w:rsid w:val="00F315A3"/>
    <w:rsid w:val="00F318CC"/>
    <w:rsid w:val="00F318E0"/>
    <w:rsid w:val="00F31B53"/>
    <w:rsid w:val="00F31B73"/>
    <w:rsid w:val="00F31C0A"/>
    <w:rsid w:val="00F31D5C"/>
    <w:rsid w:val="00F31F8D"/>
    <w:rsid w:val="00F32084"/>
    <w:rsid w:val="00F32389"/>
    <w:rsid w:val="00F32418"/>
    <w:rsid w:val="00F3255E"/>
    <w:rsid w:val="00F325FB"/>
    <w:rsid w:val="00F32647"/>
    <w:rsid w:val="00F327EA"/>
    <w:rsid w:val="00F328D0"/>
    <w:rsid w:val="00F32A2D"/>
    <w:rsid w:val="00F32B15"/>
    <w:rsid w:val="00F32B9F"/>
    <w:rsid w:val="00F32BD4"/>
    <w:rsid w:val="00F32C11"/>
    <w:rsid w:val="00F32E28"/>
    <w:rsid w:val="00F32FA8"/>
    <w:rsid w:val="00F33012"/>
    <w:rsid w:val="00F33077"/>
    <w:rsid w:val="00F3315A"/>
    <w:rsid w:val="00F331C4"/>
    <w:rsid w:val="00F335D5"/>
    <w:rsid w:val="00F33612"/>
    <w:rsid w:val="00F336D1"/>
    <w:rsid w:val="00F3372E"/>
    <w:rsid w:val="00F33862"/>
    <w:rsid w:val="00F338CC"/>
    <w:rsid w:val="00F33A0B"/>
    <w:rsid w:val="00F33A8A"/>
    <w:rsid w:val="00F33C09"/>
    <w:rsid w:val="00F33EE0"/>
    <w:rsid w:val="00F33F4F"/>
    <w:rsid w:val="00F340C4"/>
    <w:rsid w:val="00F341C1"/>
    <w:rsid w:val="00F34672"/>
    <w:rsid w:val="00F34756"/>
    <w:rsid w:val="00F34971"/>
    <w:rsid w:val="00F34A89"/>
    <w:rsid w:val="00F34DCC"/>
    <w:rsid w:val="00F34E3C"/>
    <w:rsid w:val="00F34EB8"/>
    <w:rsid w:val="00F34F96"/>
    <w:rsid w:val="00F34F9E"/>
    <w:rsid w:val="00F34FFC"/>
    <w:rsid w:val="00F3505E"/>
    <w:rsid w:val="00F352A4"/>
    <w:rsid w:val="00F352D4"/>
    <w:rsid w:val="00F352E6"/>
    <w:rsid w:val="00F353B5"/>
    <w:rsid w:val="00F35493"/>
    <w:rsid w:val="00F35503"/>
    <w:rsid w:val="00F3550D"/>
    <w:rsid w:val="00F35516"/>
    <w:rsid w:val="00F35607"/>
    <w:rsid w:val="00F356D9"/>
    <w:rsid w:val="00F356FD"/>
    <w:rsid w:val="00F35760"/>
    <w:rsid w:val="00F35838"/>
    <w:rsid w:val="00F35889"/>
    <w:rsid w:val="00F358AB"/>
    <w:rsid w:val="00F359AE"/>
    <w:rsid w:val="00F359DE"/>
    <w:rsid w:val="00F35BA6"/>
    <w:rsid w:val="00F35C6E"/>
    <w:rsid w:val="00F35D08"/>
    <w:rsid w:val="00F35D19"/>
    <w:rsid w:val="00F36082"/>
    <w:rsid w:val="00F360A3"/>
    <w:rsid w:val="00F36127"/>
    <w:rsid w:val="00F36213"/>
    <w:rsid w:val="00F3656E"/>
    <w:rsid w:val="00F36723"/>
    <w:rsid w:val="00F367E2"/>
    <w:rsid w:val="00F36C99"/>
    <w:rsid w:val="00F36CFF"/>
    <w:rsid w:val="00F36EE4"/>
    <w:rsid w:val="00F36F65"/>
    <w:rsid w:val="00F37132"/>
    <w:rsid w:val="00F371A5"/>
    <w:rsid w:val="00F3724D"/>
    <w:rsid w:val="00F37270"/>
    <w:rsid w:val="00F37272"/>
    <w:rsid w:val="00F372B3"/>
    <w:rsid w:val="00F372CA"/>
    <w:rsid w:val="00F373CE"/>
    <w:rsid w:val="00F3749B"/>
    <w:rsid w:val="00F37588"/>
    <w:rsid w:val="00F375C5"/>
    <w:rsid w:val="00F3764A"/>
    <w:rsid w:val="00F3765F"/>
    <w:rsid w:val="00F3766C"/>
    <w:rsid w:val="00F376D8"/>
    <w:rsid w:val="00F37707"/>
    <w:rsid w:val="00F3775C"/>
    <w:rsid w:val="00F37879"/>
    <w:rsid w:val="00F37952"/>
    <w:rsid w:val="00F37A0F"/>
    <w:rsid w:val="00F37D90"/>
    <w:rsid w:val="00F37DAB"/>
    <w:rsid w:val="00F401B2"/>
    <w:rsid w:val="00F40201"/>
    <w:rsid w:val="00F4033F"/>
    <w:rsid w:val="00F40416"/>
    <w:rsid w:val="00F40524"/>
    <w:rsid w:val="00F40864"/>
    <w:rsid w:val="00F40A78"/>
    <w:rsid w:val="00F40AD8"/>
    <w:rsid w:val="00F40C04"/>
    <w:rsid w:val="00F40DD5"/>
    <w:rsid w:val="00F40E3F"/>
    <w:rsid w:val="00F41073"/>
    <w:rsid w:val="00F410DC"/>
    <w:rsid w:val="00F413C5"/>
    <w:rsid w:val="00F413DD"/>
    <w:rsid w:val="00F414F1"/>
    <w:rsid w:val="00F41562"/>
    <w:rsid w:val="00F41778"/>
    <w:rsid w:val="00F41831"/>
    <w:rsid w:val="00F418F5"/>
    <w:rsid w:val="00F419CF"/>
    <w:rsid w:val="00F41B5B"/>
    <w:rsid w:val="00F41C05"/>
    <w:rsid w:val="00F41C10"/>
    <w:rsid w:val="00F42002"/>
    <w:rsid w:val="00F421FA"/>
    <w:rsid w:val="00F4255E"/>
    <w:rsid w:val="00F425A4"/>
    <w:rsid w:val="00F426A2"/>
    <w:rsid w:val="00F4272E"/>
    <w:rsid w:val="00F427C4"/>
    <w:rsid w:val="00F42817"/>
    <w:rsid w:val="00F42847"/>
    <w:rsid w:val="00F4297F"/>
    <w:rsid w:val="00F42A0C"/>
    <w:rsid w:val="00F42B6B"/>
    <w:rsid w:val="00F42CF6"/>
    <w:rsid w:val="00F42D05"/>
    <w:rsid w:val="00F42D36"/>
    <w:rsid w:val="00F42DA3"/>
    <w:rsid w:val="00F42DB3"/>
    <w:rsid w:val="00F42F20"/>
    <w:rsid w:val="00F4308B"/>
    <w:rsid w:val="00F430E3"/>
    <w:rsid w:val="00F4313A"/>
    <w:rsid w:val="00F43293"/>
    <w:rsid w:val="00F432A7"/>
    <w:rsid w:val="00F4342D"/>
    <w:rsid w:val="00F436C8"/>
    <w:rsid w:val="00F43762"/>
    <w:rsid w:val="00F43AAB"/>
    <w:rsid w:val="00F43C57"/>
    <w:rsid w:val="00F43D11"/>
    <w:rsid w:val="00F4406D"/>
    <w:rsid w:val="00F443D6"/>
    <w:rsid w:val="00F4444A"/>
    <w:rsid w:val="00F44568"/>
    <w:rsid w:val="00F445E8"/>
    <w:rsid w:val="00F44606"/>
    <w:rsid w:val="00F4484E"/>
    <w:rsid w:val="00F44A26"/>
    <w:rsid w:val="00F44A65"/>
    <w:rsid w:val="00F44B03"/>
    <w:rsid w:val="00F44BE1"/>
    <w:rsid w:val="00F44EA6"/>
    <w:rsid w:val="00F44F0C"/>
    <w:rsid w:val="00F44FF1"/>
    <w:rsid w:val="00F45026"/>
    <w:rsid w:val="00F4513B"/>
    <w:rsid w:val="00F452DF"/>
    <w:rsid w:val="00F45312"/>
    <w:rsid w:val="00F45415"/>
    <w:rsid w:val="00F45427"/>
    <w:rsid w:val="00F454C3"/>
    <w:rsid w:val="00F454E6"/>
    <w:rsid w:val="00F45578"/>
    <w:rsid w:val="00F4559A"/>
    <w:rsid w:val="00F455DD"/>
    <w:rsid w:val="00F458BD"/>
    <w:rsid w:val="00F45A5D"/>
    <w:rsid w:val="00F45B97"/>
    <w:rsid w:val="00F45C6A"/>
    <w:rsid w:val="00F45CAC"/>
    <w:rsid w:val="00F45E03"/>
    <w:rsid w:val="00F45F36"/>
    <w:rsid w:val="00F46186"/>
    <w:rsid w:val="00F461BB"/>
    <w:rsid w:val="00F461E3"/>
    <w:rsid w:val="00F46225"/>
    <w:rsid w:val="00F46243"/>
    <w:rsid w:val="00F46333"/>
    <w:rsid w:val="00F46341"/>
    <w:rsid w:val="00F46550"/>
    <w:rsid w:val="00F46655"/>
    <w:rsid w:val="00F46687"/>
    <w:rsid w:val="00F46738"/>
    <w:rsid w:val="00F46945"/>
    <w:rsid w:val="00F469B0"/>
    <w:rsid w:val="00F46AEA"/>
    <w:rsid w:val="00F46BA6"/>
    <w:rsid w:val="00F46BE3"/>
    <w:rsid w:val="00F46DB4"/>
    <w:rsid w:val="00F46DC9"/>
    <w:rsid w:val="00F46E8D"/>
    <w:rsid w:val="00F46FDE"/>
    <w:rsid w:val="00F47061"/>
    <w:rsid w:val="00F47317"/>
    <w:rsid w:val="00F473D0"/>
    <w:rsid w:val="00F473DE"/>
    <w:rsid w:val="00F474F9"/>
    <w:rsid w:val="00F476B7"/>
    <w:rsid w:val="00F477CE"/>
    <w:rsid w:val="00F47898"/>
    <w:rsid w:val="00F47AC5"/>
    <w:rsid w:val="00F47CC0"/>
    <w:rsid w:val="00F47D13"/>
    <w:rsid w:val="00F47DFE"/>
    <w:rsid w:val="00F47E28"/>
    <w:rsid w:val="00F502EC"/>
    <w:rsid w:val="00F5052F"/>
    <w:rsid w:val="00F5074E"/>
    <w:rsid w:val="00F509B1"/>
    <w:rsid w:val="00F50F52"/>
    <w:rsid w:val="00F5101A"/>
    <w:rsid w:val="00F510CE"/>
    <w:rsid w:val="00F51178"/>
    <w:rsid w:val="00F5117F"/>
    <w:rsid w:val="00F5125E"/>
    <w:rsid w:val="00F512D6"/>
    <w:rsid w:val="00F512E1"/>
    <w:rsid w:val="00F51588"/>
    <w:rsid w:val="00F5165A"/>
    <w:rsid w:val="00F517B1"/>
    <w:rsid w:val="00F51A7A"/>
    <w:rsid w:val="00F51AD2"/>
    <w:rsid w:val="00F51C49"/>
    <w:rsid w:val="00F51C52"/>
    <w:rsid w:val="00F52033"/>
    <w:rsid w:val="00F520AC"/>
    <w:rsid w:val="00F520DD"/>
    <w:rsid w:val="00F520E7"/>
    <w:rsid w:val="00F522FA"/>
    <w:rsid w:val="00F523F5"/>
    <w:rsid w:val="00F52565"/>
    <w:rsid w:val="00F52990"/>
    <w:rsid w:val="00F529D0"/>
    <w:rsid w:val="00F52A44"/>
    <w:rsid w:val="00F52CA2"/>
    <w:rsid w:val="00F52D4E"/>
    <w:rsid w:val="00F52DEC"/>
    <w:rsid w:val="00F53005"/>
    <w:rsid w:val="00F53135"/>
    <w:rsid w:val="00F53176"/>
    <w:rsid w:val="00F532E8"/>
    <w:rsid w:val="00F534C3"/>
    <w:rsid w:val="00F535AA"/>
    <w:rsid w:val="00F53664"/>
    <w:rsid w:val="00F5386B"/>
    <w:rsid w:val="00F53882"/>
    <w:rsid w:val="00F539ED"/>
    <w:rsid w:val="00F53A63"/>
    <w:rsid w:val="00F53AA2"/>
    <w:rsid w:val="00F53C28"/>
    <w:rsid w:val="00F53D94"/>
    <w:rsid w:val="00F53E56"/>
    <w:rsid w:val="00F53EA4"/>
    <w:rsid w:val="00F53EF9"/>
    <w:rsid w:val="00F53FD1"/>
    <w:rsid w:val="00F5439F"/>
    <w:rsid w:val="00F544D1"/>
    <w:rsid w:val="00F54554"/>
    <w:rsid w:val="00F545A7"/>
    <w:rsid w:val="00F54626"/>
    <w:rsid w:val="00F546A1"/>
    <w:rsid w:val="00F5475D"/>
    <w:rsid w:val="00F54776"/>
    <w:rsid w:val="00F5480E"/>
    <w:rsid w:val="00F548B9"/>
    <w:rsid w:val="00F548F0"/>
    <w:rsid w:val="00F5493A"/>
    <w:rsid w:val="00F5494C"/>
    <w:rsid w:val="00F549C0"/>
    <w:rsid w:val="00F54AC2"/>
    <w:rsid w:val="00F54BF9"/>
    <w:rsid w:val="00F54E80"/>
    <w:rsid w:val="00F550B9"/>
    <w:rsid w:val="00F550F7"/>
    <w:rsid w:val="00F552A2"/>
    <w:rsid w:val="00F553FC"/>
    <w:rsid w:val="00F5556C"/>
    <w:rsid w:val="00F556A3"/>
    <w:rsid w:val="00F556F7"/>
    <w:rsid w:val="00F55984"/>
    <w:rsid w:val="00F55B58"/>
    <w:rsid w:val="00F55D41"/>
    <w:rsid w:val="00F55DB7"/>
    <w:rsid w:val="00F55ED3"/>
    <w:rsid w:val="00F56163"/>
    <w:rsid w:val="00F561FF"/>
    <w:rsid w:val="00F5621A"/>
    <w:rsid w:val="00F56873"/>
    <w:rsid w:val="00F56F02"/>
    <w:rsid w:val="00F571F2"/>
    <w:rsid w:val="00F572CA"/>
    <w:rsid w:val="00F5739E"/>
    <w:rsid w:val="00F574C3"/>
    <w:rsid w:val="00F574CE"/>
    <w:rsid w:val="00F575FA"/>
    <w:rsid w:val="00F57643"/>
    <w:rsid w:val="00F57658"/>
    <w:rsid w:val="00F576A1"/>
    <w:rsid w:val="00F5778B"/>
    <w:rsid w:val="00F57BA4"/>
    <w:rsid w:val="00F57BF9"/>
    <w:rsid w:val="00F57E04"/>
    <w:rsid w:val="00F57F2B"/>
    <w:rsid w:val="00F57FA5"/>
    <w:rsid w:val="00F6009E"/>
    <w:rsid w:val="00F600E1"/>
    <w:rsid w:val="00F602DA"/>
    <w:rsid w:val="00F60428"/>
    <w:rsid w:val="00F6046C"/>
    <w:rsid w:val="00F60516"/>
    <w:rsid w:val="00F60B31"/>
    <w:rsid w:val="00F60B3B"/>
    <w:rsid w:val="00F60BA5"/>
    <w:rsid w:val="00F60BB4"/>
    <w:rsid w:val="00F60CAB"/>
    <w:rsid w:val="00F60E7E"/>
    <w:rsid w:val="00F60EA4"/>
    <w:rsid w:val="00F61092"/>
    <w:rsid w:val="00F6113D"/>
    <w:rsid w:val="00F611F4"/>
    <w:rsid w:val="00F6142E"/>
    <w:rsid w:val="00F61529"/>
    <w:rsid w:val="00F6169F"/>
    <w:rsid w:val="00F6190C"/>
    <w:rsid w:val="00F61930"/>
    <w:rsid w:val="00F6196A"/>
    <w:rsid w:val="00F619D3"/>
    <w:rsid w:val="00F61AA5"/>
    <w:rsid w:val="00F61D14"/>
    <w:rsid w:val="00F61D60"/>
    <w:rsid w:val="00F61EF2"/>
    <w:rsid w:val="00F62056"/>
    <w:rsid w:val="00F620A4"/>
    <w:rsid w:val="00F620BA"/>
    <w:rsid w:val="00F62220"/>
    <w:rsid w:val="00F622A0"/>
    <w:rsid w:val="00F6238C"/>
    <w:rsid w:val="00F62453"/>
    <w:rsid w:val="00F626B6"/>
    <w:rsid w:val="00F6278E"/>
    <w:rsid w:val="00F628E3"/>
    <w:rsid w:val="00F62964"/>
    <w:rsid w:val="00F62992"/>
    <w:rsid w:val="00F62B21"/>
    <w:rsid w:val="00F62B38"/>
    <w:rsid w:val="00F62C57"/>
    <w:rsid w:val="00F62C9B"/>
    <w:rsid w:val="00F62EA4"/>
    <w:rsid w:val="00F63433"/>
    <w:rsid w:val="00F634C0"/>
    <w:rsid w:val="00F634EA"/>
    <w:rsid w:val="00F63528"/>
    <w:rsid w:val="00F63593"/>
    <w:rsid w:val="00F637B0"/>
    <w:rsid w:val="00F6399C"/>
    <w:rsid w:val="00F639B5"/>
    <w:rsid w:val="00F63E29"/>
    <w:rsid w:val="00F63FBA"/>
    <w:rsid w:val="00F6426E"/>
    <w:rsid w:val="00F6430B"/>
    <w:rsid w:val="00F64377"/>
    <w:rsid w:val="00F6445F"/>
    <w:rsid w:val="00F64509"/>
    <w:rsid w:val="00F64915"/>
    <w:rsid w:val="00F6499B"/>
    <w:rsid w:val="00F6499E"/>
    <w:rsid w:val="00F64F90"/>
    <w:rsid w:val="00F650C7"/>
    <w:rsid w:val="00F651AA"/>
    <w:rsid w:val="00F651DA"/>
    <w:rsid w:val="00F65281"/>
    <w:rsid w:val="00F653AB"/>
    <w:rsid w:val="00F657D6"/>
    <w:rsid w:val="00F65944"/>
    <w:rsid w:val="00F659D6"/>
    <w:rsid w:val="00F65B14"/>
    <w:rsid w:val="00F65C00"/>
    <w:rsid w:val="00F65DE8"/>
    <w:rsid w:val="00F661FD"/>
    <w:rsid w:val="00F66292"/>
    <w:rsid w:val="00F663E1"/>
    <w:rsid w:val="00F664E4"/>
    <w:rsid w:val="00F66553"/>
    <w:rsid w:val="00F666BC"/>
    <w:rsid w:val="00F66708"/>
    <w:rsid w:val="00F668EA"/>
    <w:rsid w:val="00F669B8"/>
    <w:rsid w:val="00F669DD"/>
    <w:rsid w:val="00F66A71"/>
    <w:rsid w:val="00F66B09"/>
    <w:rsid w:val="00F66D3A"/>
    <w:rsid w:val="00F66E70"/>
    <w:rsid w:val="00F66E82"/>
    <w:rsid w:val="00F66EF6"/>
    <w:rsid w:val="00F6727A"/>
    <w:rsid w:val="00F673CC"/>
    <w:rsid w:val="00F6775F"/>
    <w:rsid w:val="00F677CD"/>
    <w:rsid w:val="00F67948"/>
    <w:rsid w:val="00F67A8D"/>
    <w:rsid w:val="00F67BF8"/>
    <w:rsid w:val="00F67C3E"/>
    <w:rsid w:val="00F67CA0"/>
    <w:rsid w:val="00F67EFC"/>
    <w:rsid w:val="00F70193"/>
    <w:rsid w:val="00F7024A"/>
    <w:rsid w:val="00F7031F"/>
    <w:rsid w:val="00F704A3"/>
    <w:rsid w:val="00F7055B"/>
    <w:rsid w:val="00F705AD"/>
    <w:rsid w:val="00F7068D"/>
    <w:rsid w:val="00F7073D"/>
    <w:rsid w:val="00F7074C"/>
    <w:rsid w:val="00F70994"/>
    <w:rsid w:val="00F709F5"/>
    <w:rsid w:val="00F70A90"/>
    <w:rsid w:val="00F70D0C"/>
    <w:rsid w:val="00F70DFC"/>
    <w:rsid w:val="00F70E24"/>
    <w:rsid w:val="00F70F30"/>
    <w:rsid w:val="00F715CD"/>
    <w:rsid w:val="00F71695"/>
    <w:rsid w:val="00F716F0"/>
    <w:rsid w:val="00F71747"/>
    <w:rsid w:val="00F7182D"/>
    <w:rsid w:val="00F71841"/>
    <w:rsid w:val="00F71C69"/>
    <w:rsid w:val="00F7225B"/>
    <w:rsid w:val="00F7232D"/>
    <w:rsid w:val="00F72439"/>
    <w:rsid w:val="00F72480"/>
    <w:rsid w:val="00F7285A"/>
    <w:rsid w:val="00F72A13"/>
    <w:rsid w:val="00F72AC7"/>
    <w:rsid w:val="00F72AD5"/>
    <w:rsid w:val="00F72AFE"/>
    <w:rsid w:val="00F72D69"/>
    <w:rsid w:val="00F72F5E"/>
    <w:rsid w:val="00F7308A"/>
    <w:rsid w:val="00F730BF"/>
    <w:rsid w:val="00F73132"/>
    <w:rsid w:val="00F731C6"/>
    <w:rsid w:val="00F7326F"/>
    <w:rsid w:val="00F732F0"/>
    <w:rsid w:val="00F732FB"/>
    <w:rsid w:val="00F7331D"/>
    <w:rsid w:val="00F73567"/>
    <w:rsid w:val="00F735C8"/>
    <w:rsid w:val="00F7375C"/>
    <w:rsid w:val="00F73799"/>
    <w:rsid w:val="00F738DA"/>
    <w:rsid w:val="00F7392B"/>
    <w:rsid w:val="00F73963"/>
    <w:rsid w:val="00F73C4A"/>
    <w:rsid w:val="00F73CDE"/>
    <w:rsid w:val="00F73D94"/>
    <w:rsid w:val="00F73EC1"/>
    <w:rsid w:val="00F7414B"/>
    <w:rsid w:val="00F7429D"/>
    <w:rsid w:val="00F74384"/>
    <w:rsid w:val="00F74562"/>
    <w:rsid w:val="00F74719"/>
    <w:rsid w:val="00F74751"/>
    <w:rsid w:val="00F74BB3"/>
    <w:rsid w:val="00F74E0E"/>
    <w:rsid w:val="00F74E8D"/>
    <w:rsid w:val="00F74F10"/>
    <w:rsid w:val="00F74FA2"/>
    <w:rsid w:val="00F751F1"/>
    <w:rsid w:val="00F75506"/>
    <w:rsid w:val="00F7578C"/>
    <w:rsid w:val="00F75863"/>
    <w:rsid w:val="00F75963"/>
    <w:rsid w:val="00F759C5"/>
    <w:rsid w:val="00F75A77"/>
    <w:rsid w:val="00F75B82"/>
    <w:rsid w:val="00F75C42"/>
    <w:rsid w:val="00F75D01"/>
    <w:rsid w:val="00F75F04"/>
    <w:rsid w:val="00F760DE"/>
    <w:rsid w:val="00F7657D"/>
    <w:rsid w:val="00F76587"/>
    <w:rsid w:val="00F765BC"/>
    <w:rsid w:val="00F766DF"/>
    <w:rsid w:val="00F76716"/>
    <w:rsid w:val="00F76B81"/>
    <w:rsid w:val="00F76BF1"/>
    <w:rsid w:val="00F76C13"/>
    <w:rsid w:val="00F76CB6"/>
    <w:rsid w:val="00F76E68"/>
    <w:rsid w:val="00F7717C"/>
    <w:rsid w:val="00F77208"/>
    <w:rsid w:val="00F77256"/>
    <w:rsid w:val="00F773B0"/>
    <w:rsid w:val="00F773C0"/>
    <w:rsid w:val="00F77498"/>
    <w:rsid w:val="00F7753F"/>
    <w:rsid w:val="00F77564"/>
    <w:rsid w:val="00F775F9"/>
    <w:rsid w:val="00F775FB"/>
    <w:rsid w:val="00F777B2"/>
    <w:rsid w:val="00F7786B"/>
    <w:rsid w:val="00F77B78"/>
    <w:rsid w:val="00F77B95"/>
    <w:rsid w:val="00F77C2F"/>
    <w:rsid w:val="00F77E30"/>
    <w:rsid w:val="00F77E82"/>
    <w:rsid w:val="00F77F07"/>
    <w:rsid w:val="00F8012F"/>
    <w:rsid w:val="00F803C7"/>
    <w:rsid w:val="00F80574"/>
    <w:rsid w:val="00F8057E"/>
    <w:rsid w:val="00F805B4"/>
    <w:rsid w:val="00F80816"/>
    <w:rsid w:val="00F80835"/>
    <w:rsid w:val="00F808FC"/>
    <w:rsid w:val="00F80A20"/>
    <w:rsid w:val="00F80C29"/>
    <w:rsid w:val="00F80CC5"/>
    <w:rsid w:val="00F80D21"/>
    <w:rsid w:val="00F80E01"/>
    <w:rsid w:val="00F80E6D"/>
    <w:rsid w:val="00F80EC9"/>
    <w:rsid w:val="00F8101B"/>
    <w:rsid w:val="00F810E7"/>
    <w:rsid w:val="00F8110F"/>
    <w:rsid w:val="00F81168"/>
    <w:rsid w:val="00F81308"/>
    <w:rsid w:val="00F81389"/>
    <w:rsid w:val="00F815B6"/>
    <w:rsid w:val="00F81674"/>
    <w:rsid w:val="00F819ED"/>
    <w:rsid w:val="00F81CC1"/>
    <w:rsid w:val="00F81F9A"/>
    <w:rsid w:val="00F820DF"/>
    <w:rsid w:val="00F8226D"/>
    <w:rsid w:val="00F822CD"/>
    <w:rsid w:val="00F823BC"/>
    <w:rsid w:val="00F82551"/>
    <w:rsid w:val="00F827B1"/>
    <w:rsid w:val="00F82803"/>
    <w:rsid w:val="00F828D7"/>
    <w:rsid w:val="00F82904"/>
    <w:rsid w:val="00F82A54"/>
    <w:rsid w:val="00F82ADA"/>
    <w:rsid w:val="00F82B18"/>
    <w:rsid w:val="00F82B90"/>
    <w:rsid w:val="00F82C84"/>
    <w:rsid w:val="00F82EEE"/>
    <w:rsid w:val="00F82FE6"/>
    <w:rsid w:val="00F83053"/>
    <w:rsid w:val="00F83597"/>
    <w:rsid w:val="00F83633"/>
    <w:rsid w:val="00F8383F"/>
    <w:rsid w:val="00F83982"/>
    <w:rsid w:val="00F83AE4"/>
    <w:rsid w:val="00F83C2A"/>
    <w:rsid w:val="00F83E69"/>
    <w:rsid w:val="00F83E98"/>
    <w:rsid w:val="00F83EC5"/>
    <w:rsid w:val="00F83ED1"/>
    <w:rsid w:val="00F84139"/>
    <w:rsid w:val="00F84282"/>
    <w:rsid w:val="00F8472D"/>
    <w:rsid w:val="00F8475F"/>
    <w:rsid w:val="00F84B79"/>
    <w:rsid w:val="00F84D2A"/>
    <w:rsid w:val="00F84F2C"/>
    <w:rsid w:val="00F85072"/>
    <w:rsid w:val="00F85104"/>
    <w:rsid w:val="00F85577"/>
    <w:rsid w:val="00F855EB"/>
    <w:rsid w:val="00F85679"/>
    <w:rsid w:val="00F85BE0"/>
    <w:rsid w:val="00F85BE9"/>
    <w:rsid w:val="00F85CAF"/>
    <w:rsid w:val="00F85EA8"/>
    <w:rsid w:val="00F85F15"/>
    <w:rsid w:val="00F85F26"/>
    <w:rsid w:val="00F860FF"/>
    <w:rsid w:val="00F8621B"/>
    <w:rsid w:val="00F8641F"/>
    <w:rsid w:val="00F8671E"/>
    <w:rsid w:val="00F86906"/>
    <w:rsid w:val="00F86AF7"/>
    <w:rsid w:val="00F86BA0"/>
    <w:rsid w:val="00F86C0A"/>
    <w:rsid w:val="00F86CC3"/>
    <w:rsid w:val="00F86E78"/>
    <w:rsid w:val="00F86EDA"/>
    <w:rsid w:val="00F87015"/>
    <w:rsid w:val="00F87050"/>
    <w:rsid w:val="00F87129"/>
    <w:rsid w:val="00F872EA"/>
    <w:rsid w:val="00F873BE"/>
    <w:rsid w:val="00F8749B"/>
    <w:rsid w:val="00F875E8"/>
    <w:rsid w:val="00F875F8"/>
    <w:rsid w:val="00F87696"/>
    <w:rsid w:val="00F877ED"/>
    <w:rsid w:val="00F878EE"/>
    <w:rsid w:val="00F8793A"/>
    <w:rsid w:val="00F87965"/>
    <w:rsid w:val="00F87A3E"/>
    <w:rsid w:val="00F90152"/>
    <w:rsid w:val="00F90162"/>
    <w:rsid w:val="00F901A5"/>
    <w:rsid w:val="00F901BD"/>
    <w:rsid w:val="00F90305"/>
    <w:rsid w:val="00F90369"/>
    <w:rsid w:val="00F903EB"/>
    <w:rsid w:val="00F903F3"/>
    <w:rsid w:val="00F904AC"/>
    <w:rsid w:val="00F904B0"/>
    <w:rsid w:val="00F90713"/>
    <w:rsid w:val="00F90718"/>
    <w:rsid w:val="00F9077A"/>
    <w:rsid w:val="00F90A39"/>
    <w:rsid w:val="00F90AB4"/>
    <w:rsid w:val="00F90BC0"/>
    <w:rsid w:val="00F90C74"/>
    <w:rsid w:val="00F90DC3"/>
    <w:rsid w:val="00F90EDA"/>
    <w:rsid w:val="00F91027"/>
    <w:rsid w:val="00F910DC"/>
    <w:rsid w:val="00F91162"/>
    <w:rsid w:val="00F911B3"/>
    <w:rsid w:val="00F916AA"/>
    <w:rsid w:val="00F919C5"/>
    <w:rsid w:val="00F91B53"/>
    <w:rsid w:val="00F91C77"/>
    <w:rsid w:val="00F91E96"/>
    <w:rsid w:val="00F91EF8"/>
    <w:rsid w:val="00F92037"/>
    <w:rsid w:val="00F92179"/>
    <w:rsid w:val="00F92347"/>
    <w:rsid w:val="00F92686"/>
    <w:rsid w:val="00F926D9"/>
    <w:rsid w:val="00F927D4"/>
    <w:rsid w:val="00F9286A"/>
    <w:rsid w:val="00F9299D"/>
    <w:rsid w:val="00F92A5E"/>
    <w:rsid w:val="00F92A87"/>
    <w:rsid w:val="00F92C95"/>
    <w:rsid w:val="00F92D5B"/>
    <w:rsid w:val="00F930C9"/>
    <w:rsid w:val="00F9371E"/>
    <w:rsid w:val="00F938F6"/>
    <w:rsid w:val="00F93923"/>
    <w:rsid w:val="00F9393F"/>
    <w:rsid w:val="00F93F4D"/>
    <w:rsid w:val="00F9405B"/>
    <w:rsid w:val="00F94267"/>
    <w:rsid w:val="00F943E3"/>
    <w:rsid w:val="00F944D8"/>
    <w:rsid w:val="00F94547"/>
    <w:rsid w:val="00F945A0"/>
    <w:rsid w:val="00F946C5"/>
    <w:rsid w:val="00F9489E"/>
    <w:rsid w:val="00F948FB"/>
    <w:rsid w:val="00F949B2"/>
    <w:rsid w:val="00F949C9"/>
    <w:rsid w:val="00F94B22"/>
    <w:rsid w:val="00F94BB6"/>
    <w:rsid w:val="00F94C4A"/>
    <w:rsid w:val="00F94D5B"/>
    <w:rsid w:val="00F94DF1"/>
    <w:rsid w:val="00F94E33"/>
    <w:rsid w:val="00F94EAE"/>
    <w:rsid w:val="00F94F7E"/>
    <w:rsid w:val="00F94FB9"/>
    <w:rsid w:val="00F95087"/>
    <w:rsid w:val="00F9511D"/>
    <w:rsid w:val="00F95278"/>
    <w:rsid w:val="00F95351"/>
    <w:rsid w:val="00F9551A"/>
    <w:rsid w:val="00F9559A"/>
    <w:rsid w:val="00F95688"/>
    <w:rsid w:val="00F9586F"/>
    <w:rsid w:val="00F958BF"/>
    <w:rsid w:val="00F959A0"/>
    <w:rsid w:val="00F95AA1"/>
    <w:rsid w:val="00F95AC0"/>
    <w:rsid w:val="00F95DBA"/>
    <w:rsid w:val="00F95EC3"/>
    <w:rsid w:val="00F96112"/>
    <w:rsid w:val="00F96135"/>
    <w:rsid w:val="00F96180"/>
    <w:rsid w:val="00F9628C"/>
    <w:rsid w:val="00F962B2"/>
    <w:rsid w:val="00F962D2"/>
    <w:rsid w:val="00F963FC"/>
    <w:rsid w:val="00F96557"/>
    <w:rsid w:val="00F96589"/>
    <w:rsid w:val="00F965AC"/>
    <w:rsid w:val="00F9666C"/>
    <w:rsid w:val="00F9696D"/>
    <w:rsid w:val="00F96C0D"/>
    <w:rsid w:val="00F96F59"/>
    <w:rsid w:val="00F9706A"/>
    <w:rsid w:val="00F972B8"/>
    <w:rsid w:val="00F973AA"/>
    <w:rsid w:val="00F973B2"/>
    <w:rsid w:val="00F974C3"/>
    <w:rsid w:val="00F9754F"/>
    <w:rsid w:val="00F97628"/>
    <w:rsid w:val="00F977C1"/>
    <w:rsid w:val="00F977EA"/>
    <w:rsid w:val="00F97A3F"/>
    <w:rsid w:val="00F97B7A"/>
    <w:rsid w:val="00F97C81"/>
    <w:rsid w:val="00F97E53"/>
    <w:rsid w:val="00FA0027"/>
    <w:rsid w:val="00FA00A8"/>
    <w:rsid w:val="00FA011B"/>
    <w:rsid w:val="00FA02E0"/>
    <w:rsid w:val="00FA05BC"/>
    <w:rsid w:val="00FA070D"/>
    <w:rsid w:val="00FA08EB"/>
    <w:rsid w:val="00FA0916"/>
    <w:rsid w:val="00FA0C13"/>
    <w:rsid w:val="00FA0CE8"/>
    <w:rsid w:val="00FA0E87"/>
    <w:rsid w:val="00FA115C"/>
    <w:rsid w:val="00FA1389"/>
    <w:rsid w:val="00FA145A"/>
    <w:rsid w:val="00FA1517"/>
    <w:rsid w:val="00FA1662"/>
    <w:rsid w:val="00FA16F4"/>
    <w:rsid w:val="00FA17DC"/>
    <w:rsid w:val="00FA1868"/>
    <w:rsid w:val="00FA19F2"/>
    <w:rsid w:val="00FA1DC4"/>
    <w:rsid w:val="00FA1DE3"/>
    <w:rsid w:val="00FA1F59"/>
    <w:rsid w:val="00FA20A0"/>
    <w:rsid w:val="00FA20F8"/>
    <w:rsid w:val="00FA218F"/>
    <w:rsid w:val="00FA21AC"/>
    <w:rsid w:val="00FA238F"/>
    <w:rsid w:val="00FA23BC"/>
    <w:rsid w:val="00FA25C0"/>
    <w:rsid w:val="00FA277F"/>
    <w:rsid w:val="00FA27EA"/>
    <w:rsid w:val="00FA2853"/>
    <w:rsid w:val="00FA2911"/>
    <w:rsid w:val="00FA2A9B"/>
    <w:rsid w:val="00FA2B01"/>
    <w:rsid w:val="00FA2BE6"/>
    <w:rsid w:val="00FA2DDC"/>
    <w:rsid w:val="00FA2E34"/>
    <w:rsid w:val="00FA2F3C"/>
    <w:rsid w:val="00FA3314"/>
    <w:rsid w:val="00FA35D3"/>
    <w:rsid w:val="00FA35F7"/>
    <w:rsid w:val="00FA37A3"/>
    <w:rsid w:val="00FA3966"/>
    <w:rsid w:val="00FA39D6"/>
    <w:rsid w:val="00FA3B0A"/>
    <w:rsid w:val="00FA3D51"/>
    <w:rsid w:val="00FA3D90"/>
    <w:rsid w:val="00FA3F17"/>
    <w:rsid w:val="00FA4119"/>
    <w:rsid w:val="00FA421D"/>
    <w:rsid w:val="00FA4269"/>
    <w:rsid w:val="00FA4352"/>
    <w:rsid w:val="00FA43F3"/>
    <w:rsid w:val="00FA44EA"/>
    <w:rsid w:val="00FA455A"/>
    <w:rsid w:val="00FA462C"/>
    <w:rsid w:val="00FA46DC"/>
    <w:rsid w:val="00FA47CE"/>
    <w:rsid w:val="00FA488A"/>
    <w:rsid w:val="00FA4992"/>
    <w:rsid w:val="00FA49EA"/>
    <w:rsid w:val="00FA4C10"/>
    <w:rsid w:val="00FA4F0F"/>
    <w:rsid w:val="00FA4F5B"/>
    <w:rsid w:val="00FA4FCA"/>
    <w:rsid w:val="00FA5121"/>
    <w:rsid w:val="00FA547E"/>
    <w:rsid w:val="00FA56D7"/>
    <w:rsid w:val="00FA57F3"/>
    <w:rsid w:val="00FA5857"/>
    <w:rsid w:val="00FA5AD4"/>
    <w:rsid w:val="00FA5B36"/>
    <w:rsid w:val="00FA5C6F"/>
    <w:rsid w:val="00FA5DDF"/>
    <w:rsid w:val="00FA5DEF"/>
    <w:rsid w:val="00FA5E27"/>
    <w:rsid w:val="00FA5F20"/>
    <w:rsid w:val="00FA6150"/>
    <w:rsid w:val="00FA6203"/>
    <w:rsid w:val="00FA6535"/>
    <w:rsid w:val="00FA65C8"/>
    <w:rsid w:val="00FA6677"/>
    <w:rsid w:val="00FA6686"/>
    <w:rsid w:val="00FA686B"/>
    <w:rsid w:val="00FA68F4"/>
    <w:rsid w:val="00FA6B69"/>
    <w:rsid w:val="00FA6BBC"/>
    <w:rsid w:val="00FA6D60"/>
    <w:rsid w:val="00FA6DD7"/>
    <w:rsid w:val="00FA6E00"/>
    <w:rsid w:val="00FA6E10"/>
    <w:rsid w:val="00FA6FC6"/>
    <w:rsid w:val="00FA702E"/>
    <w:rsid w:val="00FA7232"/>
    <w:rsid w:val="00FA7244"/>
    <w:rsid w:val="00FA7301"/>
    <w:rsid w:val="00FA7303"/>
    <w:rsid w:val="00FA7418"/>
    <w:rsid w:val="00FA781A"/>
    <w:rsid w:val="00FA7B50"/>
    <w:rsid w:val="00FA7D3A"/>
    <w:rsid w:val="00FA7DB4"/>
    <w:rsid w:val="00FA7EF8"/>
    <w:rsid w:val="00FA7F7D"/>
    <w:rsid w:val="00FA7FD8"/>
    <w:rsid w:val="00FB0122"/>
    <w:rsid w:val="00FB025B"/>
    <w:rsid w:val="00FB0590"/>
    <w:rsid w:val="00FB0737"/>
    <w:rsid w:val="00FB0787"/>
    <w:rsid w:val="00FB0791"/>
    <w:rsid w:val="00FB07C9"/>
    <w:rsid w:val="00FB07D1"/>
    <w:rsid w:val="00FB0805"/>
    <w:rsid w:val="00FB0A9E"/>
    <w:rsid w:val="00FB0CA3"/>
    <w:rsid w:val="00FB0CE0"/>
    <w:rsid w:val="00FB0CFA"/>
    <w:rsid w:val="00FB0DB2"/>
    <w:rsid w:val="00FB0F82"/>
    <w:rsid w:val="00FB10A6"/>
    <w:rsid w:val="00FB10D8"/>
    <w:rsid w:val="00FB11B7"/>
    <w:rsid w:val="00FB13B7"/>
    <w:rsid w:val="00FB163F"/>
    <w:rsid w:val="00FB1C06"/>
    <w:rsid w:val="00FB1D5A"/>
    <w:rsid w:val="00FB1E68"/>
    <w:rsid w:val="00FB1E70"/>
    <w:rsid w:val="00FB1EDF"/>
    <w:rsid w:val="00FB1F31"/>
    <w:rsid w:val="00FB1FB4"/>
    <w:rsid w:val="00FB2003"/>
    <w:rsid w:val="00FB2113"/>
    <w:rsid w:val="00FB2245"/>
    <w:rsid w:val="00FB22AC"/>
    <w:rsid w:val="00FB239A"/>
    <w:rsid w:val="00FB2501"/>
    <w:rsid w:val="00FB25AC"/>
    <w:rsid w:val="00FB25C9"/>
    <w:rsid w:val="00FB2629"/>
    <w:rsid w:val="00FB265A"/>
    <w:rsid w:val="00FB28EC"/>
    <w:rsid w:val="00FB2B42"/>
    <w:rsid w:val="00FB2BA1"/>
    <w:rsid w:val="00FB2BC1"/>
    <w:rsid w:val="00FB2CE1"/>
    <w:rsid w:val="00FB2E7C"/>
    <w:rsid w:val="00FB2FB6"/>
    <w:rsid w:val="00FB3030"/>
    <w:rsid w:val="00FB332B"/>
    <w:rsid w:val="00FB33F8"/>
    <w:rsid w:val="00FB346A"/>
    <w:rsid w:val="00FB386C"/>
    <w:rsid w:val="00FB38F3"/>
    <w:rsid w:val="00FB3AA9"/>
    <w:rsid w:val="00FB3C32"/>
    <w:rsid w:val="00FB3DF6"/>
    <w:rsid w:val="00FB3F87"/>
    <w:rsid w:val="00FB435C"/>
    <w:rsid w:val="00FB4504"/>
    <w:rsid w:val="00FB45E8"/>
    <w:rsid w:val="00FB4648"/>
    <w:rsid w:val="00FB46C5"/>
    <w:rsid w:val="00FB481E"/>
    <w:rsid w:val="00FB48D6"/>
    <w:rsid w:val="00FB4947"/>
    <w:rsid w:val="00FB50FD"/>
    <w:rsid w:val="00FB512E"/>
    <w:rsid w:val="00FB5178"/>
    <w:rsid w:val="00FB51D3"/>
    <w:rsid w:val="00FB5225"/>
    <w:rsid w:val="00FB53C2"/>
    <w:rsid w:val="00FB5608"/>
    <w:rsid w:val="00FB5901"/>
    <w:rsid w:val="00FB5981"/>
    <w:rsid w:val="00FB599A"/>
    <w:rsid w:val="00FB59AE"/>
    <w:rsid w:val="00FB59CD"/>
    <w:rsid w:val="00FB5A4A"/>
    <w:rsid w:val="00FB5C40"/>
    <w:rsid w:val="00FB5F7F"/>
    <w:rsid w:val="00FB6036"/>
    <w:rsid w:val="00FB60B4"/>
    <w:rsid w:val="00FB62CE"/>
    <w:rsid w:val="00FB62D0"/>
    <w:rsid w:val="00FB642B"/>
    <w:rsid w:val="00FB6571"/>
    <w:rsid w:val="00FB69FC"/>
    <w:rsid w:val="00FB6B3A"/>
    <w:rsid w:val="00FB6DB8"/>
    <w:rsid w:val="00FB6E59"/>
    <w:rsid w:val="00FB6EE9"/>
    <w:rsid w:val="00FB6F48"/>
    <w:rsid w:val="00FB7337"/>
    <w:rsid w:val="00FB733F"/>
    <w:rsid w:val="00FB748F"/>
    <w:rsid w:val="00FB75F3"/>
    <w:rsid w:val="00FB7633"/>
    <w:rsid w:val="00FB76A6"/>
    <w:rsid w:val="00FB76E8"/>
    <w:rsid w:val="00FB7735"/>
    <w:rsid w:val="00FB7929"/>
    <w:rsid w:val="00FB7ACA"/>
    <w:rsid w:val="00FB7B4E"/>
    <w:rsid w:val="00FB7DBC"/>
    <w:rsid w:val="00FB7ED7"/>
    <w:rsid w:val="00FB7F6D"/>
    <w:rsid w:val="00FC0283"/>
    <w:rsid w:val="00FC0410"/>
    <w:rsid w:val="00FC056F"/>
    <w:rsid w:val="00FC065C"/>
    <w:rsid w:val="00FC06B3"/>
    <w:rsid w:val="00FC074B"/>
    <w:rsid w:val="00FC0A7E"/>
    <w:rsid w:val="00FC0B12"/>
    <w:rsid w:val="00FC0C43"/>
    <w:rsid w:val="00FC0D79"/>
    <w:rsid w:val="00FC0DE9"/>
    <w:rsid w:val="00FC0E55"/>
    <w:rsid w:val="00FC0FB8"/>
    <w:rsid w:val="00FC104A"/>
    <w:rsid w:val="00FC106F"/>
    <w:rsid w:val="00FC108E"/>
    <w:rsid w:val="00FC11DC"/>
    <w:rsid w:val="00FC132E"/>
    <w:rsid w:val="00FC14F5"/>
    <w:rsid w:val="00FC17A7"/>
    <w:rsid w:val="00FC17CF"/>
    <w:rsid w:val="00FC18B5"/>
    <w:rsid w:val="00FC1967"/>
    <w:rsid w:val="00FC198E"/>
    <w:rsid w:val="00FC1B48"/>
    <w:rsid w:val="00FC1C50"/>
    <w:rsid w:val="00FC1D6C"/>
    <w:rsid w:val="00FC1FCC"/>
    <w:rsid w:val="00FC1FE5"/>
    <w:rsid w:val="00FC20E6"/>
    <w:rsid w:val="00FC2238"/>
    <w:rsid w:val="00FC22B4"/>
    <w:rsid w:val="00FC2496"/>
    <w:rsid w:val="00FC24C5"/>
    <w:rsid w:val="00FC24F9"/>
    <w:rsid w:val="00FC2602"/>
    <w:rsid w:val="00FC2A51"/>
    <w:rsid w:val="00FC2C5D"/>
    <w:rsid w:val="00FC2D5F"/>
    <w:rsid w:val="00FC2DF2"/>
    <w:rsid w:val="00FC2E71"/>
    <w:rsid w:val="00FC2F07"/>
    <w:rsid w:val="00FC2F20"/>
    <w:rsid w:val="00FC30C9"/>
    <w:rsid w:val="00FC3143"/>
    <w:rsid w:val="00FC326A"/>
    <w:rsid w:val="00FC3282"/>
    <w:rsid w:val="00FC34B2"/>
    <w:rsid w:val="00FC391F"/>
    <w:rsid w:val="00FC39B2"/>
    <w:rsid w:val="00FC39B3"/>
    <w:rsid w:val="00FC39F3"/>
    <w:rsid w:val="00FC3BC8"/>
    <w:rsid w:val="00FC3E90"/>
    <w:rsid w:val="00FC40E8"/>
    <w:rsid w:val="00FC40F5"/>
    <w:rsid w:val="00FC428F"/>
    <w:rsid w:val="00FC43C6"/>
    <w:rsid w:val="00FC442B"/>
    <w:rsid w:val="00FC4455"/>
    <w:rsid w:val="00FC45B7"/>
    <w:rsid w:val="00FC45FE"/>
    <w:rsid w:val="00FC46CB"/>
    <w:rsid w:val="00FC48E6"/>
    <w:rsid w:val="00FC4C28"/>
    <w:rsid w:val="00FC4CAC"/>
    <w:rsid w:val="00FC4D9B"/>
    <w:rsid w:val="00FC4D9D"/>
    <w:rsid w:val="00FC4E32"/>
    <w:rsid w:val="00FC5073"/>
    <w:rsid w:val="00FC528F"/>
    <w:rsid w:val="00FC55C0"/>
    <w:rsid w:val="00FC57D5"/>
    <w:rsid w:val="00FC59B2"/>
    <w:rsid w:val="00FC5A51"/>
    <w:rsid w:val="00FC5D42"/>
    <w:rsid w:val="00FC5E09"/>
    <w:rsid w:val="00FC5E72"/>
    <w:rsid w:val="00FC5F46"/>
    <w:rsid w:val="00FC5F90"/>
    <w:rsid w:val="00FC60A4"/>
    <w:rsid w:val="00FC6127"/>
    <w:rsid w:val="00FC6223"/>
    <w:rsid w:val="00FC6404"/>
    <w:rsid w:val="00FC6427"/>
    <w:rsid w:val="00FC6612"/>
    <w:rsid w:val="00FC671D"/>
    <w:rsid w:val="00FC68A4"/>
    <w:rsid w:val="00FC6904"/>
    <w:rsid w:val="00FC6BFE"/>
    <w:rsid w:val="00FC6CFD"/>
    <w:rsid w:val="00FC6EC6"/>
    <w:rsid w:val="00FC6EF1"/>
    <w:rsid w:val="00FC6F1D"/>
    <w:rsid w:val="00FC6FAB"/>
    <w:rsid w:val="00FC70CC"/>
    <w:rsid w:val="00FC70F9"/>
    <w:rsid w:val="00FC72EE"/>
    <w:rsid w:val="00FC7450"/>
    <w:rsid w:val="00FC745F"/>
    <w:rsid w:val="00FC74FF"/>
    <w:rsid w:val="00FC766C"/>
    <w:rsid w:val="00FC7706"/>
    <w:rsid w:val="00FC77E0"/>
    <w:rsid w:val="00FC780F"/>
    <w:rsid w:val="00FC7842"/>
    <w:rsid w:val="00FC79DF"/>
    <w:rsid w:val="00FC7CBC"/>
    <w:rsid w:val="00FC7E94"/>
    <w:rsid w:val="00FC7FAA"/>
    <w:rsid w:val="00FD0290"/>
    <w:rsid w:val="00FD02F2"/>
    <w:rsid w:val="00FD03A6"/>
    <w:rsid w:val="00FD0596"/>
    <w:rsid w:val="00FD0696"/>
    <w:rsid w:val="00FD07BD"/>
    <w:rsid w:val="00FD087B"/>
    <w:rsid w:val="00FD09E5"/>
    <w:rsid w:val="00FD0B49"/>
    <w:rsid w:val="00FD0FA3"/>
    <w:rsid w:val="00FD12F5"/>
    <w:rsid w:val="00FD1514"/>
    <w:rsid w:val="00FD18FF"/>
    <w:rsid w:val="00FD195C"/>
    <w:rsid w:val="00FD19AE"/>
    <w:rsid w:val="00FD1DEF"/>
    <w:rsid w:val="00FD1E86"/>
    <w:rsid w:val="00FD1EFC"/>
    <w:rsid w:val="00FD1F3D"/>
    <w:rsid w:val="00FD1FF3"/>
    <w:rsid w:val="00FD1FFA"/>
    <w:rsid w:val="00FD2144"/>
    <w:rsid w:val="00FD2161"/>
    <w:rsid w:val="00FD2238"/>
    <w:rsid w:val="00FD22DF"/>
    <w:rsid w:val="00FD23F1"/>
    <w:rsid w:val="00FD2556"/>
    <w:rsid w:val="00FD2B89"/>
    <w:rsid w:val="00FD2BDE"/>
    <w:rsid w:val="00FD2C07"/>
    <w:rsid w:val="00FD2C1B"/>
    <w:rsid w:val="00FD2DBB"/>
    <w:rsid w:val="00FD2F1B"/>
    <w:rsid w:val="00FD2F38"/>
    <w:rsid w:val="00FD2F43"/>
    <w:rsid w:val="00FD3039"/>
    <w:rsid w:val="00FD316A"/>
    <w:rsid w:val="00FD317F"/>
    <w:rsid w:val="00FD34CF"/>
    <w:rsid w:val="00FD352A"/>
    <w:rsid w:val="00FD389B"/>
    <w:rsid w:val="00FD3949"/>
    <w:rsid w:val="00FD3A31"/>
    <w:rsid w:val="00FD3ABA"/>
    <w:rsid w:val="00FD3CB7"/>
    <w:rsid w:val="00FD3E35"/>
    <w:rsid w:val="00FD3E36"/>
    <w:rsid w:val="00FD406A"/>
    <w:rsid w:val="00FD421C"/>
    <w:rsid w:val="00FD4400"/>
    <w:rsid w:val="00FD460D"/>
    <w:rsid w:val="00FD4900"/>
    <w:rsid w:val="00FD4BDC"/>
    <w:rsid w:val="00FD4BF9"/>
    <w:rsid w:val="00FD4CEC"/>
    <w:rsid w:val="00FD5078"/>
    <w:rsid w:val="00FD5288"/>
    <w:rsid w:val="00FD57BF"/>
    <w:rsid w:val="00FD5817"/>
    <w:rsid w:val="00FD59A2"/>
    <w:rsid w:val="00FD5BB2"/>
    <w:rsid w:val="00FD5DC7"/>
    <w:rsid w:val="00FD5E1A"/>
    <w:rsid w:val="00FD5ECD"/>
    <w:rsid w:val="00FD5EEE"/>
    <w:rsid w:val="00FD5F2D"/>
    <w:rsid w:val="00FD6017"/>
    <w:rsid w:val="00FD60FA"/>
    <w:rsid w:val="00FD613B"/>
    <w:rsid w:val="00FD6179"/>
    <w:rsid w:val="00FD61D3"/>
    <w:rsid w:val="00FD631B"/>
    <w:rsid w:val="00FD6672"/>
    <w:rsid w:val="00FD674C"/>
    <w:rsid w:val="00FD6832"/>
    <w:rsid w:val="00FD6889"/>
    <w:rsid w:val="00FD6A9D"/>
    <w:rsid w:val="00FD6B9D"/>
    <w:rsid w:val="00FD6C6C"/>
    <w:rsid w:val="00FD6FA5"/>
    <w:rsid w:val="00FD7061"/>
    <w:rsid w:val="00FD71BF"/>
    <w:rsid w:val="00FD735F"/>
    <w:rsid w:val="00FD745B"/>
    <w:rsid w:val="00FD759A"/>
    <w:rsid w:val="00FD7717"/>
    <w:rsid w:val="00FD77F9"/>
    <w:rsid w:val="00FD79FC"/>
    <w:rsid w:val="00FD7B24"/>
    <w:rsid w:val="00FD7B49"/>
    <w:rsid w:val="00FD7C77"/>
    <w:rsid w:val="00FD7E47"/>
    <w:rsid w:val="00FD7FAC"/>
    <w:rsid w:val="00FE0177"/>
    <w:rsid w:val="00FE023E"/>
    <w:rsid w:val="00FE02D4"/>
    <w:rsid w:val="00FE0325"/>
    <w:rsid w:val="00FE0428"/>
    <w:rsid w:val="00FE0460"/>
    <w:rsid w:val="00FE0567"/>
    <w:rsid w:val="00FE062B"/>
    <w:rsid w:val="00FE06A2"/>
    <w:rsid w:val="00FE0735"/>
    <w:rsid w:val="00FE0777"/>
    <w:rsid w:val="00FE0789"/>
    <w:rsid w:val="00FE08EA"/>
    <w:rsid w:val="00FE0980"/>
    <w:rsid w:val="00FE0A2F"/>
    <w:rsid w:val="00FE0A8A"/>
    <w:rsid w:val="00FE0A8F"/>
    <w:rsid w:val="00FE0CF2"/>
    <w:rsid w:val="00FE0FCD"/>
    <w:rsid w:val="00FE102B"/>
    <w:rsid w:val="00FE1099"/>
    <w:rsid w:val="00FE1251"/>
    <w:rsid w:val="00FE13CD"/>
    <w:rsid w:val="00FE148A"/>
    <w:rsid w:val="00FE14DB"/>
    <w:rsid w:val="00FE14E1"/>
    <w:rsid w:val="00FE14F1"/>
    <w:rsid w:val="00FE1512"/>
    <w:rsid w:val="00FE1519"/>
    <w:rsid w:val="00FE15FF"/>
    <w:rsid w:val="00FE1665"/>
    <w:rsid w:val="00FE168F"/>
    <w:rsid w:val="00FE1866"/>
    <w:rsid w:val="00FE1911"/>
    <w:rsid w:val="00FE1A15"/>
    <w:rsid w:val="00FE1A3D"/>
    <w:rsid w:val="00FE1CB9"/>
    <w:rsid w:val="00FE1E04"/>
    <w:rsid w:val="00FE1F6B"/>
    <w:rsid w:val="00FE1F9D"/>
    <w:rsid w:val="00FE203E"/>
    <w:rsid w:val="00FE238E"/>
    <w:rsid w:val="00FE23B9"/>
    <w:rsid w:val="00FE2436"/>
    <w:rsid w:val="00FE24A3"/>
    <w:rsid w:val="00FE24AD"/>
    <w:rsid w:val="00FE24C3"/>
    <w:rsid w:val="00FE26BD"/>
    <w:rsid w:val="00FE27EA"/>
    <w:rsid w:val="00FE2862"/>
    <w:rsid w:val="00FE2A6C"/>
    <w:rsid w:val="00FE2ADE"/>
    <w:rsid w:val="00FE2CA8"/>
    <w:rsid w:val="00FE3001"/>
    <w:rsid w:val="00FE3158"/>
    <w:rsid w:val="00FE317E"/>
    <w:rsid w:val="00FE3217"/>
    <w:rsid w:val="00FE3281"/>
    <w:rsid w:val="00FE33FE"/>
    <w:rsid w:val="00FE344A"/>
    <w:rsid w:val="00FE3839"/>
    <w:rsid w:val="00FE3931"/>
    <w:rsid w:val="00FE39C1"/>
    <w:rsid w:val="00FE3A68"/>
    <w:rsid w:val="00FE3AE2"/>
    <w:rsid w:val="00FE3C86"/>
    <w:rsid w:val="00FE3D2F"/>
    <w:rsid w:val="00FE3EE9"/>
    <w:rsid w:val="00FE3F9D"/>
    <w:rsid w:val="00FE40D4"/>
    <w:rsid w:val="00FE419D"/>
    <w:rsid w:val="00FE41A9"/>
    <w:rsid w:val="00FE42B7"/>
    <w:rsid w:val="00FE42CC"/>
    <w:rsid w:val="00FE449F"/>
    <w:rsid w:val="00FE4594"/>
    <w:rsid w:val="00FE468C"/>
    <w:rsid w:val="00FE4890"/>
    <w:rsid w:val="00FE4919"/>
    <w:rsid w:val="00FE4933"/>
    <w:rsid w:val="00FE4A26"/>
    <w:rsid w:val="00FE4AEF"/>
    <w:rsid w:val="00FE4E00"/>
    <w:rsid w:val="00FE4F30"/>
    <w:rsid w:val="00FE50B6"/>
    <w:rsid w:val="00FE510A"/>
    <w:rsid w:val="00FE51B3"/>
    <w:rsid w:val="00FE5359"/>
    <w:rsid w:val="00FE5498"/>
    <w:rsid w:val="00FE57F8"/>
    <w:rsid w:val="00FE5829"/>
    <w:rsid w:val="00FE5931"/>
    <w:rsid w:val="00FE5A72"/>
    <w:rsid w:val="00FE636F"/>
    <w:rsid w:val="00FE64B8"/>
    <w:rsid w:val="00FE67AE"/>
    <w:rsid w:val="00FE69A6"/>
    <w:rsid w:val="00FE69D0"/>
    <w:rsid w:val="00FE69FB"/>
    <w:rsid w:val="00FE6A66"/>
    <w:rsid w:val="00FE6B09"/>
    <w:rsid w:val="00FE6D34"/>
    <w:rsid w:val="00FE7005"/>
    <w:rsid w:val="00FE729C"/>
    <w:rsid w:val="00FE752D"/>
    <w:rsid w:val="00FE7555"/>
    <w:rsid w:val="00FE7637"/>
    <w:rsid w:val="00FE7693"/>
    <w:rsid w:val="00FE771E"/>
    <w:rsid w:val="00FE7775"/>
    <w:rsid w:val="00FE77D0"/>
    <w:rsid w:val="00FE77E2"/>
    <w:rsid w:val="00FE77FE"/>
    <w:rsid w:val="00FE7901"/>
    <w:rsid w:val="00FE79A8"/>
    <w:rsid w:val="00FE79FE"/>
    <w:rsid w:val="00FE7BBF"/>
    <w:rsid w:val="00FE7CF4"/>
    <w:rsid w:val="00FE7CF9"/>
    <w:rsid w:val="00FE7D62"/>
    <w:rsid w:val="00FE7E7B"/>
    <w:rsid w:val="00FE7EE3"/>
    <w:rsid w:val="00FE7FDE"/>
    <w:rsid w:val="00FEBC76"/>
    <w:rsid w:val="00FF01BA"/>
    <w:rsid w:val="00FF0385"/>
    <w:rsid w:val="00FF0493"/>
    <w:rsid w:val="00FF0542"/>
    <w:rsid w:val="00FF0553"/>
    <w:rsid w:val="00FF06BE"/>
    <w:rsid w:val="00FF0C09"/>
    <w:rsid w:val="00FF0D68"/>
    <w:rsid w:val="00FF0F20"/>
    <w:rsid w:val="00FF10C1"/>
    <w:rsid w:val="00FF1177"/>
    <w:rsid w:val="00FF1181"/>
    <w:rsid w:val="00FF11A3"/>
    <w:rsid w:val="00FF12CC"/>
    <w:rsid w:val="00FF12E9"/>
    <w:rsid w:val="00FF1413"/>
    <w:rsid w:val="00FF149F"/>
    <w:rsid w:val="00FF15E3"/>
    <w:rsid w:val="00FF16EC"/>
    <w:rsid w:val="00FF177D"/>
    <w:rsid w:val="00FF1889"/>
    <w:rsid w:val="00FF1A03"/>
    <w:rsid w:val="00FF1A46"/>
    <w:rsid w:val="00FF1BB7"/>
    <w:rsid w:val="00FF1BFD"/>
    <w:rsid w:val="00FF1C2A"/>
    <w:rsid w:val="00FF1C94"/>
    <w:rsid w:val="00FF1D8E"/>
    <w:rsid w:val="00FF1FD2"/>
    <w:rsid w:val="00FF200B"/>
    <w:rsid w:val="00FF2063"/>
    <w:rsid w:val="00FF21B4"/>
    <w:rsid w:val="00FF23D2"/>
    <w:rsid w:val="00FF27BC"/>
    <w:rsid w:val="00FF288C"/>
    <w:rsid w:val="00FF288E"/>
    <w:rsid w:val="00FF2939"/>
    <w:rsid w:val="00FF2A8C"/>
    <w:rsid w:val="00FF2BAD"/>
    <w:rsid w:val="00FF2CBA"/>
    <w:rsid w:val="00FF2CFB"/>
    <w:rsid w:val="00FF342F"/>
    <w:rsid w:val="00FF369C"/>
    <w:rsid w:val="00FF3914"/>
    <w:rsid w:val="00FF3AE5"/>
    <w:rsid w:val="00FF3B86"/>
    <w:rsid w:val="00FF3C70"/>
    <w:rsid w:val="00FF3CAF"/>
    <w:rsid w:val="00FF3CB6"/>
    <w:rsid w:val="00FF3CFC"/>
    <w:rsid w:val="00FF3F4A"/>
    <w:rsid w:val="00FF3FA7"/>
    <w:rsid w:val="00FF42AB"/>
    <w:rsid w:val="00FF4338"/>
    <w:rsid w:val="00FF4658"/>
    <w:rsid w:val="00FF4781"/>
    <w:rsid w:val="00FF47BB"/>
    <w:rsid w:val="00FF4981"/>
    <w:rsid w:val="00FF49B9"/>
    <w:rsid w:val="00FF4C77"/>
    <w:rsid w:val="00FF4C9D"/>
    <w:rsid w:val="00FF4DCD"/>
    <w:rsid w:val="00FF4E1D"/>
    <w:rsid w:val="00FF4E49"/>
    <w:rsid w:val="00FF4EFE"/>
    <w:rsid w:val="00FF4F7F"/>
    <w:rsid w:val="00FF5039"/>
    <w:rsid w:val="00FF5102"/>
    <w:rsid w:val="00FF52C4"/>
    <w:rsid w:val="00FF52DA"/>
    <w:rsid w:val="00FF5489"/>
    <w:rsid w:val="00FF5583"/>
    <w:rsid w:val="00FF5B58"/>
    <w:rsid w:val="00FF5BC5"/>
    <w:rsid w:val="00FF5CA7"/>
    <w:rsid w:val="00FF5D03"/>
    <w:rsid w:val="00FF5D8A"/>
    <w:rsid w:val="00FF5DA4"/>
    <w:rsid w:val="00FF5E2E"/>
    <w:rsid w:val="00FF60D5"/>
    <w:rsid w:val="00FF6295"/>
    <w:rsid w:val="00FF62C9"/>
    <w:rsid w:val="00FF62F5"/>
    <w:rsid w:val="00FF6520"/>
    <w:rsid w:val="00FF6525"/>
    <w:rsid w:val="00FF677D"/>
    <w:rsid w:val="00FF6824"/>
    <w:rsid w:val="00FF68C1"/>
    <w:rsid w:val="00FF6957"/>
    <w:rsid w:val="00FF6A6B"/>
    <w:rsid w:val="00FF6C0D"/>
    <w:rsid w:val="00FF6CA4"/>
    <w:rsid w:val="00FF6E07"/>
    <w:rsid w:val="00FF6ECC"/>
    <w:rsid w:val="00FF6F5C"/>
    <w:rsid w:val="00FF6F9B"/>
    <w:rsid w:val="00FF7046"/>
    <w:rsid w:val="00FF7082"/>
    <w:rsid w:val="00FF7109"/>
    <w:rsid w:val="00FF7366"/>
    <w:rsid w:val="00FF75CC"/>
    <w:rsid w:val="00FF76E0"/>
    <w:rsid w:val="00FF7AEB"/>
    <w:rsid w:val="00FF7B53"/>
    <w:rsid w:val="00FF7EFD"/>
    <w:rsid w:val="00FF7FC3"/>
    <w:rsid w:val="01054D72"/>
    <w:rsid w:val="010828FA"/>
    <w:rsid w:val="0108D1D0"/>
    <w:rsid w:val="010AAB45"/>
    <w:rsid w:val="011F4483"/>
    <w:rsid w:val="01221488"/>
    <w:rsid w:val="0125B07C"/>
    <w:rsid w:val="0128FDAE"/>
    <w:rsid w:val="01291771"/>
    <w:rsid w:val="012A83DB"/>
    <w:rsid w:val="0130B527"/>
    <w:rsid w:val="0133E996"/>
    <w:rsid w:val="013BFB16"/>
    <w:rsid w:val="0143CDF8"/>
    <w:rsid w:val="01467B71"/>
    <w:rsid w:val="0153AEBF"/>
    <w:rsid w:val="015A69F7"/>
    <w:rsid w:val="015DBD50"/>
    <w:rsid w:val="01600D2F"/>
    <w:rsid w:val="0162A1CD"/>
    <w:rsid w:val="0168B4D8"/>
    <w:rsid w:val="01725126"/>
    <w:rsid w:val="017A8A3B"/>
    <w:rsid w:val="017CEC1C"/>
    <w:rsid w:val="017F8C61"/>
    <w:rsid w:val="01896196"/>
    <w:rsid w:val="018A3248"/>
    <w:rsid w:val="018B7F74"/>
    <w:rsid w:val="018C6305"/>
    <w:rsid w:val="0192456B"/>
    <w:rsid w:val="019DC573"/>
    <w:rsid w:val="01A1B605"/>
    <w:rsid w:val="01A4F763"/>
    <w:rsid w:val="01AD5AD7"/>
    <w:rsid w:val="01AFC62B"/>
    <w:rsid w:val="01B686DF"/>
    <w:rsid w:val="01B6F4FE"/>
    <w:rsid w:val="01BEEDD0"/>
    <w:rsid w:val="01C0A08C"/>
    <w:rsid w:val="01C14F59"/>
    <w:rsid w:val="01C7E792"/>
    <w:rsid w:val="01D5081E"/>
    <w:rsid w:val="01D62CD9"/>
    <w:rsid w:val="01DAA68B"/>
    <w:rsid w:val="01DCF7B8"/>
    <w:rsid w:val="01E90481"/>
    <w:rsid w:val="01E9270B"/>
    <w:rsid w:val="01F80606"/>
    <w:rsid w:val="01FA1E61"/>
    <w:rsid w:val="01FC4966"/>
    <w:rsid w:val="0202EFE3"/>
    <w:rsid w:val="0208913B"/>
    <w:rsid w:val="0217213C"/>
    <w:rsid w:val="0219A1C3"/>
    <w:rsid w:val="021BAC39"/>
    <w:rsid w:val="021C8392"/>
    <w:rsid w:val="0222AC58"/>
    <w:rsid w:val="0224B337"/>
    <w:rsid w:val="022AE1D9"/>
    <w:rsid w:val="0230AD83"/>
    <w:rsid w:val="0232E492"/>
    <w:rsid w:val="02423C3A"/>
    <w:rsid w:val="024F6CF4"/>
    <w:rsid w:val="0252DA67"/>
    <w:rsid w:val="026E18E0"/>
    <w:rsid w:val="026E8973"/>
    <w:rsid w:val="02742DB4"/>
    <w:rsid w:val="028078C0"/>
    <w:rsid w:val="02811C4C"/>
    <w:rsid w:val="0282CDFE"/>
    <w:rsid w:val="028923C9"/>
    <w:rsid w:val="029449C8"/>
    <w:rsid w:val="0296797A"/>
    <w:rsid w:val="029B425A"/>
    <w:rsid w:val="029DB804"/>
    <w:rsid w:val="02A0457C"/>
    <w:rsid w:val="02A10052"/>
    <w:rsid w:val="02A22DB2"/>
    <w:rsid w:val="02A47BA4"/>
    <w:rsid w:val="02A6DC41"/>
    <w:rsid w:val="02AE3A67"/>
    <w:rsid w:val="02B63E8B"/>
    <w:rsid w:val="02B8BFBF"/>
    <w:rsid w:val="02C5BB1A"/>
    <w:rsid w:val="02D5C95F"/>
    <w:rsid w:val="02DCD02D"/>
    <w:rsid w:val="02EACB6D"/>
    <w:rsid w:val="02EC83B8"/>
    <w:rsid w:val="02F0BCF4"/>
    <w:rsid w:val="02F259BE"/>
    <w:rsid w:val="02F5B154"/>
    <w:rsid w:val="02F8DDE5"/>
    <w:rsid w:val="0300CCEE"/>
    <w:rsid w:val="03076755"/>
    <w:rsid w:val="030948D4"/>
    <w:rsid w:val="030C76AD"/>
    <w:rsid w:val="0310BD28"/>
    <w:rsid w:val="03114EBB"/>
    <w:rsid w:val="031830E9"/>
    <w:rsid w:val="03190C7D"/>
    <w:rsid w:val="033DA087"/>
    <w:rsid w:val="033DE5E7"/>
    <w:rsid w:val="0348F8B2"/>
    <w:rsid w:val="034AA458"/>
    <w:rsid w:val="034B0297"/>
    <w:rsid w:val="034D2A20"/>
    <w:rsid w:val="03535CC9"/>
    <w:rsid w:val="0361A946"/>
    <w:rsid w:val="03629BE7"/>
    <w:rsid w:val="0363B938"/>
    <w:rsid w:val="03672AF3"/>
    <w:rsid w:val="036C25BF"/>
    <w:rsid w:val="037455F6"/>
    <w:rsid w:val="0374CBB5"/>
    <w:rsid w:val="037B2EE5"/>
    <w:rsid w:val="0389BB5E"/>
    <w:rsid w:val="0392332C"/>
    <w:rsid w:val="039E543D"/>
    <w:rsid w:val="03AB70C4"/>
    <w:rsid w:val="03ADE957"/>
    <w:rsid w:val="03B6DC09"/>
    <w:rsid w:val="03B8DD0E"/>
    <w:rsid w:val="03BEC272"/>
    <w:rsid w:val="03CF3E93"/>
    <w:rsid w:val="03D52CEB"/>
    <w:rsid w:val="03D6BCD0"/>
    <w:rsid w:val="03E05269"/>
    <w:rsid w:val="03E0E9B7"/>
    <w:rsid w:val="03E62BAB"/>
    <w:rsid w:val="03EBDE31"/>
    <w:rsid w:val="03EBF5A4"/>
    <w:rsid w:val="03F56ECA"/>
    <w:rsid w:val="03FA0C4A"/>
    <w:rsid w:val="04010C9B"/>
    <w:rsid w:val="041B653C"/>
    <w:rsid w:val="04294607"/>
    <w:rsid w:val="042979E8"/>
    <w:rsid w:val="042C0BF9"/>
    <w:rsid w:val="042F0587"/>
    <w:rsid w:val="04302C10"/>
    <w:rsid w:val="043F3A27"/>
    <w:rsid w:val="0440D7D0"/>
    <w:rsid w:val="0445F808"/>
    <w:rsid w:val="0448E15D"/>
    <w:rsid w:val="044C521D"/>
    <w:rsid w:val="044CE1AA"/>
    <w:rsid w:val="0450AACC"/>
    <w:rsid w:val="046C8D55"/>
    <w:rsid w:val="046E81A3"/>
    <w:rsid w:val="0474688D"/>
    <w:rsid w:val="0475CEC9"/>
    <w:rsid w:val="0476566F"/>
    <w:rsid w:val="0477D585"/>
    <w:rsid w:val="0477FEFA"/>
    <w:rsid w:val="04861E11"/>
    <w:rsid w:val="048794CE"/>
    <w:rsid w:val="048F34DB"/>
    <w:rsid w:val="049DC7BB"/>
    <w:rsid w:val="04B00B4F"/>
    <w:rsid w:val="04BAE8FC"/>
    <w:rsid w:val="04C310C4"/>
    <w:rsid w:val="04C59F41"/>
    <w:rsid w:val="04C5B989"/>
    <w:rsid w:val="04C9D7ED"/>
    <w:rsid w:val="04D44D09"/>
    <w:rsid w:val="04D765FD"/>
    <w:rsid w:val="04D841B2"/>
    <w:rsid w:val="04DFDCA5"/>
    <w:rsid w:val="04EA245B"/>
    <w:rsid w:val="04EA8892"/>
    <w:rsid w:val="04FC6510"/>
    <w:rsid w:val="0509CBBA"/>
    <w:rsid w:val="050D64D2"/>
    <w:rsid w:val="050D7F99"/>
    <w:rsid w:val="05157008"/>
    <w:rsid w:val="051619DD"/>
    <w:rsid w:val="051B6060"/>
    <w:rsid w:val="051F299E"/>
    <w:rsid w:val="0526F33B"/>
    <w:rsid w:val="05305D40"/>
    <w:rsid w:val="053D9C36"/>
    <w:rsid w:val="05410DF5"/>
    <w:rsid w:val="0543C86D"/>
    <w:rsid w:val="0548D78C"/>
    <w:rsid w:val="054F944A"/>
    <w:rsid w:val="05511FC1"/>
    <w:rsid w:val="0559CEC9"/>
    <w:rsid w:val="055C53F9"/>
    <w:rsid w:val="055F432A"/>
    <w:rsid w:val="05623EA1"/>
    <w:rsid w:val="05656CCC"/>
    <w:rsid w:val="056579F3"/>
    <w:rsid w:val="056A7FF7"/>
    <w:rsid w:val="05703E3A"/>
    <w:rsid w:val="05739C44"/>
    <w:rsid w:val="0577EB1A"/>
    <w:rsid w:val="057918DD"/>
    <w:rsid w:val="05889709"/>
    <w:rsid w:val="058CFCDA"/>
    <w:rsid w:val="05941689"/>
    <w:rsid w:val="05967158"/>
    <w:rsid w:val="059CC0E6"/>
    <w:rsid w:val="059DEC95"/>
    <w:rsid w:val="05B24449"/>
    <w:rsid w:val="05D08518"/>
    <w:rsid w:val="05D1A675"/>
    <w:rsid w:val="05D1A862"/>
    <w:rsid w:val="05E55295"/>
    <w:rsid w:val="05F1656A"/>
    <w:rsid w:val="05F4D170"/>
    <w:rsid w:val="05F6968B"/>
    <w:rsid w:val="05FE9DD7"/>
    <w:rsid w:val="05FF8583"/>
    <w:rsid w:val="060867E1"/>
    <w:rsid w:val="060AE195"/>
    <w:rsid w:val="060DB6BE"/>
    <w:rsid w:val="061D6C47"/>
    <w:rsid w:val="0629362E"/>
    <w:rsid w:val="063048FD"/>
    <w:rsid w:val="0637FB11"/>
    <w:rsid w:val="0638AE4D"/>
    <w:rsid w:val="06390057"/>
    <w:rsid w:val="063BD15E"/>
    <w:rsid w:val="063FA413"/>
    <w:rsid w:val="064037AA"/>
    <w:rsid w:val="0648AFC9"/>
    <w:rsid w:val="064FE4E5"/>
    <w:rsid w:val="06502AE0"/>
    <w:rsid w:val="06511210"/>
    <w:rsid w:val="0658FF96"/>
    <w:rsid w:val="065E2819"/>
    <w:rsid w:val="06654C05"/>
    <w:rsid w:val="0667CE5E"/>
    <w:rsid w:val="066AF40B"/>
    <w:rsid w:val="066C78D8"/>
    <w:rsid w:val="066EC25C"/>
    <w:rsid w:val="06760879"/>
    <w:rsid w:val="067EBC01"/>
    <w:rsid w:val="06869CE3"/>
    <w:rsid w:val="0695B421"/>
    <w:rsid w:val="0695D161"/>
    <w:rsid w:val="069961A9"/>
    <w:rsid w:val="069DB0F6"/>
    <w:rsid w:val="06AC41CF"/>
    <w:rsid w:val="06B78ED8"/>
    <w:rsid w:val="06BAFE1C"/>
    <w:rsid w:val="06BC5DDA"/>
    <w:rsid w:val="06BFB131"/>
    <w:rsid w:val="06C04289"/>
    <w:rsid w:val="06CBD134"/>
    <w:rsid w:val="06CF1847"/>
    <w:rsid w:val="06D37654"/>
    <w:rsid w:val="06D379C9"/>
    <w:rsid w:val="06D39C83"/>
    <w:rsid w:val="06DBECDD"/>
    <w:rsid w:val="06E1485A"/>
    <w:rsid w:val="06E1D949"/>
    <w:rsid w:val="06E5D1BC"/>
    <w:rsid w:val="06EE79BA"/>
    <w:rsid w:val="06F3DDBF"/>
    <w:rsid w:val="06F513BF"/>
    <w:rsid w:val="06F9E485"/>
    <w:rsid w:val="06FE0388"/>
    <w:rsid w:val="070920E6"/>
    <w:rsid w:val="070FFCD5"/>
    <w:rsid w:val="0728CD3B"/>
    <w:rsid w:val="07461CCE"/>
    <w:rsid w:val="0747B423"/>
    <w:rsid w:val="074EF60C"/>
    <w:rsid w:val="074F533E"/>
    <w:rsid w:val="075C0974"/>
    <w:rsid w:val="07603374"/>
    <w:rsid w:val="0766CFF8"/>
    <w:rsid w:val="07696477"/>
    <w:rsid w:val="077715D5"/>
    <w:rsid w:val="077C3824"/>
    <w:rsid w:val="077F5804"/>
    <w:rsid w:val="07896CA1"/>
    <w:rsid w:val="078AEEA0"/>
    <w:rsid w:val="078EE43D"/>
    <w:rsid w:val="0793A44B"/>
    <w:rsid w:val="079B1AAF"/>
    <w:rsid w:val="079E7142"/>
    <w:rsid w:val="07C9D6D3"/>
    <w:rsid w:val="07CB68B8"/>
    <w:rsid w:val="07CEE876"/>
    <w:rsid w:val="07D47EAE"/>
    <w:rsid w:val="07ECE271"/>
    <w:rsid w:val="07F307CB"/>
    <w:rsid w:val="07F41B26"/>
    <w:rsid w:val="07F6CB70"/>
    <w:rsid w:val="07F8A31A"/>
    <w:rsid w:val="07F8ED7C"/>
    <w:rsid w:val="07FEF957"/>
    <w:rsid w:val="08098DB8"/>
    <w:rsid w:val="080B1792"/>
    <w:rsid w:val="080C1603"/>
    <w:rsid w:val="080C565F"/>
    <w:rsid w:val="0813CA23"/>
    <w:rsid w:val="08148446"/>
    <w:rsid w:val="08170DF4"/>
    <w:rsid w:val="081A7B3B"/>
    <w:rsid w:val="082642AF"/>
    <w:rsid w:val="08367ED8"/>
    <w:rsid w:val="083B6F80"/>
    <w:rsid w:val="083D7FC4"/>
    <w:rsid w:val="0842F85D"/>
    <w:rsid w:val="0858926B"/>
    <w:rsid w:val="08598B2A"/>
    <w:rsid w:val="08688AFA"/>
    <w:rsid w:val="0888E85A"/>
    <w:rsid w:val="088F492A"/>
    <w:rsid w:val="0892C47A"/>
    <w:rsid w:val="08A77559"/>
    <w:rsid w:val="08A8DDA6"/>
    <w:rsid w:val="08AAA999"/>
    <w:rsid w:val="08B44D9B"/>
    <w:rsid w:val="08BF75EE"/>
    <w:rsid w:val="08C788B3"/>
    <w:rsid w:val="08CAE131"/>
    <w:rsid w:val="08CEF3FC"/>
    <w:rsid w:val="08D07F2C"/>
    <w:rsid w:val="08D31B15"/>
    <w:rsid w:val="08E3C6CA"/>
    <w:rsid w:val="08F1B35A"/>
    <w:rsid w:val="08F797E9"/>
    <w:rsid w:val="090357CB"/>
    <w:rsid w:val="090416FB"/>
    <w:rsid w:val="0904554F"/>
    <w:rsid w:val="09048425"/>
    <w:rsid w:val="09063130"/>
    <w:rsid w:val="090793C8"/>
    <w:rsid w:val="090ACFFF"/>
    <w:rsid w:val="090F2E6A"/>
    <w:rsid w:val="0913EA9D"/>
    <w:rsid w:val="0915D01A"/>
    <w:rsid w:val="091BD409"/>
    <w:rsid w:val="091E0AF7"/>
    <w:rsid w:val="092268E2"/>
    <w:rsid w:val="09285EDA"/>
    <w:rsid w:val="092CBDD5"/>
    <w:rsid w:val="09366F07"/>
    <w:rsid w:val="0940CD29"/>
    <w:rsid w:val="094742EB"/>
    <w:rsid w:val="0954DF78"/>
    <w:rsid w:val="09588DFC"/>
    <w:rsid w:val="0968A1A9"/>
    <w:rsid w:val="096C6B0F"/>
    <w:rsid w:val="097083B6"/>
    <w:rsid w:val="09715850"/>
    <w:rsid w:val="09741604"/>
    <w:rsid w:val="0984E008"/>
    <w:rsid w:val="09925578"/>
    <w:rsid w:val="09991064"/>
    <w:rsid w:val="099DA974"/>
    <w:rsid w:val="09B4293E"/>
    <w:rsid w:val="09B685FE"/>
    <w:rsid w:val="09B95A21"/>
    <w:rsid w:val="09B98BCD"/>
    <w:rsid w:val="09B9E002"/>
    <w:rsid w:val="09C3ACAF"/>
    <w:rsid w:val="09C45D8B"/>
    <w:rsid w:val="09CDC157"/>
    <w:rsid w:val="09D490CF"/>
    <w:rsid w:val="09E73E17"/>
    <w:rsid w:val="09E85DA2"/>
    <w:rsid w:val="09EA5E3B"/>
    <w:rsid w:val="09EBFB5D"/>
    <w:rsid w:val="09EE1877"/>
    <w:rsid w:val="09EFD24F"/>
    <w:rsid w:val="0A022FE5"/>
    <w:rsid w:val="0A114788"/>
    <w:rsid w:val="0A116922"/>
    <w:rsid w:val="0A1655CA"/>
    <w:rsid w:val="0A2C8538"/>
    <w:rsid w:val="0A396B66"/>
    <w:rsid w:val="0A3BFAB7"/>
    <w:rsid w:val="0A45F985"/>
    <w:rsid w:val="0A61B628"/>
    <w:rsid w:val="0A6A8386"/>
    <w:rsid w:val="0A78E594"/>
    <w:rsid w:val="0A7977C3"/>
    <w:rsid w:val="0A896DFA"/>
    <w:rsid w:val="0A8F64AA"/>
    <w:rsid w:val="0A8FD308"/>
    <w:rsid w:val="0A902C36"/>
    <w:rsid w:val="0A9E2F36"/>
    <w:rsid w:val="0AB3CC7D"/>
    <w:rsid w:val="0ABEABC2"/>
    <w:rsid w:val="0AC43602"/>
    <w:rsid w:val="0AC51191"/>
    <w:rsid w:val="0AC859E7"/>
    <w:rsid w:val="0ADC6949"/>
    <w:rsid w:val="0ADED75A"/>
    <w:rsid w:val="0ADFA036"/>
    <w:rsid w:val="0AE4FE51"/>
    <w:rsid w:val="0AE775F5"/>
    <w:rsid w:val="0AF537AB"/>
    <w:rsid w:val="0AFEA75C"/>
    <w:rsid w:val="0B01AB59"/>
    <w:rsid w:val="0B0943D2"/>
    <w:rsid w:val="0B0BEF99"/>
    <w:rsid w:val="0B0E1CA2"/>
    <w:rsid w:val="0B14B339"/>
    <w:rsid w:val="0B188596"/>
    <w:rsid w:val="0B1FDB30"/>
    <w:rsid w:val="0B25AB36"/>
    <w:rsid w:val="0B3AE63E"/>
    <w:rsid w:val="0B3CA7A7"/>
    <w:rsid w:val="0B40F904"/>
    <w:rsid w:val="0B4378E1"/>
    <w:rsid w:val="0B490F16"/>
    <w:rsid w:val="0B4F0942"/>
    <w:rsid w:val="0B60031C"/>
    <w:rsid w:val="0B612DC0"/>
    <w:rsid w:val="0B75FBD5"/>
    <w:rsid w:val="0B87DAE7"/>
    <w:rsid w:val="0B919ECD"/>
    <w:rsid w:val="0B9434DA"/>
    <w:rsid w:val="0B99566A"/>
    <w:rsid w:val="0B9C7690"/>
    <w:rsid w:val="0BA2896A"/>
    <w:rsid w:val="0BA96622"/>
    <w:rsid w:val="0BAA77A4"/>
    <w:rsid w:val="0BB0739D"/>
    <w:rsid w:val="0BC05E6F"/>
    <w:rsid w:val="0BD1910C"/>
    <w:rsid w:val="0BD8F5D4"/>
    <w:rsid w:val="0BE4569A"/>
    <w:rsid w:val="0BE4CFCA"/>
    <w:rsid w:val="0BE743E5"/>
    <w:rsid w:val="0BE83576"/>
    <w:rsid w:val="0BE95B10"/>
    <w:rsid w:val="0BF54464"/>
    <w:rsid w:val="0BF7AAD3"/>
    <w:rsid w:val="0BF97490"/>
    <w:rsid w:val="0C041F70"/>
    <w:rsid w:val="0C0DED2C"/>
    <w:rsid w:val="0C1E8C19"/>
    <w:rsid w:val="0C23DC0E"/>
    <w:rsid w:val="0C2C773A"/>
    <w:rsid w:val="0C2C92CC"/>
    <w:rsid w:val="0C32DBAE"/>
    <w:rsid w:val="0C39E1D6"/>
    <w:rsid w:val="0C3AB4A2"/>
    <w:rsid w:val="0C47B312"/>
    <w:rsid w:val="0C49AA52"/>
    <w:rsid w:val="0C4A167D"/>
    <w:rsid w:val="0C58FC13"/>
    <w:rsid w:val="0C63B3BB"/>
    <w:rsid w:val="0C6AD908"/>
    <w:rsid w:val="0C6C85FF"/>
    <w:rsid w:val="0C78D441"/>
    <w:rsid w:val="0C7DCC90"/>
    <w:rsid w:val="0C850F15"/>
    <w:rsid w:val="0C8C91CD"/>
    <w:rsid w:val="0CAEFCE3"/>
    <w:rsid w:val="0CB6F110"/>
    <w:rsid w:val="0CBC488A"/>
    <w:rsid w:val="0CBDF645"/>
    <w:rsid w:val="0CC3DABA"/>
    <w:rsid w:val="0CC635BC"/>
    <w:rsid w:val="0CC9EE17"/>
    <w:rsid w:val="0CCAB3FD"/>
    <w:rsid w:val="0CCF0E69"/>
    <w:rsid w:val="0CD40E71"/>
    <w:rsid w:val="0CD4F560"/>
    <w:rsid w:val="0CE0781A"/>
    <w:rsid w:val="0CED9E46"/>
    <w:rsid w:val="0CEDB0F0"/>
    <w:rsid w:val="0CF436F6"/>
    <w:rsid w:val="0CF9A077"/>
    <w:rsid w:val="0CFBBA5E"/>
    <w:rsid w:val="0CFC197C"/>
    <w:rsid w:val="0D002A37"/>
    <w:rsid w:val="0D00E7F8"/>
    <w:rsid w:val="0D10EEF6"/>
    <w:rsid w:val="0D1F1BB7"/>
    <w:rsid w:val="0D2C3E11"/>
    <w:rsid w:val="0D314924"/>
    <w:rsid w:val="0D3200DD"/>
    <w:rsid w:val="0D32F792"/>
    <w:rsid w:val="0D401476"/>
    <w:rsid w:val="0D40ABC4"/>
    <w:rsid w:val="0D4B452D"/>
    <w:rsid w:val="0D50B81D"/>
    <w:rsid w:val="0D515691"/>
    <w:rsid w:val="0D5E5EE0"/>
    <w:rsid w:val="0D694DBC"/>
    <w:rsid w:val="0D6B101B"/>
    <w:rsid w:val="0D70F643"/>
    <w:rsid w:val="0D773803"/>
    <w:rsid w:val="0D7EBDC4"/>
    <w:rsid w:val="0D7FDDB9"/>
    <w:rsid w:val="0D88CEC2"/>
    <w:rsid w:val="0D97EA96"/>
    <w:rsid w:val="0DB0DEF0"/>
    <w:rsid w:val="0DB7B896"/>
    <w:rsid w:val="0DB88E34"/>
    <w:rsid w:val="0DBDF438"/>
    <w:rsid w:val="0DC4E082"/>
    <w:rsid w:val="0DCF05FF"/>
    <w:rsid w:val="0DD7BABC"/>
    <w:rsid w:val="0DDD1E4B"/>
    <w:rsid w:val="0DE6EF4B"/>
    <w:rsid w:val="0DEA5C8D"/>
    <w:rsid w:val="0DEE6D82"/>
    <w:rsid w:val="0DEE9B15"/>
    <w:rsid w:val="0DF1D10E"/>
    <w:rsid w:val="0DF318A5"/>
    <w:rsid w:val="0DF3345B"/>
    <w:rsid w:val="0DF79790"/>
    <w:rsid w:val="0DF98349"/>
    <w:rsid w:val="0E008DD3"/>
    <w:rsid w:val="0E1F7F73"/>
    <w:rsid w:val="0E1F94AB"/>
    <w:rsid w:val="0E32F7F3"/>
    <w:rsid w:val="0E36DFF3"/>
    <w:rsid w:val="0E370300"/>
    <w:rsid w:val="0E3CE0D1"/>
    <w:rsid w:val="0E3DD7A1"/>
    <w:rsid w:val="0E492481"/>
    <w:rsid w:val="0E6A0C40"/>
    <w:rsid w:val="0E6CA20C"/>
    <w:rsid w:val="0E6E4C8D"/>
    <w:rsid w:val="0E6FB20A"/>
    <w:rsid w:val="0E73B07C"/>
    <w:rsid w:val="0E816085"/>
    <w:rsid w:val="0E8518E2"/>
    <w:rsid w:val="0E8525F6"/>
    <w:rsid w:val="0E86963A"/>
    <w:rsid w:val="0E94A0E1"/>
    <w:rsid w:val="0E954311"/>
    <w:rsid w:val="0E984A07"/>
    <w:rsid w:val="0E993C31"/>
    <w:rsid w:val="0E99D93C"/>
    <w:rsid w:val="0EA14C1A"/>
    <w:rsid w:val="0EA47D2B"/>
    <w:rsid w:val="0EA5B9EB"/>
    <w:rsid w:val="0EA6ACEE"/>
    <w:rsid w:val="0EA6EC42"/>
    <w:rsid w:val="0EB1636D"/>
    <w:rsid w:val="0EB3AFDA"/>
    <w:rsid w:val="0EB3FE34"/>
    <w:rsid w:val="0EB4B9EC"/>
    <w:rsid w:val="0EBB7AD1"/>
    <w:rsid w:val="0EC09380"/>
    <w:rsid w:val="0EC5E49C"/>
    <w:rsid w:val="0EC72E06"/>
    <w:rsid w:val="0EC9045E"/>
    <w:rsid w:val="0ECA2605"/>
    <w:rsid w:val="0ECB45D1"/>
    <w:rsid w:val="0ED1207C"/>
    <w:rsid w:val="0EDB7A4F"/>
    <w:rsid w:val="0EE00E36"/>
    <w:rsid w:val="0EE0A89B"/>
    <w:rsid w:val="0EE8435A"/>
    <w:rsid w:val="0EEA0DE2"/>
    <w:rsid w:val="0EEDB336"/>
    <w:rsid w:val="0F023614"/>
    <w:rsid w:val="0F036031"/>
    <w:rsid w:val="0F03FE54"/>
    <w:rsid w:val="0F07B693"/>
    <w:rsid w:val="0F0A1A81"/>
    <w:rsid w:val="0F0FD11F"/>
    <w:rsid w:val="0F126A7A"/>
    <w:rsid w:val="0F129332"/>
    <w:rsid w:val="0F170BA4"/>
    <w:rsid w:val="0F17C54D"/>
    <w:rsid w:val="0F1C4F83"/>
    <w:rsid w:val="0F1CA102"/>
    <w:rsid w:val="0F2938EC"/>
    <w:rsid w:val="0F2AB206"/>
    <w:rsid w:val="0F2DDA70"/>
    <w:rsid w:val="0F38E27F"/>
    <w:rsid w:val="0F3B8B31"/>
    <w:rsid w:val="0F3C90DC"/>
    <w:rsid w:val="0F45C5BF"/>
    <w:rsid w:val="0F4E9B3E"/>
    <w:rsid w:val="0F50F38B"/>
    <w:rsid w:val="0F544357"/>
    <w:rsid w:val="0F54AF13"/>
    <w:rsid w:val="0F58BD4F"/>
    <w:rsid w:val="0F5E1CD0"/>
    <w:rsid w:val="0F5E2820"/>
    <w:rsid w:val="0F5EEFED"/>
    <w:rsid w:val="0F617B35"/>
    <w:rsid w:val="0F62F85D"/>
    <w:rsid w:val="0F6AA5C0"/>
    <w:rsid w:val="0F7B1DF1"/>
    <w:rsid w:val="0F7B8298"/>
    <w:rsid w:val="0F861BF1"/>
    <w:rsid w:val="0F863759"/>
    <w:rsid w:val="0F89E938"/>
    <w:rsid w:val="0F8A2520"/>
    <w:rsid w:val="0F8B77FD"/>
    <w:rsid w:val="0F983DF6"/>
    <w:rsid w:val="0F9AE989"/>
    <w:rsid w:val="0F9C5088"/>
    <w:rsid w:val="0F9C5E34"/>
    <w:rsid w:val="0FAB93A5"/>
    <w:rsid w:val="0FAF2534"/>
    <w:rsid w:val="0FB1E411"/>
    <w:rsid w:val="0FB26D7E"/>
    <w:rsid w:val="0FB48666"/>
    <w:rsid w:val="0FB85516"/>
    <w:rsid w:val="0FB8E16B"/>
    <w:rsid w:val="0FBCE802"/>
    <w:rsid w:val="0FC2F4DD"/>
    <w:rsid w:val="0FCD9793"/>
    <w:rsid w:val="0FD29998"/>
    <w:rsid w:val="0FDE0FC5"/>
    <w:rsid w:val="0FDED961"/>
    <w:rsid w:val="0FE0405D"/>
    <w:rsid w:val="0FE17882"/>
    <w:rsid w:val="0FE604AE"/>
    <w:rsid w:val="0FEA01CC"/>
    <w:rsid w:val="0FF3730A"/>
    <w:rsid w:val="0FF50739"/>
    <w:rsid w:val="0FFC5459"/>
    <w:rsid w:val="0FFC62E4"/>
    <w:rsid w:val="0FFC78A0"/>
    <w:rsid w:val="0FFF2D0B"/>
    <w:rsid w:val="10042357"/>
    <w:rsid w:val="1019AC73"/>
    <w:rsid w:val="101ABC78"/>
    <w:rsid w:val="102C6541"/>
    <w:rsid w:val="102E707F"/>
    <w:rsid w:val="10361356"/>
    <w:rsid w:val="10475714"/>
    <w:rsid w:val="1052BE8C"/>
    <w:rsid w:val="105C9F0C"/>
    <w:rsid w:val="1061E5B0"/>
    <w:rsid w:val="106B6D76"/>
    <w:rsid w:val="106DF81D"/>
    <w:rsid w:val="1078BF59"/>
    <w:rsid w:val="107A7E3D"/>
    <w:rsid w:val="108E7F8B"/>
    <w:rsid w:val="109DFF0D"/>
    <w:rsid w:val="109EE823"/>
    <w:rsid w:val="10A38522"/>
    <w:rsid w:val="10AA5802"/>
    <w:rsid w:val="10AAFD84"/>
    <w:rsid w:val="10AC0966"/>
    <w:rsid w:val="10AED05F"/>
    <w:rsid w:val="10B1EBD2"/>
    <w:rsid w:val="10B5BE5F"/>
    <w:rsid w:val="10B6C622"/>
    <w:rsid w:val="10BDA619"/>
    <w:rsid w:val="10BF867A"/>
    <w:rsid w:val="10CB2E45"/>
    <w:rsid w:val="10CCEA2F"/>
    <w:rsid w:val="10CFEB12"/>
    <w:rsid w:val="10D211BE"/>
    <w:rsid w:val="10D33B29"/>
    <w:rsid w:val="10D97F19"/>
    <w:rsid w:val="10DD9582"/>
    <w:rsid w:val="10EBAB4D"/>
    <w:rsid w:val="10EF54FD"/>
    <w:rsid w:val="10FF3426"/>
    <w:rsid w:val="11008BA5"/>
    <w:rsid w:val="1100EE2F"/>
    <w:rsid w:val="1100F682"/>
    <w:rsid w:val="11026DFA"/>
    <w:rsid w:val="1109E1B9"/>
    <w:rsid w:val="1123C2C1"/>
    <w:rsid w:val="112422AC"/>
    <w:rsid w:val="112F1878"/>
    <w:rsid w:val="11369D1E"/>
    <w:rsid w:val="113DC02F"/>
    <w:rsid w:val="1143908C"/>
    <w:rsid w:val="1144D11E"/>
    <w:rsid w:val="114EEB70"/>
    <w:rsid w:val="11547699"/>
    <w:rsid w:val="115598B0"/>
    <w:rsid w:val="115C966B"/>
    <w:rsid w:val="116E079B"/>
    <w:rsid w:val="117249A3"/>
    <w:rsid w:val="11761538"/>
    <w:rsid w:val="1183DEC2"/>
    <w:rsid w:val="11852F2E"/>
    <w:rsid w:val="1187A29D"/>
    <w:rsid w:val="119179B1"/>
    <w:rsid w:val="11939837"/>
    <w:rsid w:val="119A1048"/>
    <w:rsid w:val="11A1E7AB"/>
    <w:rsid w:val="11AA4683"/>
    <w:rsid w:val="11AFDA2D"/>
    <w:rsid w:val="11BE4AC6"/>
    <w:rsid w:val="11C12B80"/>
    <w:rsid w:val="11C34863"/>
    <w:rsid w:val="11C7807C"/>
    <w:rsid w:val="11CAF840"/>
    <w:rsid w:val="11D30E15"/>
    <w:rsid w:val="11D62685"/>
    <w:rsid w:val="11D7FCBE"/>
    <w:rsid w:val="11D84CEB"/>
    <w:rsid w:val="11E8F6A1"/>
    <w:rsid w:val="11F739BB"/>
    <w:rsid w:val="11FA1ED5"/>
    <w:rsid w:val="11FE20FD"/>
    <w:rsid w:val="1202EED6"/>
    <w:rsid w:val="120B6A6A"/>
    <w:rsid w:val="120FB1D7"/>
    <w:rsid w:val="12102B32"/>
    <w:rsid w:val="12116849"/>
    <w:rsid w:val="1229C837"/>
    <w:rsid w:val="122B9B96"/>
    <w:rsid w:val="123B18BD"/>
    <w:rsid w:val="123CBA23"/>
    <w:rsid w:val="123FB4A1"/>
    <w:rsid w:val="124A0B3C"/>
    <w:rsid w:val="1259ABE8"/>
    <w:rsid w:val="126396F6"/>
    <w:rsid w:val="127478A3"/>
    <w:rsid w:val="1278942C"/>
    <w:rsid w:val="1281D8F9"/>
    <w:rsid w:val="1292957D"/>
    <w:rsid w:val="129950F5"/>
    <w:rsid w:val="12AB352C"/>
    <w:rsid w:val="12BF670B"/>
    <w:rsid w:val="12C318BF"/>
    <w:rsid w:val="12C6E567"/>
    <w:rsid w:val="12D656F2"/>
    <w:rsid w:val="12D6A7B6"/>
    <w:rsid w:val="12D6E3D2"/>
    <w:rsid w:val="12E41089"/>
    <w:rsid w:val="12EF533F"/>
    <w:rsid w:val="12F012A9"/>
    <w:rsid w:val="12F1FCAE"/>
    <w:rsid w:val="12F8C975"/>
    <w:rsid w:val="12FC8B8D"/>
    <w:rsid w:val="12FF5A25"/>
    <w:rsid w:val="12FFFA08"/>
    <w:rsid w:val="13008E02"/>
    <w:rsid w:val="131BA55D"/>
    <w:rsid w:val="131E5A41"/>
    <w:rsid w:val="131F9B10"/>
    <w:rsid w:val="131FE71A"/>
    <w:rsid w:val="132E1A23"/>
    <w:rsid w:val="1335C945"/>
    <w:rsid w:val="13375DA5"/>
    <w:rsid w:val="1344653C"/>
    <w:rsid w:val="13494F25"/>
    <w:rsid w:val="1350440A"/>
    <w:rsid w:val="13568A56"/>
    <w:rsid w:val="1356F9F1"/>
    <w:rsid w:val="135ACD5A"/>
    <w:rsid w:val="13644A07"/>
    <w:rsid w:val="1379461C"/>
    <w:rsid w:val="137CB710"/>
    <w:rsid w:val="1380FDF6"/>
    <w:rsid w:val="139D3CB9"/>
    <w:rsid w:val="139E29A1"/>
    <w:rsid w:val="13A4A99F"/>
    <w:rsid w:val="13A7BA5F"/>
    <w:rsid w:val="13A8AA11"/>
    <w:rsid w:val="13B43D60"/>
    <w:rsid w:val="13BC4C3F"/>
    <w:rsid w:val="13BC658D"/>
    <w:rsid w:val="13BF43C2"/>
    <w:rsid w:val="13C098C0"/>
    <w:rsid w:val="13C27C18"/>
    <w:rsid w:val="13CC4C29"/>
    <w:rsid w:val="13D882FB"/>
    <w:rsid w:val="13E4D050"/>
    <w:rsid w:val="13E50916"/>
    <w:rsid w:val="13F2C8BF"/>
    <w:rsid w:val="14166670"/>
    <w:rsid w:val="14187377"/>
    <w:rsid w:val="141D66A8"/>
    <w:rsid w:val="14233312"/>
    <w:rsid w:val="14276C6B"/>
    <w:rsid w:val="142E9310"/>
    <w:rsid w:val="143924A4"/>
    <w:rsid w:val="14395E90"/>
    <w:rsid w:val="143F0256"/>
    <w:rsid w:val="1444B3B2"/>
    <w:rsid w:val="1447C45F"/>
    <w:rsid w:val="1454EF9E"/>
    <w:rsid w:val="1457D324"/>
    <w:rsid w:val="145EE67F"/>
    <w:rsid w:val="1461C9AD"/>
    <w:rsid w:val="146A3205"/>
    <w:rsid w:val="146F7CFF"/>
    <w:rsid w:val="14736A8B"/>
    <w:rsid w:val="1475B0FC"/>
    <w:rsid w:val="1479E2A7"/>
    <w:rsid w:val="1491D984"/>
    <w:rsid w:val="1494AE89"/>
    <w:rsid w:val="14981122"/>
    <w:rsid w:val="1498DEA2"/>
    <w:rsid w:val="149AA9D5"/>
    <w:rsid w:val="149CFC6A"/>
    <w:rsid w:val="149D225D"/>
    <w:rsid w:val="149F3896"/>
    <w:rsid w:val="14A0D812"/>
    <w:rsid w:val="14A49566"/>
    <w:rsid w:val="14AEC7C2"/>
    <w:rsid w:val="14B07D0B"/>
    <w:rsid w:val="14BE2261"/>
    <w:rsid w:val="14BFBE65"/>
    <w:rsid w:val="14C51F43"/>
    <w:rsid w:val="14CD74AE"/>
    <w:rsid w:val="14D1CFF1"/>
    <w:rsid w:val="14D29770"/>
    <w:rsid w:val="14D4700F"/>
    <w:rsid w:val="14D78D43"/>
    <w:rsid w:val="14D89ABE"/>
    <w:rsid w:val="14DECB00"/>
    <w:rsid w:val="14EE8374"/>
    <w:rsid w:val="14F20D2B"/>
    <w:rsid w:val="14F2F9D3"/>
    <w:rsid w:val="14F4C13A"/>
    <w:rsid w:val="14F749C9"/>
    <w:rsid w:val="14FD3413"/>
    <w:rsid w:val="1504932C"/>
    <w:rsid w:val="15078FD5"/>
    <w:rsid w:val="151408EC"/>
    <w:rsid w:val="151D2299"/>
    <w:rsid w:val="1521D1CC"/>
    <w:rsid w:val="15246355"/>
    <w:rsid w:val="1524D100"/>
    <w:rsid w:val="15271BF1"/>
    <w:rsid w:val="153C1FBB"/>
    <w:rsid w:val="15440727"/>
    <w:rsid w:val="15446BD1"/>
    <w:rsid w:val="154B33EC"/>
    <w:rsid w:val="15533DC3"/>
    <w:rsid w:val="1558ADB7"/>
    <w:rsid w:val="15634F37"/>
    <w:rsid w:val="156EF747"/>
    <w:rsid w:val="1577537C"/>
    <w:rsid w:val="1578AA94"/>
    <w:rsid w:val="1594FC66"/>
    <w:rsid w:val="15A3FE12"/>
    <w:rsid w:val="15C193B8"/>
    <w:rsid w:val="15C1B497"/>
    <w:rsid w:val="15C74D93"/>
    <w:rsid w:val="15CA9257"/>
    <w:rsid w:val="15E6C189"/>
    <w:rsid w:val="15EEC203"/>
    <w:rsid w:val="15F2F25C"/>
    <w:rsid w:val="15FA1F68"/>
    <w:rsid w:val="15FC1842"/>
    <w:rsid w:val="15FE73DB"/>
    <w:rsid w:val="15FF2E93"/>
    <w:rsid w:val="1601C2A0"/>
    <w:rsid w:val="1602F06B"/>
    <w:rsid w:val="160C1AAD"/>
    <w:rsid w:val="160E755F"/>
    <w:rsid w:val="160F8C28"/>
    <w:rsid w:val="1615B308"/>
    <w:rsid w:val="16226792"/>
    <w:rsid w:val="1623C7EA"/>
    <w:rsid w:val="1623E633"/>
    <w:rsid w:val="16287D00"/>
    <w:rsid w:val="162E6D30"/>
    <w:rsid w:val="1637296D"/>
    <w:rsid w:val="16379ACA"/>
    <w:rsid w:val="163F0C72"/>
    <w:rsid w:val="164926BF"/>
    <w:rsid w:val="164981DA"/>
    <w:rsid w:val="164D1DFE"/>
    <w:rsid w:val="1655FB03"/>
    <w:rsid w:val="1661B50E"/>
    <w:rsid w:val="1662055B"/>
    <w:rsid w:val="1664DE2A"/>
    <w:rsid w:val="1668BC4E"/>
    <w:rsid w:val="167C4573"/>
    <w:rsid w:val="168191EC"/>
    <w:rsid w:val="1687F8D9"/>
    <w:rsid w:val="1699ACF0"/>
    <w:rsid w:val="1699D366"/>
    <w:rsid w:val="16A41731"/>
    <w:rsid w:val="16A65E94"/>
    <w:rsid w:val="16B1CF4C"/>
    <w:rsid w:val="16B22B00"/>
    <w:rsid w:val="16B90B0C"/>
    <w:rsid w:val="16C63A27"/>
    <w:rsid w:val="16C97A7E"/>
    <w:rsid w:val="16CE72D7"/>
    <w:rsid w:val="16D0749C"/>
    <w:rsid w:val="16D47AD6"/>
    <w:rsid w:val="16D4F440"/>
    <w:rsid w:val="16E3A8E7"/>
    <w:rsid w:val="16E79B14"/>
    <w:rsid w:val="16EEA64E"/>
    <w:rsid w:val="16EF0E24"/>
    <w:rsid w:val="16F0DCDE"/>
    <w:rsid w:val="16F20506"/>
    <w:rsid w:val="16F34BB9"/>
    <w:rsid w:val="16F77DE7"/>
    <w:rsid w:val="16FB50B7"/>
    <w:rsid w:val="16FF81D9"/>
    <w:rsid w:val="1707103D"/>
    <w:rsid w:val="171722B0"/>
    <w:rsid w:val="17173BDB"/>
    <w:rsid w:val="17174591"/>
    <w:rsid w:val="1723DE6F"/>
    <w:rsid w:val="1729582D"/>
    <w:rsid w:val="17354B91"/>
    <w:rsid w:val="1750E5AC"/>
    <w:rsid w:val="175A0F69"/>
    <w:rsid w:val="176BB48B"/>
    <w:rsid w:val="176DF4B0"/>
    <w:rsid w:val="1770A52F"/>
    <w:rsid w:val="17722E5D"/>
    <w:rsid w:val="177CB0EA"/>
    <w:rsid w:val="177D2F96"/>
    <w:rsid w:val="1782F629"/>
    <w:rsid w:val="179494F5"/>
    <w:rsid w:val="179B6E3A"/>
    <w:rsid w:val="179EB943"/>
    <w:rsid w:val="17A184B6"/>
    <w:rsid w:val="17AF3206"/>
    <w:rsid w:val="17B7D58D"/>
    <w:rsid w:val="17B8F810"/>
    <w:rsid w:val="17BBAC91"/>
    <w:rsid w:val="17C593C2"/>
    <w:rsid w:val="17DA05ED"/>
    <w:rsid w:val="17DB10CF"/>
    <w:rsid w:val="17DFDBB8"/>
    <w:rsid w:val="17E1A5D1"/>
    <w:rsid w:val="17E2FADA"/>
    <w:rsid w:val="17F54C78"/>
    <w:rsid w:val="180A3EF0"/>
    <w:rsid w:val="180F9E66"/>
    <w:rsid w:val="1814B972"/>
    <w:rsid w:val="1818A819"/>
    <w:rsid w:val="181FAAD6"/>
    <w:rsid w:val="1835A9A3"/>
    <w:rsid w:val="18377932"/>
    <w:rsid w:val="1841CC35"/>
    <w:rsid w:val="18446176"/>
    <w:rsid w:val="184FC3EA"/>
    <w:rsid w:val="18518D12"/>
    <w:rsid w:val="185722DA"/>
    <w:rsid w:val="1858C0C4"/>
    <w:rsid w:val="185A1CE0"/>
    <w:rsid w:val="185D74B9"/>
    <w:rsid w:val="1869D407"/>
    <w:rsid w:val="1873DA14"/>
    <w:rsid w:val="18771925"/>
    <w:rsid w:val="187F3F68"/>
    <w:rsid w:val="18811DA1"/>
    <w:rsid w:val="18820740"/>
    <w:rsid w:val="1882F55E"/>
    <w:rsid w:val="1885B492"/>
    <w:rsid w:val="1891B5E6"/>
    <w:rsid w:val="1892846C"/>
    <w:rsid w:val="1892F0E6"/>
    <w:rsid w:val="189A9543"/>
    <w:rsid w:val="189FAA9B"/>
    <w:rsid w:val="18A68951"/>
    <w:rsid w:val="18A7A7E7"/>
    <w:rsid w:val="18A824EA"/>
    <w:rsid w:val="18ABF0B0"/>
    <w:rsid w:val="18B2FAB4"/>
    <w:rsid w:val="18BA5403"/>
    <w:rsid w:val="18BB6FA6"/>
    <w:rsid w:val="18BCC26A"/>
    <w:rsid w:val="18BD4FE3"/>
    <w:rsid w:val="18CD5657"/>
    <w:rsid w:val="18CEC07D"/>
    <w:rsid w:val="18D27EF6"/>
    <w:rsid w:val="18D50101"/>
    <w:rsid w:val="18D9E827"/>
    <w:rsid w:val="18EA2FFF"/>
    <w:rsid w:val="18EE8DF8"/>
    <w:rsid w:val="18EEAC5D"/>
    <w:rsid w:val="18FE0E9B"/>
    <w:rsid w:val="18FE5112"/>
    <w:rsid w:val="1905669B"/>
    <w:rsid w:val="19063E5E"/>
    <w:rsid w:val="19133129"/>
    <w:rsid w:val="1913A697"/>
    <w:rsid w:val="1913AFFE"/>
    <w:rsid w:val="1915AC49"/>
    <w:rsid w:val="191BE8F6"/>
    <w:rsid w:val="19215066"/>
    <w:rsid w:val="192ED4A6"/>
    <w:rsid w:val="1936F3BE"/>
    <w:rsid w:val="193C500E"/>
    <w:rsid w:val="19448DE8"/>
    <w:rsid w:val="19546A4F"/>
    <w:rsid w:val="195EFA65"/>
    <w:rsid w:val="1962FC18"/>
    <w:rsid w:val="196AB913"/>
    <w:rsid w:val="196BEB1E"/>
    <w:rsid w:val="196DD059"/>
    <w:rsid w:val="1971EB0C"/>
    <w:rsid w:val="1977BC4E"/>
    <w:rsid w:val="1977D792"/>
    <w:rsid w:val="1988832B"/>
    <w:rsid w:val="19892AFF"/>
    <w:rsid w:val="198F9CE5"/>
    <w:rsid w:val="1998BF7A"/>
    <w:rsid w:val="19994A84"/>
    <w:rsid w:val="199CB8A3"/>
    <w:rsid w:val="19A04A3C"/>
    <w:rsid w:val="19A0CD64"/>
    <w:rsid w:val="19A6658B"/>
    <w:rsid w:val="19AE4A26"/>
    <w:rsid w:val="19BA73DF"/>
    <w:rsid w:val="19C0D443"/>
    <w:rsid w:val="19E05395"/>
    <w:rsid w:val="19E27F0A"/>
    <w:rsid w:val="19E993A3"/>
    <w:rsid w:val="19EABAE2"/>
    <w:rsid w:val="19F29C74"/>
    <w:rsid w:val="19F6C2E3"/>
    <w:rsid w:val="19F766E7"/>
    <w:rsid w:val="1A037297"/>
    <w:rsid w:val="1A0A68D2"/>
    <w:rsid w:val="1A0A8910"/>
    <w:rsid w:val="1A0D8689"/>
    <w:rsid w:val="1A1AAA13"/>
    <w:rsid w:val="1A1EA542"/>
    <w:rsid w:val="1A2502EF"/>
    <w:rsid w:val="1A271B84"/>
    <w:rsid w:val="1A2BA711"/>
    <w:rsid w:val="1A2CD105"/>
    <w:rsid w:val="1A30BCD8"/>
    <w:rsid w:val="1A41A16C"/>
    <w:rsid w:val="1A43B22B"/>
    <w:rsid w:val="1A4EE09A"/>
    <w:rsid w:val="1A571761"/>
    <w:rsid w:val="1A5A06D8"/>
    <w:rsid w:val="1A648C73"/>
    <w:rsid w:val="1A6B5A1F"/>
    <w:rsid w:val="1A700B2B"/>
    <w:rsid w:val="1A7B6D4F"/>
    <w:rsid w:val="1A81E465"/>
    <w:rsid w:val="1A829600"/>
    <w:rsid w:val="1A82DAF5"/>
    <w:rsid w:val="1A9DE5CB"/>
    <w:rsid w:val="1AADCB4A"/>
    <w:rsid w:val="1AAF01E6"/>
    <w:rsid w:val="1ABB13EE"/>
    <w:rsid w:val="1AC5D403"/>
    <w:rsid w:val="1AD1B517"/>
    <w:rsid w:val="1AD34ADC"/>
    <w:rsid w:val="1ADA00EF"/>
    <w:rsid w:val="1ADC29F2"/>
    <w:rsid w:val="1ADDF147"/>
    <w:rsid w:val="1AE97DA5"/>
    <w:rsid w:val="1AF33FC7"/>
    <w:rsid w:val="1AF3F196"/>
    <w:rsid w:val="1AFAC674"/>
    <w:rsid w:val="1B0173B0"/>
    <w:rsid w:val="1B0599F9"/>
    <w:rsid w:val="1B0C3DEE"/>
    <w:rsid w:val="1B12DB85"/>
    <w:rsid w:val="1B14EAEB"/>
    <w:rsid w:val="1B176F66"/>
    <w:rsid w:val="1B1E8052"/>
    <w:rsid w:val="1B2FA05B"/>
    <w:rsid w:val="1B3B9E4F"/>
    <w:rsid w:val="1B43700C"/>
    <w:rsid w:val="1B43D178"/>
    <w:rsid w:val="1B4785EF"/>
    <w:rsid w:val="1B4BCFF9"/>
    <w:rsid w:val="1B4F8315"/>
    <w:rsid w:val="1B50121C"/>
    <w:rsid w:val="1B63B70B"/>
    <w:rsid w:val="1B6712C2"/>
    <w:rsid w:val="1B71734F"/>
    <w:rsid w:val="1B725FA2"/>
    <w:rsid w:val="1B76B082"/>
    <w:rsid w:val="1B771BDD"/>
    <w:rsid w:val="1B810F87"/>
    <w:rsid w:val="1B8304A4"/>
    <w:rsid w:val="1B99EA82"/>
    <w:rsid w:val="1BA49309"/>
    <w:rsid w:val="1BBE25D5"/>
    <w:rsid w:val="1BCAE403"/>
    <w:rsid w:val="1BCD6BF0"/>
    <w:rsid w:val="1BCD6E8A"/>
    <w:rsid w:val="1BD45ED2"/>
    <w:rsid w:val="1BDC32EA"/>
    <w:rsid w:val="1BF595FF"/>
    <w:rsid w:val="1BF74939"/>
    <w:rsid w:val="1BF7F526"/>
    <w:rsid w:val="1BFFA7F4"/>
    <w:rsid w:val="1C0C58E9"/>
    <w:rsid w:val="1C12DF36"/>
    <w:rsid w:val="1C16379D"/>
    <w:rsid w:val="1C18538E"/>
    <w:rsid w:val="1C1AB4F2"/>
    <w:rsid w:val="1C28C953"/>
    <w:rsid w:val="1C2A28B3"/>
    <w:rsid w:val="1C31A589"/>
    <w:rsid w:val="1C3B5FD0"/>
    <w:rsid w:val="1C43A373"/>
    <w:rsid w:val="1C4E8E76"/>
    <w:rsid w:val="1C56B500"/>
    <w:rsid w:val="1C5742FC"/>
    <w:rsid w:val="1C6F28CA"/>
    <w:rsid w:val="1C74B150"/>
    <w:rsid w:val="1C75C332"/>
    <w:rsid w:val="1C7619C1"/>
    <w:rsid w:val="1C7F5F38"/>
    <w:rsid w:val="1C810730"/>
    <w:rsid w:val="1C86BC97"/>
    <w:rsid w:val="1C899046"/>
    <w:rsid w:val="1C8A4447"/>
    <w:rsid w:val="1C928107"/>
    <w:rsid w:val="1C9DD2A8"/>
    <w:rsid w:val="1CA05B89"/>
    <w:rsid w:val="1CA18C9E"/>
    <w:rsid w:val="1CA3E796"/>
    <w:rsid w:val="1CB58BB1"/>
    <w:rsid w:val="1CB5DFBF"/>
    <w:rsid w:val="1CB6F5FC"/>
    <w:rsid w:val="1CB862A6"/>
    <w:rsid w:val="1CB9A834"/>
    <w:rsid w:val="1CC1179E"/>
    <w:rsid w:val="1CC53840"/>
    <w:rsid w:val="1CD3C7AB"/>
    <w:rsid w:val="1CD55EF5"/>
    <w:rsid w:val="1CDC0D55"/>
    <w:rsid w:val="1CE0502C"/>
    <w:rsid w:val="1CE06B6A"/>
    <w:rsid w:val="1CE8B8F6"/>
    <w:rsid w:val="1CE93FA4"/>
    <w:rsid w:val="1CF69272"/>
    <w:rsid w:val="1CF828E7"/>
    <w:rsid w:val="1CFDDAE2"/>
    <w:rsid w:val="1D0A590E"/>
    <w:rsid w:val="1D0CD5EA"/>
    <w:rsid w:val="1D0DB76A"/>
    <w:rsid w:val="1D14D610"/>
    <w:rsid w:val="1D1615C8"/>
    <w:rsid w:val="1D174B40"/>
    <w:rsid w:val="1D1B0F71"/>
    <w:rsid w:val="1D1BF7ED"/>
    <w:rsid w:val="1D226484"/>
    <w:rsid w:val="1D33A1CA"/>
    <w:rsid w:val="1D39B927"/>
    <w:rsid w:val="1D3FD9CA"/>
    <w:rsid w:val="1D43BC5A"/>
    <w:rsid w:val="1D542F00"/>
    <w:rsid w:val="1D6807EE"/>
    <w:rsid w:val="1D7152AD"/>
    <w:rsid w:val="1D724771"/>
    <w:rsid w:val="1D742982"/>
    <w:rsid w:val="1D7FDB99"/>
    <w:rsid w:val="1D826693"/>
    <w:rsid w:val="1D8A0C86"/>
    <w:rsid w:val="1D97C420"/>
    <w:rsid w:val="1DA84365"/>
    <w:rsid w:val="1DB3EB02"/>
    <w:rsid w:val="1DBC3682"/>
    <w:rsid w:val="1DBC982B"/>
    <w:rsid w:val="1DCB1C25"/>
    <w:rsid w:val="1DCC94FF"/>
    <w:rsid w:val="1DCFEE39"/>
    <w:rsid w:val="1DD2DC8E"/>
    <w:rsid w:val="1DD5868D"/>
    <w:rsid w:val="1DE63DD4"/>
    <w:rsid w:val="1DEA5492"/>
    <w:rsid w:val="1DED8648"/>
    <w:rsid w:val="1DEDA5FF"/>
    <w:rsid w:val="1DF128B5"/>
    <w:rsid w:val="1DF38E49"/>
    <w:rsid w:val="1DF92334"/>
    <w:rsid w:val="1DFC8F35"/>
    <w:rsid w:val="1DFEA029"/>
    <w:rsid w:val="1DFF177A"/>
    <w:rsid w:val="1E04BC14"/>
    <w:rsid w:val="1E07D0DC"/>
    <w:rsid w:val="1E0A9821"/>
    <w:rsid w:val="1E0B7BB6"/>
    <w:rsid w:val="1E0BCFC5"/>
    <w:rsid w:val="1E0E2703"/>
    <w:rsid w:val="1E10BB4B"/>
    <w:rsid w:val="1E139629"/>
    <w:rsid w:val="1E13FD31"/>
    <w:rsid w:val="1E212849"/>
    <w:rsid w:val="1E22F053"/>
    <w:rsid w:val="1E271F33"/>
    <w:rsid w:val="1E299C0F"/>
    <w:rsid w:val="1E2C408D"/>
    <w:rsid w:val="1E3F0070"/>
    <w:rsid w:val="1E3FB5CA"/>
    <w:rsid w:val="1E445B6D"/>
    <w:rsid w:val="1E4A43F2"/>
    <w:rsid w:val="1E4C9C9E"/>
    <w:rsid w:val="1E53B64F"/>
    <w:rsid w:val="1E5A8F31"/>
    <w:rsid w:val="1E610CE8"/>
    <w:rsid w:val="1E66F6CF"/>
    <w:rsid w:val="1E6984C7"/>
    <w:rsid w:val="1E6DFCC7"/>
    <w:rsid w:val="1E6E70C3"/>
    <w:rsid w:val="1E6EFE66"/>
    <w:rsid w:val="1E72A304"/>
    <w:rsid w:val="1E7EBBFF"/>
    <w:rsid w:val="1E7FB80A"/>
    <w:rsid w:val="1E803E69"/>
    <w:rsid w:val="1E81CE55"/>
    <w:rsid w:val="1E8279AF"/>
    <w:rsid w:val="1E84744A"/>
    <w:rsid w:val="1E872251"/>
    <w:rsid w:val="1E89197B"/>
    <w:rsid w:val="1E8F10B4"/>
    <w:rsid w:val="1E91D758"/>
    <w:rsid w:val="1E95DA79"/>
    <w:rsid w:val="1EA49F61"/>
    <w:rsid w:val="1EA72C0E"/>
    <w:rsid w:val="1EAEDBCA"/>
    <w:rsid w:val="1EB403B7"/>
    <w:rsid w:val="1EB55AED"/>
    <w:rsid w:val="1ED0B165"/>
    <w:rsid w:val="1ED4A2D2"/>
    <w:rsid w:val="1ED5B310"/>
    <w:rsid w:val="1EDE21CA"/>
    <w:rsid w:val="1EE19D2D"/>
    <w:rsid w:val="1EE4EBA8"/>
    <w:rsid w:val="1EE7BCE5"/>
    <w:rsid w:val="1F01C648"/>
    <w:rsid w:val="1F0B20FD"/>
    <w:rsid w:val="1F0D9404"/>
    <w:rsid w:val="1F142BC6"/>
    <w:rsid w:val="1F145B31"/>
    <w:rsid w:val="1F169CD8"/>
    <w:rsid w:val="1F1BDA2F"/>
    <w:rsid w:val="1F278501"/>
    <w:rsid w:val="1F28DA35"/>
    <w:rsid w:val="1F2FB0FB"/>
    <w:rsid w:val="1F307EA6"/>
    <w:rsid w:val="1F357793"/>
    <w:rsid w:val="1F387313"/>
    <w:rsid w:val="1F3D1520"/>
    <w:rsid w:val="1F489380"/>
    <w:rsid w:val="1F4A6CBA"/>
    <w:rsid w:val="1F4D747E"/>
    <w:rsid w:val="1F503996"/>
    <w:rsid w:val="1F541B0A"/>
    <w:rsid w:val="1F677BE1"/>
    <w:rsid w:val="1F749F0E"/>
    <w:rsid w:val="1F7F6AB0"/>
    <w:rsid w:val="1F911F40"/>
    <w:rsid w:val="1F92F410"/>
    <w:rsid w:val="1FA07D0D"/>
    <w:rsid w:val="1FA2FE83"/>
    <w:rsid w:val="1FB4249A"/>
    <w:rsid w:val="1FBCC780"/>
    <w:rsid w:val="1FBE8A77"/>
    <w:rsid w:val="1FCA3A95"/>
    <w:rsid w:val="1FD35FCB"/>
    <w:rsid w:val="1FD5CD53"/>
    <w:rsid w:val="1FDBAE19"/>
    <w:rsid w:val="1FDEE3EB"/>
    <w:rsid w:val="1FEC101A"/>
    <w:rsid w:val="1FF00368"/>
    <w:rsid w:val="1FF7A11D"/>
    <w:rsid w:val="1FF9DF47"/>
    <w:rsid w:val="1FFAF961"/>
    <w:rsid w:val="1FFCDD49"/>
    <w:rsid w:val="1FFD1044"/>
    <w:rsid w:val="20006C96"/>
    <w:rsid w:val="2007567C"/>
    <w:rsid w:val="20089DF2"/>
    <w:rsid w:val="200933D7"/>
    <w:rsid w:val="200A515F"/>
    <w:rsid w:val="200F3D84"/>
    <w:rsid w:val="20179E8B"/>
    <w:rsid w:val="20186E5E"/>
    <w:rsid w:val="201B9CDF"/>
    <w:rsid w:val="201D870F"/>
    <w:rsid w:val="20207F09"/>
    <w:rsid w:val="202129C2"/>
    <w:rsid w:val="2021D3B2"/>
    <w:rsid w:val="202537DF"/>
    <w:rsid w:val="2028FDF5"/>
    <w:rsid w:val="202968CE"/>
    <w:rsid w:val="202C9733"/>
    <w:rsid w:val="202E399B"/>
    <w:rsid w:val="20313149"/>
    <w:rsid w:val="203C47FA"/>
    <w:rsid w:val="2045EDF9"/>
    <w:rsid w:val="204FE1BF"/>
    <w:rsid w:val="205F3283"/>
    <w:rsid w:val="20640284"/>
    <w:rsid w:val="206A13E7"/>
    <w:rsid w:val="206B223E"/>
    <w:rsid w:val="206B360B"/>
    <w:rsid w:val="206C98F2"/>
    <w:rsid w:val="206F7FD8"/>
    <w:rsid w:val="20718371"/>
    <w:rsid w:val="2072A757"/>
    <w:rsid w:val="2075F132"/>
    <w:rsid w:val="208A564C"/>
    <w:rsid w:val="208D230F"/>
    <w:rsid w:val="2090D91F"/>
    <w:rsid w:val="20967BB9"/>
    <w:rsid w:val="2097A2E1"/>
    <w:rsid w:val="2099A2AE"/>
    <w:rsid w:val="20A1E504"/>
    <w:rsid w:val="20A510FF"/>
    <w:rsid w:val="20A54391"/>
    <w:rsid w:val="20A8FF2B"/>
    <w:rsid w:val="20B65852"/>
    <w:rsid w:val="20B6F6E0"/>
    <w:rsid w:val="20BAF559"/>
    <w:rsid w:val="20BB40DD"/>
    <w:rsid w:val="20C152B2"/>
    <w:rsid w:val="20C6B8A6"/>
    <w:rsid w:val="20C8500C"/>
    <w:rsid w:val="20CA3AB5"/>
    <w:rsid w:val="20CDC329"/>
    <w:rsid w:val="20D5FF28"/>
    <w:rsid w:val="20D690DC"/>
    <w:rsid w:val="20D83353"/>
    <w:rsid w:val="20DB8A78"/>
    <w:rsid w:val="20F681CB"/>
    <w:rsid w:val="20FF4443"/>
    <w:rsid w:val="210514FA"/>
    <w:rsid w:val="2106E026"/>
    <w:rsid w:val="210BEC1B"/>
    <w:rsid w:val="21118B11"/>
    <w:rsid w:val="21121192"/>
    <w:rsid w:val="2118A99A"/>
    <w:rsid w:val="2128281A"/>
    <w:rsid w:val="2138B03B"/>
    <w:rsid w:val="2140259C"/>
    <w:rsid w:val="2143C71E"/>
    <w:rsid w:val="214D9D61"/>
    <w:rsid w:val="214F1DB4"/>
    <w:rsid w:val="21591BFD"/>
    <w:rsid w:val="215E8543"/>
    <w:rsid w:val="21684205"/>
    <w:rsid w:val="216BE79C"/>
    <w:rsid w:val="216CEFFE"/>
    <w:rsid w:val="217CCA69"/>
    <w:rsid w:val="217E9CF4"/>
    <w:rsid w:val="21813427"/>
    <w:rsid w:val="218207BD"/>
    <w:rsid w:val="2187048F"/>
    <w:rsid w:val="21873DA5"/>
    <w:rsid w:val="219C7E2B"/>
    <w:rsid w:val="21A4149E"/>
    <w:rsid w:val="21AAEAF1"/>
    <w:rsid w:val="21AD18F5"/>
    <w:rsid w:val="21AE4B37"/>
    <w:rsid w:val="21B98D5B"/>
    <w:rsid w:val="21BAEF2B"/>
    <w:rsid w:val="21C4974D"/>
    <w:rsid w:val="21C6C25F"/>
    <w:rsid w:val="21C74FEA"/>
    <w:rsid w:val="21CE406C"/>
    <w:rsid w:val="21D0EA9E"/>
    <w:rsid w:val="21D9303A"/>
    <w:rsid w:val="21EF2DC2"/>
    <w:rsid w:val="21EF57BA"/>
    <w:rsid w:val="21EFAE32"/>
    <w:rsid w:val="21FBA92E"/>
    <w:rsid w:val="22007417"/>
    <w:rsid w:val="22133979"/>
    <w:rsid w:val="222A6CEE"/>
    <w:rsid w:val="2235C3E5"/>
    <w:rsid w:val="22386317"/>
    <w:rsid w:val="223CB00E"/>
    <w:rsid w:val="2240D751"/>
    <w:rsid w:val="22475E46"/>
    <w:rsid w:val="22588A66"/>
    <w:rsid w:val="225D6FC5"/>
    <w:rsid w:val="2272DD7A"/>
    <w:rsid w:val="228243E4"/>
    <w:rsid w:val="22865C4F"/>
    <w:rsid w:val="228AA03E"/>
    <w:rsid w:val="228B239F"/>
    <w:rsid w:val="228BF9BD"/>
    <w:rsid w:val="228D7135"/>
    <w:rsid w:val="2293AB68"/>
    <w:rsid w:val="2297EF75"/>
    <w:rsid w:val="2299F8FF"/>
    <w:rsid w:val="229F62DE"/>
    <w:rsid w:val="22A094C6"/>
    <w:rsid w:val="22ADE2A5"/>
    <w:rsid w:val="22B75078"/>
    <w:rsid w:val="22BDCFFA"/>
    <w:rsid w:val="22C70C3B"/>
    <w:rsid w:val="22DD8A45"/>
    <w:rsid w:val="22EC67CA"/>
    <w:rsid w:val="22F15140"/>
    <w:rsid w:val="22F8A8E8"/>
    <w:rsid w:val="22FD3B49"/>
    <w:rsid w:val="230A3878"/>
    <w:rsid w:val="231619F8"/>
    <w:rsid w:val="23168685"/>
    <w:rsid w:val="2318B541"/>
    <w:rsid w:val="231B5C7D"/>
    <w:rsid w:val="231D8EED"/>
    <w:rsid w:val="2320C375"/>
    <w:rsid w:val="2335E190"/>
    <w:rsid w:val="2342F5CB"/>
    <w:rsid w:val="234315E5"/>
    <w:rsid w:val="23443A0C"/>
    <w:rsid w:val="2348B753"/>
    <w:rsid w:val="234AE116"/>
    <w:rsid w:val="234E8DB9"/>
    <w:rsid w:val="234EB86F"/>
    <w:rsid w:val="23537BA8"/>
    <w:rsid w:val="235816DC"/>
    <w:rsid w:val="2359B03E"/>
    <w:rsid w:val="235DB19F"/>
    <w:rsid w:val="23626EA3"/>
    <w:rsid w:val="23701603"/>
    <w:rsid w:val="23701B82"/>
    <w:rsid w:val="23725636"/>
    <w:rsid w:val="2377A105"/>
    <w:rsid w:val="237BE50D"/>
    <w:rsid w:val="2382D7F4"/>
    <w:rsid w:val="23848DF4"/>
    <w:rsid w:val="238965C8"/>
    <w:rsid w:val="23970240"/>
    <w:rsid w:val="23A18067"/>
    <w:rsid w:val="23B8BC4C"/>
    <w:rsid w:val="23B90A8E"/>
    <w:rsid w:val="23EAF071"/>
    <w:rsid w:val="23ED5139"/>
    <w:rsid w:val="23F5A65C"/>
    <w:rsid w:val="23F7517C"/>
    <w:rsid w:val="23F7DFBD"/>
    <w:rsid w:val="23FD56CE"/>
    <w:rsid w:val="24075737"/>
    <w:rsid w:val="2409A213"/>
    <w:rsid w:val="241089B9"/>
    <w:rsid w:val="24141AFA"/>
    <w:rsid w:val="24185063"/>
    <w:rsid w:val="241D6F97"/>
    <w:rsid w:val="241F89E0"/>
    <w:rsid w:val="242D4B0B"/>
    <w:rsid w:val="24379263"/>
    <w:rsid w:val="2438C704"/>
    <w:rsid w:val="24399098"/>
    <w:rsid w:val="24433030"/>
    <w:rsid w:val="245E2BA3"/>
    <w:rsid w:val="2462CFCD"/>
    <w:rsid w:val="24647CCA"/>
    <w:rsid w:val="24651785"/>
    <w:rsid w:val="2469AFD8"/>
    <w:rsid w:val="24761A1C"/>
    <w:rsid w:val="247EAAEB"/>
    <w:rsid w:val="24897F65"/>
    <w:rsid w:val="248B68A9"/>
    <w:rsid w:val="2494F53B"/>
    <w:rsid w:val="2497E3EE"/>
    <w:rsid w:val="249C26EF"/>
    <w:rsid w:val="249F4961"/>
    <w:rsid w:val="24A767D4"/>
    <w:rsid w:val="24BD3A11"/>
    <w:rsid w:val="24C765C2"/>
    <w:rsid w:val="24C77661"/>
    <w:rsid w:val="24CA88E7"/>
    <w:rsid w:val="24CD6C04"/>
    <w:rsid w:val="24D18B61"/>
    <w:rsid w:val="24D6C5DE"/>
    <w:rsid w:val="24E3E578"/>
    <w:rsid w:val="24E5ABE2"/>
    <w:rsid w:val="24EA7D10"/>
    <w:rsid w:val="24F1585A"/>
    <w:rsid w:val="24F4636E"/>
    <w:rsid w:val="24F7A29F"/>
    <w:rsid w:val="250557B2"/>
    <w:rsid w:val="25092CC1"/>
    <w:rsid w:val="250FB92D"/>
    <w:rsid w:val="25168CA7"/>
    <w:rsid w:val="251BB196"/>
    <w:rsid w:val="251C4924"/>
    <w:rsid w:val="2521FE0D"/>
    <w:rsid w:val="252DF25D"/>
    <w:rsid w:val="2535A5E2"/>
    <w:rsid w:val="253A91AE"/>
    <w:rsid w:val="25542D2C"/>
    <w:rsid w:val="255932F2"/>
    <w:rsid w:val="256267A7"/>
    <w:rsid w:val="25634E01"/>
    <w:rsid w:val="256B767C"/>
    <w:rsid w:val="256CA3FE"/>
    <w:rsid w:val="256FDBFF"/>
    <w:rsid w:val="2571EE40"/>
    <w:rsid w:val="2576EEAB"/>
    <w:rsid w:val="25796CD5"/>
    <w:rsid w:val="257EF35C"/>
    <w:rsid w:val="258D0199"/>
    <w:rsid w:val="258F883C"/>
    <w:rsid w:val="259745D0"/>
    <w:rsid w:val="25988B08"/>
    <w:rsid w:val="259A66D3"/>
    <w:rsid w:val="259FD889"/>
    <w:rsid w:val="25A815F8"/>
    <w:rsid w:val="25B31B38"/>
    <w:rsid w:val="25B81E5A"/>
    <w:rsid w:val="25BA4F40"/>
    <w:rsid w:val="25C860BF"/>
    <w:rsid w:val="25CC1511"/>
    <w:rsid w:val="25DBE600"/>
    <w:rsid w:val="25E37521"/>
    <w:rsid w:val="25E61A40"/>
    <w:rsid w:val="25EB8305"/>
    <w:rsid w:val="25EBD8DD"/>
    <w:rsid w:val="25EF4F24"/>
    <w:rsid w:val="25F3AAF3"/>
    <w:rsid w:val="2606895E"/>
    <w:rsid w:val="2609684A"/>
    <w:rsid w:val="260E3EA4"/>
    <w:rsid w:val="26142258"/>
    <w:rsid w:val="2619906F"/>
    <w:rsid w:val="261BED72"/>
    <w:rsid w:val="2624E2FE"/>
    <w:rsid w:val="262A4580"/>
    <w:rsid w:val="262B22E1"/>
    <w:rsid w:val="262F7F93"/>
    <w:rsid w:val="263F8BF9"/>
    <w:rsid w:val="2655684A"/>
    <w:rsid w:val="267499A2"/>
    <w:rsid w:val="267653AC"/>
    <w:rsid w:val="2688FF12"/>
    <w:rsid w:val="268BDEAC"/>
    <w:rsid w:val="26941E02"/>
    <w:rsid w:val="2699EEA5"/>
    <w:rsid w:val="269BA55B"/>
    <w:rsid w:val="26A1FBF2"/>
    <w:rsid w:val="26AC10AA"/>
    <w:rsid w:val="26AFB96F"/>
    <w:rsid w:val="26B0B508"/>
    <w:rsid w:val="26B3D4C0"/>
    <w:rsid w:val="26B844EC"/>
    <w:rsid w:val="26BF8EF8"/>
    <w:rsid w:val="26CBC06E"/>
    <w:rsid w:val="26D674CE"/>
    <w:rsid w:val="26E6E4AE"/>
    <w:rsid w:val="26E8BE09"/>
    <w:rsid w:val="26F19D44"/>
    <w:rsid w:val="26F1CB03"/>
    <w:rsid w:val="26FF4009"/>
    <w:rsid w:val="270B1750"/>
    <w:rsid w:val="270BA95D"/>
    <w:rsid w:val="2710BF18"/>
    <w:rsid w:val="27116FF1"/>
    <w:rsid w:val="2717E423"/>
    <w:rsid w:val="271E8279"/>
    <w:rsid w:val="271EB390"/>
    <w:rsid w:val="272F47BE"/>
    <w:rsid w:val="2735504A"/>
    <w:rsid w:val="2735A4B6"/>
    <w:rsid w:val="27361C98"/>
    <w:rsid w:val="2737537A"/>
    <w:rsid w:val="2740B725"/>
    <w:rsid w:val="27421F0E"/>
    <w:rsid w:val="274412D2"/>
    <w:rsid w:val="2745D43B"/>
    <w:rsid w:val="2747DEFB"/>
    <w:rsid w:val="2749B732"/>
    <w:rsid w:val="274B47D4"/>
    <w:rsid w:val="274C6CDF"/>
    <w:rsid w:val="274DAB0A"/>
    <w:rsid w:val="274E6A11"/>
    <w:rsid w:val="27501854"/>
    <w:rsid w:val="2752EAB2"/>
    <w:rsid w:val="2764D8D4"/>
    <w:rsid w:val="276ED191"/>
    <w:rsid w:val="2774503F"/>
    <w:rsid w:val="277994B3"/>
    <w:rsid w:val="277E0C30"/>
    <w:rsid w:val="278096D1"/>
    <w:rsid w:val="2781FF81"/>
    <w:rsid w:val="278503DF"/>
    <w:rsid w:val="278B6334"/>
    <w:rsid w:val="27974E8D"/>
    <w:rsid w:val="27ADC724"/>
    <w:rsid w:val="27BD048C"/>
    <w:rsid w:val="27C25080"/>
    <w:rsid w:val="27C54896"/>
    <w:rsid w:val="27C651CB"/>
    <w:rsid w:val="27C660A3"/>
    <w:rsid w:val="27C73602"/>
    <w:rsid w:val="27C7C87D"/>
    <w:rsid w:val="27D0CB6E"/>
    <w:rsid w:val="27D410DF"/>
    <w:rsid w:val="27D53A07"/>
    <w:rsid w:val="27D90D35"/>
    <w:rsid w:val="27DBD1AB"/>
    <w:rsid w:val="27DDA99B"/>
    <w:rsid w:val="27E25EC3"/>
    <w:rsid w:val="27E8B73F"/>
    <w:rsid w:val="27EC1285"/>
    <w:rsid w:val="27F22721"/>
    <w:rsid w:val="27F5FF86"/>
    <w:rsid w:val="280758B2"/>
    <w:rsid w:val="280CC37E"/>
    <w:rsid w:val="280F54B8"/>
    <w:rsid w:val="281C6310"/>
    <w:rsid w:val="281D11F0"/>
    <w:rsid w:val="28204F27"/>
    <w:rsid w:val="282945D5"/>
    <w:rsid w:val="2837E992"/>
    <w:rsid w:val="2838A848"/>
    <w:rsid w:val="284809CC"/>
    <w:rsid w:val="284B9580"/>
    <w:rsid w:val="284D584B"/>
    <w:rsid w:val="28542088"/>
    <w:rsid w:val="285C9CD0"/>
    <w:rsid w:val="28673813"/>
    <w:rsid w:val="286902D9"/>
    <w:rsid w:val="287798AF"/>
    <w:rsid w:val="287BEBC1"/>
    <w:rsid w:val="287FF9E5"/>
    <w:rsid w:val="288CC21B"/>
    <w:rsid w:val="288EB1A5"/>
    <w:rsid w:val="289499CB"/>
    <w:rsid w:val="2899522F"/>
    <w:rsid w:val="28A6F247"/>
    <w:rsid w:val="28AFD6A6"/>
    <w:rsid w:val="28BA39E4"/>
    <w:rsid w:val="28BB9C58"/>
    <w:rsid w:val="28C15069"/>
    <w:rsid w:val="28C2A199"/>
    <w:rsid w:val="28C2DAD0"/>
    <w:rsid w:val="28C55C01"/>
    <w:rsid w:val="28CF95ED"/>
    <w:rsid w:val="28D40C3B"/>
    <w:rsid w:val="28D5D325"/>
    <w:rsid w:val="28D60F4A"/>
    <w:rsid w:val="28D7057D"/>
    <w:rsid w:val="28D7FD4C"/>
    <w:rsid w:val="28E1FAFB"/>
    <w:rsid w:val="28E55D31"/>
    <w:rsid w:val="28E5A766"/>
    <w:rsid w:val="28E767A7"/>
    <w:rsid w:val="28E89CA8"/>
    <w:rsid w:val="28EA906F"/>
    <w:rsid w:val="28EF40DA"/>
    <w:rsid w:val="28F77391"/>
    <w:rsid w:val="28F874E1"/>
    <w:rsid w:val="28FAA6DD"/>
    <w:rsid w:val="29018472"/>
    <w:rsid w:val="290C3827"/>
    <w:rsid w:val="29125DEE"/>
    <w:rsid w:val="291AE4C7"/>
    <w:rsid w:val="291D11FD"/>
    <w:rsid w:val="292AF713"/>
    <w:rsid w:val="29320C24"/>
    <w:rsid w:val="294DC0DA"/>
    <w:rsid w:val="2950915A"/>
    <w:rsid w:val="295BA5A5"/>
    <w:rsid w:val="2961E2D8"/>
    <w:rsid w:val="29678336"/>
    <w:rsid w:val="296F9812"/>
    <w:rsid w:val="2971DE79"/>
    <w:rsid w:val="29737D2D"/>
    <w:rsid w:val="297E2686"/>
    <w:rsid w:val="29808A78"/>
    <w:rsid w:val="29854C30"/>
    <w:rsid w:val="2987B7C7"/>
    <w:rsid w:val="2987F9D6"/>
    <w:rsid w:val="298941A1"/>
    <w:rsid w:val="298ABB12"/>
    <w:rsid w:val="298E77B9"/>
    <w:rsid w:val="2994877B"/>
    <w:rsid w:val="2995E8E2"/>
    <w:rsid w:val="2997BC24"/>
    <w:rsid w:val="299C2BD0"/>
    <w:rsid w:val="29A074E5"/>
    <w:rsid w:val="29B02313"/>
    <w:rsid w:val="29BC4256"/>
    <w:rsid w:val="29DEC742"/>
    <w:rsid w:val="29E105DC"/>
    <w:rsid w:val="29E2E757"/>
    <w:rsid w:val="29E8E9BC"/>
    <w:rsid w:val="29EC7E46"/>
    <w:rsid w:val="29EDC35B"/>
    <w:rsid w:val="29F4B52F"/>
    <w:rsid w:val="29FAC7C5"/>
    <w:rsid w:val="29FF8660"/>
    <w:rsid w:val="2A03227F"/>
    <w:rsid w:val="2A0965FD"/>
    <w:rsid w:val="2A09687C"/>
    <w:rsid w:val="2A0FC5BF"/>
    <w:rsid w:val="2A10CCFE"/>
    <w:rsid w:val="2A1495B9"/>
    <w:rsid w:val="2A25AADF"/>
    <w:rsid w:val="2A2AA652"/>
    <w:rsid w:val="2A2D1D0F"/>
    <w:rsid w:val="2A2F821D"/>
    <w:rsid w:val="2A39348B"/>
    <w:rsid w:val="2A403619"/>
    <w:rsid w:val="2A461E3F"/>
    <w:rsid w:val="2A4AB494"/>
    <w:rsid w:val="2A58787F"/>
    <w:rsid w:val="2A69FEA3"/>
    <w:rsid w:val="2A6BF398"/>
    <w:rsid w:val="2A6DCE23"/>
    <w:rsid w:val="2A7B73CD"/>
    <w:rsid w:val="2A990DF6"/>
    <w:rsid w:val="2A9B4779"/>
    <w:rsid w:val="2AA5BB24"/>
    <w:rsid w:val="2AA7B8FC"/>
    <w:rsid w:val="2AAAD65F"/>
    <w:rsid w:val="2AB38790"/>
    <w:rsid w:val="2AD1CE0F"/>
    <w:rsid w:val="2AE7276F"/>
    <w:rsid w:val="2AF009E4"/>
    <w:rsid w:val="2AF44DE5"/>
    <w:rsid w:val="2B11B227"/>
    <w:rsid w:val="2B1DA15A"/>
    <w:rsid w:val="2B1F7B45"/>
    <w:rsid w:val="2B214936"/>
    <w:rsid w:val="2B30A981"/>
    <w:rsid w:val="2B3C151B"/>
    <w:rsid w:val="2B417B38"/>
    <w:rsid w:val="2B434226"/>
    <w:rsid w:val="2B43A101"/>
    <w:rsid w:val="2B452D5D"/>
    <w:rsid w:val="2B46C8A5"/>
    <w:rsid w:val="2B4B5099"/>
    <w:rsid w:val="2B4DA9EA"/>
    <w:rsid w:val="2B519E9C"/>
    <w:rsid w:val="2B68C384"/>
    <w:rsid w:val="2B69054D"/>
    <w:rsid w:val="2B6BE437"/>
    <w:rsid w:val="2B81E220"/>
    <w:rsid w:val="2B86A1A4"/>
    <w:rsid w:val="2B8B4575"/>
    <w:rsid w:val="2B95801C"/>
    <w:rsid w:val="2B9593F2"/>
    <w:rsid w:val="2B9B8DFC"/>
    <w:rsid w:val="2B9CB5A8"/>
    <w:rsid w:val="2BA11D17"/>
    <w:rsid w:val="2BA64A36"/>
    <w:rsid w:val="2BAD9B4A"/>
    <w:rsid w:val="2BAEF9BB"/>
    <w:rsid w:val="2BAFD662"/>
    <w:rsid w:val="2BB022E8"/>
    <w:rsid w:val="2BB91C86"/>
    <w:rsid w:val="2BC087E5"/>
    <w:rsid w:val="2BC2DF48"/>
    <w:rsid w:val="2BC4A827"/>
    <w:rsid w:val="2BCD79DD"/>
    <w:rsid w:val="2BCF4515"/>
    <w:rsid w:val="2BDB1A93"/>
    <w:rsid w:val="2BE314FA"/>
    <w:rsid w:val="2BE9FD98"/>
    <w:rsid w:val="2BED5A26"/>
    <w:rsid w:val="2BEE0B07"/>
    <w:rsid w:val="2BF29CB3"/>
    <w:rsid w:val="2C0008C4"/>
    <w:rsid w:val="2C02A383"/>
    <w:rsid w:val="2C0BE3FB"/>
    <w:rsid w:val="2C0E6CDA"/>
    <w:rsid w:val="2C0F096D"/>
    <w:rsid w:val="2C0FE5C1"/>
    <w:rsid w:val="2C101603"/>
    <w:rsid w:val="2C14189B"/>
    <w:rsid w:val="2C16E7F0"/>
    <w:rsid w:val="2C181E24"/>
    <w:rsid w:val="2C1F8207"/>
    <w:rsid w:val="2C22C5CF"/>
    <w:rsid w:val="2C270912"/>
    <w:rsid w:val="2C27D1D9"/>
    <w:rsid w:val="2C2A75C7"/>
    <w:rsid w:val="2C3AD9BB"/>
    <w:rsid w:val="2C3CB4B9"/>
    <w:rsid w:val="2C425C0E"/>
    <w:rsid w:val="2C45A970"/>
    <w:rsid w:val="2C50D5BD"/>
    <w:rsid w:val="2C570F37"/>
    <w:rsid w:val="2C62ADE9"/>
    <w:rsid w:val="2C6303EA"/>
    <w:rsid w:val="2C6982D7"/>
    <w:rsid w:val="2C6ED854"/>
    <w:rsid w:val="2C7279EC"/>
    <w:rsid w:val="2C74B881"/>
    <w:rsid w:val="2C74FFAD"/>
    <w:rsid w:val="2C7C9946"/>
    <w:rsid w:val="2C83F6F1"/>
    <w:rsid w:val="2C86AC96"/>
    <w:rsid w:val="2C98EEAE"/>
    <w:rsid w:val="2C9A4A1D"/>
    <w:rsid w:val="2CA6B812"/>
    <w:rsid w:val="2CA7A389"/>
    <w:rsid w:val="2CB2ABF7"/>
    <w:rsid w:val="2CB3F169"/>
    <w:rsid w:val="2CB94F4A"/>
    <w:rsid w:val="2CBB6A32"/>
    <w:rsid w:val="2CBBAE79"/>
    <w:rsid w:val="2CBF3A2F"/>
    <w:rsid w:val="2CC01C6F"/>
    <w:rsid w:val="2CC74E55"/>
    <w:rsid w:val="2CC86B71"/>
    <w:rsid w:val="2CC970A9"/>
    <w:rsid w:val="2CD197AE"/>
    <w:rsid w:val="2CD275EE"/>
    <w:rsid w:val="2CD6271E"/>
    <w:rsid w:val="2CE3B75F"/>
    <w:rsid w:val="2CE672D6"/>
    <w:rsid w:val="2CEAED62"/>
    <w:rsid w:val="2CF2C272"/>
    <w:rsid w:val="2CF87608"/>
    <w:rsid w:val="2CFDE6B2"/>
    <w:rsid w:val="2D0027C4"/>
    <w:rsid w:val="2D02E941"/>
    <w:rsid w:val="2D0AEEC4"/>
    <w:rsid w:val="2D0EB2A3"/>
    <w:rsid w:val="2D14A8D8"/>
    <w:rsid w:val="2D1901C8"/>
    <w:rsid w:val="2D19DABB"/>
    <w:rsid w:val="2D1DFA85"/>
    <w:rsid w:val="2D21EC98"/>
    <w:rsid w:val="2D23998A"/>
    <w:rsid w:val="2D23F88D"/>
    <w:rsid w:val="2D35EC52"/>
    <w:rsid w:val="2D3691B8"/>
    <w:rsid w:val="2D4A8C41"/>
    <w:rsid w:val="2D5D278A"/>
    <w:rsid w:val="2D5EAFA9"/>
    <w:rsid w:val="2D638380"/>
    <w:rsid w:val="2D63EC5D"/>
    <w:rsid w:val="2D6734BB"/>
    <w:rsid w:val="2D673990"/>
    <w:rsid w:val="2D676821"/>
    <w:rsid w:val="2D69014C"/>
    <w:rsid w:val="2D6FF6EC"/>
    <w:rsid w:val="2D725407"/>
    <w:rsid w:val="2D7713F8"/>
    <w:rsid w:val="2D7B42F7"/>
    <w:rsid w:val="2D7BE10E"/>
    <w:rsid w:val="2D8366C2"/>
    <w:rsid w:val="2D84E15F"/>
    <w:rsid w:val="2D8B7008"/>
    <w:rsid w:val="2D8C2F20"/>
    <w:rsid w:val="2D8D9C36"/>
    <w:rsid w:val="2D9CCD9D"/>
    <w:rsid w:val="2DA27F75"/>
    <w:rsid w:val="2DAEA945"/>
    <w:rsid w:val="2DB54616"/>
    <w:rsid w:val="2DB5FEEE"/>
    <w:rsid w:val="2DB7C7A0"/>
    <w:rsid w:val="2DB8E633"/>
    <w:rsid w:val="2DBE1AC7"/>
    <w:rsid w:val="2DC2545A"/>
    <w:rsid w:val="2DCA5C45"/>
    <w:rsid w:val="2DD3AE54"/>
    <w:rsid w:val="2DD7C9D2"/>
    <w:rsid w:val="2DDEB3BF"/>
    <w:rsid w:val="2DE21773"/>
    <w:rsid w:val="2DE2ED21"/>
    <w:rsid w:val="2DE4B16E"/>
    <w:rsid w:val="2DF74823"/>
    <w:rsid w:val="2E047663"/>
    <w:rsid w:val="2E1618C2"/>
    <w:rsid w:val="2E1869A7"/>
    <w:rsid w:val="2E2AD2FE"/>
    <w:rsid w:val="2E2E8BF1"/>
    <w:rsid w:val="2E319204"/>
    <w:rsid w:val="2E4D69FF"/>
    <w:rsid w:val="2E6453E6"/>
    <w:rsid w:val="2E788BF8"/>
    <w:rsid w:val="2E7AD06D"/>
    <w:rsid w:val="2E7DC834"/>
    <w:rsid w:val="2E7F1E38"/>
    <w:rsid w:val="2E80BD5B"/>
    <w:rsid w:val="2E894174"/>
    <w:rsid w:val="2E8A56D1"/>
    <w:rsid w:val="2E8DD636"/>
    <w:rsid w:val="2E91D245"/>
    <w:rsid w:val="2E9BB9CD"/>
    <w:rsid w:val="2E9E1EFF"/>
    <w:rsid w:val="2E9F9EA0"/>
    <w:rsid w:val="2EA8C191"/>
    <w:rsid w:val="2EB3DF9F"/>
    <w:rsid w:val="2EBADF1E"/>
    <w:rsid w:val="2EC29DC9"/>
    <w:rsid w:val="2EC2EEDE"/>
    <w:rsid w:val="2EC775B5"/>
    <w:rsid w:val="2EC90813"/>
    <w:rsid w:val="2ED5130F"/>
    <w:rsid w:val="2ED60C56"/>
    <w:rsid w:val="2ED92321"/>
    <w:rsid w:val="2EDAFFDD"/>
    <w:rsid w:val="2EE572DC"/>
    <w:rsid w:val="2EE5C757"/>
    <w:rsid w:val="2EF3FEF3"/>
    <w:rsid w:val="2EF85AF0"/>
    <w:rsid w:val="2EFAD4CF"/>
    <w:rsid w:val="2EFBD902"/>
    <w:rsid w:val="2F0634EC"/>
    <w:rsid w:val="2F0E10B1"/>
    <w:rsid w:val="2F11A25F"/>
    <w:rsid w:val="2F144EDA"/>
    <w:rsid w:val="2F1B7AAD"/>
    <w:rsid w:val="2F1FBD8E"/>
    <w:rsid w:val="2F2D7F54"/>
    <w:rsid w:val="2F2ED300"/>
    <w:rsid w:val="2F3EBDE7"/>
    <w:rsid w:val="2F44E177"/>
    <w:rsid w:val="2F4A7F7B"/>
    <w:rsid w:val="2F560BDA"/>
    <w:rsid w:val="2F566411"/>
    <w:rsid w:val="2F73B1DE"/>
    <w:rsid w:val="2F778B68"/>
    <w:rsid w:val="2F7A6DDF"/>
    <w:rsid w:val="2F8CC92C"/>
    <w:rsid w:val="2F93A35C"/>
    <w:rsid w:val="2F99E72E"/>
    <w:rsid w:val="2F9A4EAB"/>
    <w:rsid w:val="2FA8CBD0"/>
    <w:rsid w:val="2FAA463A"/>
    <w:rsid w:val="2FAAA258"/>
    <w:rsid w:val="2FB20B38"/>
    <w:rsid w:val="2FBB5EE8"/>
    <w:rsid w:val="2FC091DA"/>
    <w:rsid w:val="2FDF3F4C"/>
    <w:rsid w:val="2FE9392E"/>
    <w:rsid w:val="2FEA4CB9"/>
    <w:rsid w:val="2FED9ECE"/>
    <w:rsid w:val="2FF03DE7"/>
    <w:rsid w:val="2FF6AD41"/>
    <w:rsid w:val="2FF71FAD"/>
    <w:rsid w:val="2FF97288"/>
    <w:rsid w:val="30000C33"/>
    <w:rsid w:val="30160A78"/>
    <w:rsid w:val="301E9582"/>
    <w:rsid w:val="30208B1C"/>
    <w:rsid w:val="302E3F01"/>
    <w:rsid w:val="3037DEB8"/>
    <w:rsid w:val="3039BD3A"/>
    <w:rsid w:val="303B74F5"/>
    <w:rsid w:val="303C5D34"/>
    <w:rsid w:val="3040FB32"/>
    <w:rsid w:val="30484C54"/>
    <w:rsid w:val="30485713"/>
    <w:rsid w:val="304916AB"/>
    <w:rsid w:val="305C9CC0"/>
    <w:rsid w:val="3061F147"/>
    <w:rsid w:val="3068AA9B"/>
    <w:rsid w:val="307FC3F8"/>
    <w:rsid w:val="3086D56A"/>
    <w:rsid w:val="30888CE8"/>
    <w:rsid w:val="3089E411"/>
    <w:rsid w:val="308A3DF5"/>
    <w:rsid w:val="308C5D79"/>
    <w:rsid w:val="308EC334"/>
    <w:rsid w:val="30994567"/>
    <w:rsid w:val="30A12848"/>
    <w:rsid w:val="30A38A90"/>
    <w:rsid w:val="30A6966A"/>
    <w:rsid w:val="30ACAA5C"/>
    <w:rsid w:val="30B0E51E"/>
    <w:rsid w:val="30B3CE31"/>
    <w:rsid w:val="30BA0BE7"/>
    <w:rsid w:val="30C602D2"/>
    <w:rsid w:val="30C7EEC6"/>
    <w:rsid w:val="30CBD2FF"/>
    <w:rsid w:val="30CBDF99"/>
    <w:rsid w:val="30CE5988"/>
    <w:rsid w:val="30D2719B"/>
    <w:rsid w:val="30D67319"/>
    <w:rsid w:val="30E3A0BD"/>
    <w:rsid w:val="30EA4639"/>
    <w:rsid w:val="30EC2A9C"/>
    <w:rsid w:val="30EFAC89"/>
    <w:rsid w:val="30F01F25"/>
    <w:rsid w:val="30F1590C"/>
    <w:rsid w:val="30F1B45E"/>
    <w:rsid w:val="30F286A7"/>
    <w:rsid w:val="30FAD557"/>
    <w:rsid w:val="30FDC5BD"/>
    <w:rsid w:val="31084666"/>
    <w:rsid w:val="310ADA6C"/>
    <w:rsid w:val="310E57FF"/>
    <w:rsid w:val="3116068D"/>
    <w:rsid w:val="312A9114"/>
    <w:rsid w:val="312BCF35"/>
    <w:rsid w:val="31314F6E"/>
    <w:rsid w:val="3139B793"/>
    <w:rsid w:val="313AD4A4"/>
    <w:rsid w:val="314019B2"/>
    <w:rsid w:val="314A38CF"/>
    <w:rsid w:val="3151DE63"/>
    <w:rsid w:val="31545F08"/>
    <w:rsid w:val="316A38E9"/>
    <w:rsid w:val="316A4C14"/>
    <w:rsid w:val="316C1B7C"/>
    <w:rsid w:val="3176B927"/>
    <w:rsid w:val="3178A424"/>
    <w:rsid w:val="317E60CE"/>
    <w:rsid w:val="3180DC76"/>
    <w:rsid w:val="3187F8EE"/>
    <w:rsid w:val="318E1DD7"/>
    <w:rsid w:val="318F1E8D"/>
    <w:rsid w:val="318FD0DC"/>
    <w:rsid w:val="319AA4FB"/>
    <w:rsid w:val="31A1DB09"/>
    <w:rsid w:val="31A26D17"/>
    <w:rsid w:val="31A81664"/>
    <w:rsid w:val="31A8C418"/>
    <w:rsid w:val="31B05B0F"/>
    <w:rsid w:val="31C0CF40"/>
    <w:rsid w:val="31C763BD"/>
    <w:rsid w:val="31CF63C0"/>
    <w:rsid w:val="31D224CA"/>
    <w:rsid w:val="31E61A00"/>
    <w:rsid w:val="31E7CCBF"/>
    <w:rsid w:val="31EB966A"/>
    <w:rsid w:val="31F54D52"/>
    <w:rsid w:val="31F88278"/>
    <w:rsid w:val="320674D5"/>
    <w:rsid w:val="320D8719"/>
    <w:rsid w:val="3215E56A"/>
    <w:rsid w:val="321A33A5"/>
    <w:rsid w:val="321B7E80"/>
    <w:rsid w:val="322BE8E1"/>
    <w:rsid w:val="322DE909"/>
    <w:rsid w:val="322FFBB2"/>
    <w:rsid w:val="3236D4EC"/>
    <w:rsid w:val="3237CD5E"/>
    <w:rsid w:val="323FDC14"/>
    <w:rsid w:val="324CBD1F"/>
    <w:rsid w:val="325094B9"/>
    <w:rsid w:val="325404AD"/>
    <w:rsid w:val="325EC738"/>
    <w:rsid w:val="3265BC21"/>
    <w:rsid w:val="3268E5D9"/>
    <w:rsid w:val="326E2186"/>
    <w:rsid w:val="32808485"/>
    <w:rsid w:val="32865D3A"/>
    <w:rsid w:val="328E853E"/>
    <w:rsid w:val="328F0CF0"/>
    <w:rsid w:val="32961B03"/>
    <w:rsid w:val="32969410"/>
    <w:rsid w:val="3298D995"/>
    <w:rsid w:val="329963CD"/>
    <w:rsid w:val="329E4E5A"/>
    <w:rsid w:val="32A7A6F6"/>
    <w:rsid w:val="32B1CB0C"/>
    <w:rsid w:val="32B474FE"/>
    <w:rsid w:val="32B79C9E"/>
    <w:rsid w:val="32BE5F65"/>
    <w:rsid w:val="32C57021"/>
    <w:rsid w:val="32C77A94"/>
    <w:rsid w:val="32DF5011"/>
    <w:rsid w:val="32E10609"/>
    <w:rsid w:val="32E1FB94"/>
    <w:rsid w:val="32E6BBFD"/>
    <w:rsid w:val="32EAD413"/>
    <w:rsid w:val="32F02F69"/>
    <w:rsid w:val="32F54C37"/>
    <w:rsid w:val="3312C395"/>
    <w:rsid w:val="331E67DE"/>
    <w:rsid w:val="3326A677"/>
    <w:rsid w:val="33310118"/>
    <w:rsid w:val="3332FA27"/>
    <w:rsid w:val="333B1807"/>
    <w:rsid w:val="3341D70A"/>
    <w:rsid w:val="334B6A73"/>
    <w:rsid w:val="334D2643"/>
    <w:rsid w:val="3350DDC7"/>
    <w:rsid w:val="335F8B38"/>
    <w:rsid w:val="33642FCF"/>
    <w:rsid w:val="3371AFDF"/>
    <w:rsid w:val="337282CF"/>
    <w:rsid w:val="337527E4"/>
    <w:rsid w:val="337FC565"/>
    <w:rsid w:val="338150DF"/>
    <w:rsid w:val="33936BE7"/>
    <w:rsid w:val="33A26265"/>
    <w:rsid w:val="33A4CCDF"/>
    <w:rsid w:val="33A53A80"/>
    <w:rsid w:val="33B7095A"/>
    <w:rsid w:val="33BA6C74"/>
    <w:rsid w:val="33C7AAD9"/>
    <w:rsid w:val="33E29A9D"/>
    <w:rsid w:val="33F05C43"/>
    <w:rsid w:val="33F5ACAE"/>
    <w:rsid w:val="33FB31CD"/>
    <w:rsid w:val="33FBA6C0"/>
    <w:rsid w:val="34009FA7"/>
    <w:rsid w:val="340320C2"/>
    <w:rsid w:val="340D6B63"/>
    <w:rsid w:val="342805C3"/>
    <w:rsid w:val="34402B9D"/>
    <w:rsid w:val="34451692"/>
    <w:rsid w:val="34517885"/>
    <w:rsid w:val="3452F567"/>
    <w:rsid w:val="346A4E6B"/>
    <w:rsid w:val="347B2352"/>
    <w:rsid w:val="347E6333"/>
    <w:rsid w:val="34827D56"/>
    <w:rsid w:val="3488877F"/>
    <w:rsid w:val="3488F870"/>
    <w:rsid w:val="348A2C6D"/>
    <w:rsid w:val="348D39C2"/>
    <w:rsid w:val="348E6389"/>
    <w:rsid w:val="34910577"/>
    <w:rsid w:val="349ABF57"/>
    <w:rsid w:val="349C0298"/>
    <w:rsid w:val="34A5020B"/>
    <w:rsid w:val="34A91B2B"/>
    <w:rsid w:val="34B2B56E"/>
    <w:rsid w:val="34B6D726"/>
    <w:rsid w:val="34B966DC"/>
    <w:rsid w:val="34BD33A6"/>
    <w:rsid w:val="34BDE918"/>
    <w:rsid w:val="34C30B5D"/>
    <w:rsid w:val="34C935B6"/>
    <w:rsid w:val="34D23E96"/>
    <w:rsid w:val="34D2D0D5"/>
    <w:rsid w:val="34D5F160"/>
    <w:rsid w:val="34D756F4"/>
    <w:rsid w:val="34D9B1D7"/>
    <w:rsid w:val="34DF4ED9"/>
    <w:rsid w:val="34E41650"/>
    <w:rsid w:val="34E8148E"/>
    <w:rsid w:val="34EB51AF"/>
    <w:rsid w:val="34EC3302"/>
    <w:rsid w:val="34EC7C26"/>
    <w:rsid w:val="34F1AB9D"/>
    <w:rsid w:val="350AB914"/>
    <w:rsid w:val="35138611"/>
    <w:rsid w:val="3516A307"/>
    <w:rsid w:val="35197B4B"/>
    <w:rsid w:val="3519ABAB"/>
    <w:rsid w:val="351F7866"/>
    <w:rsid w:val="35228043"/>
    <w:rsid w:val="3526E281"/>
    <w:rsid w:val="35273B1E"/>
    <w:rsid w:val="352CDDD1"/>
    <w:rsid w:val="3532300E"/>
    <w:rsid w:val="353A8292"/>
    <w:rsid w:val="3543A51D"/>
    <w:rsid w:val="3555C1D2"/>
    <w:rsid w:val="355C4AA2"/>
    <w:rsid w:val="355CF079"/>
    <w:rsid w:val="35627B4F"/>
    <w:rsid w:val="356DEFAB"/>
    <w:rsid w:val="357E9B68"/>
    <w:rsid w:val="35812C9F"/>
    <w:rsid w:val="3588357B"/>
    <w:rsid w:val="3599201A"/>
    <w:rsid w:val="35A1F343"/>
    <w:rsid w:val="35A3408D"/>
    <w:rsid w:val="35A5D5EB"/>
    <w:rsid w:val="35A91F7C"/>
    <w:rsid w:val="35B05D78"/>
    <w:rsid w:val="35B6BA0D"/>
    <w:rsid w:val="35BDA785"/>
    <w:rsid w:val="35C55C2C"/>
    <w:rsid w:val="35D2FA2F"/>
    <w:rsid w:val="35DBBDCC"/>
    <w:rsid w:val="35DD086E"/>
    <w:rsid w:val="35E8A4F7"/>
    <w:rsid w:val="35EE31CB"/>
    <w:rsid w:val="35EEA8F4"/>
    <w:rsid w:val="35EF9E36"/>
    <w:rsid w:val="35FDA229"/>
    <w:rsid w:val="360610C6"/>
    <w:rsid w:val="361320BE"/>
    <w:rsid w:val="36189EA8"/>
    <w:rsid w:val="361A4BEA"/>
    <w:rsid w:val="36210B3F"/>
    <w:rsid w:val="3622B064"/>
    <w:rsid w:val="36232CCE"/>
    <w:rsid w:val="36234CC4"/>
    <w:rsid w:val="362818DD"/>
    <w:rsid w:val="362D53F8"/>
    <w:rsid w:val="3643F8E8"/>
    <w:rsid w:val="3644DC9C"/>
    <w:rsid w:val="364D2077"/>
    <w:rsid w:val="3654F5FA"/>
    <w:rsid w:val="3655F164"/>
    <w:rsid w:val="365A8884"/>
    <w:rsid w:val="3666C255"/>
    <w:rsid w:val="36769094"/>
    <w:rsid w:val="3681F8BB"/>
    <w:rsid w:val="36AC1B60"/>
    <w:rsid w:val="36B20860"/>
    <w:rsid w:val="36C05BD8"/>
    <w:rsid w:val="36CE291E"/>
    <w:rsid w:val="36DCA94E"/>
    <w:rsid w:val="36E3F7B3"/>
    <w:rsid w:val="36E62F1C"/>
    <w:rsid w:val="36E6B8B2"/>
    <w:rsid w:val="36EA5C24"/>
    <w:rsid w:val="36F5A2FC"/>
    <w:rsid w:val="36FCEBE3"/>
    <w:rsid w:val="36FD2A41"/>
    <w:rsid w:val="370B7C7B"/>
    <w:rsid w:val="370CC5C5"/>
    <w:rsid w:val="37109462"/>
    <w:rsid w:val="37172171"/>
    <w:rsid w:val="371E97D4"/>
    <w:rsid w:val="3729CC80"/>
    <w:rsid w:val="3729F71B"/>
    <w:rsid w:val="372CE4C9"/>
    <w:rsid w:val="3731FBCE"/>
    <w:rsid w:val="3732EFD1"/>
    <w:rsid w:val="3738D50D"/>
    <w:rsid w:val="37419BE8"/>
    <w:rsid w:val="3741DF03"/>
    <w:rsid w:val="374D6448"/>
    <w:rsid w:val="374DF772"/>
    <w:rsid w:val="3750895E"/>
    <w:rsid w:val="3758A12A"/>
    <w:rsid w:val="375DA1C7"/>
    <w:rsid w:val="37689DD6"/>
    <w:rsid w:val="376BBC44"/>
    <w:rsid w:val="376D6B1C"/>
    <w:rsid w:val="378919B4"/>
    <w:rsid w:val="378BA8BD"/>
    <w:rsid w:val="378F43E3"/>
    <w:rsid w:val="379F9DE6"/>
    <w:rsid w:val="37A6309D"/>
    <w:rsid w:val="37A86F62"/>
    <w:rsid w:val="37A9F0C3"/>
    <w:rsid w:val="37B1B47E"/>
    <w:rsid w:val="37B3D94F"/>
    <w:rsid w:val="37BC100F"/>
    <w:rsid w:val="37BD2E60"/>
    <w:rsid w:val="37C32D57"/>
    <w:rsid w:val="37D19ADE"/>
    <w:rsid w:val="37DA657F"/>
    <w:rsid w:val="37DF16A7"/>
    <w:rsid w:val="37E31B50"/>
    <w:rsid w:val="37E423C7"/>
    <w:rsid w:val="37E7CD7B"/>
    <w:rsid w:val="37F6A95B"/>
    <w:rsid w:val="38089CD1"/>
    <w:rsid w:val="380B362C"/>
    <w:rsid w:val="38115F65"/>
    <w:rsid w:val="38118E7A"/>
    <w:rsid w:val="38176B59"/>
    <w:rsid w:val="38261541"/>
    <w:rsid w:val="3826F247"/>
    <w:rsid w:val="3832D3E1"/>
    <w:rsid w:val="3833A5AF"/>
    <w:rsid w:val="3843B0C8"/>
    <w:rsid w:val="3850ADD7"/>
    <w:rsid w:val="385F4B7A"/>
    <w:rsid w:val="38630201"/>
    <w:rsid w:val="38686951"/>
    <w:rsid w:val="3868D81D"/>
    <w:rsid w:val="386B5599"/>
    <w:rsid w:val="386C3C59"/>
    <w:rsid w:val="3875CBBA"/>
    <w:rsid w:val="3875FF3F"/>
    <w:rsid w:val="3886FC99"/>
    <w:rsid w:val="38898E62"/>
    <w:rsid w:val="388A2FBF"/>
    <w:rsid w:val="388C3135"/>
    <w:rsid w:val="388C8FE6"/>
    <w:rsid w:val="3897AB59"/>
    <w:rsid w:val="3899E66F"/>
    <w:rsid w:val="389D6C0C"/>
    <w:rsid w:val="389E61D9"/>
    <w:rsid w:val="38A928BC"/>
    <w:rsid w:val="38A95529"/>
    <w:rsid w:val="38B044E5"/>
    <w:rsid w:val="38B21512"/>
    <w:rsid w:val="38C0659D"/>
    <w:rsid w:val="38C10698"/>
    <w:rsid w:val="38C7BFBA"/>
    <w:rsid w:val="38CA02E2"/>
    <w:rsid w:val="38D19412"/>
    <w:rsid w:val="38D275B9"/>
    <w:rsid w:val="38E68DD0"/>
    <w:rsid w:val="38E8AF7F"/>
    <w:rsid w:val="38EEDED6"/>
    <w:rsid w:val="38F5A1B7"/>
    <w:rsid w:val="38FB4ADE"/>
    <w:rsid w:val="391266E8"/>
    <w:rsid w:val="391397FD"/>
    <w:rsid w:val="39167C04"/>
    <w:rsid w:val="391CC2A6"/>
    <w:rsid w:val="391E3F86"/>
    <w:rsid w:val="3924F019"/>
    <w:rsid w:val="3925C841"/>
    <w:rsid w:val="392791EE"/>
    <w:rsid w:val="392D0597"/>
    <w:rsid w:val="393287EB"/>
    <w:rsid w:val="393454B3"/>
    <w:rsid w:val="393DCA15"/>
    <w:rsid w:val="3944DEC6"/>
    <w:rsid w:val="39457359"/>
    <w:rsid w:val="39494AE1"/>
    <w:rsid w:val="394C5D7D"/>
    <w:rsid w:val="39585DDC"/>
    <w:rsid w:val="39606E8B"/>
    <w:rsid w:val="39640DB8"/>
    <w:rsid w:val="39673207"/>
    <w:rsid w:val="397385DC"/>
    <w:rsid w:val="3975B25E"/>
    <w:rsid w:val="39772D61"/>
    <w:rsid w:val="397804D4"/>
    <w:rsid w:val="3980717D"/>
    <w:rsid w:val="39842F03"/>
    <w:rsid w:val="39922CC3"/>
    <w:rsid w:val="399BCEA1"/>
    <w:rsid w:val="39AD528E"/>
    <w:rsid w:val="39B1E009"/>
    <w:rsid w:val="39B2A5B0"/>
    <w:rsid w:val="39B3D818"/>
    <w:rsid w:val="39B87025"/>
    <w:rsid w:val="39BC4A6B"/>
    <w:rsid w:val="39C0BD10"/>
    <w:rsid w:val="39C8CF47"/>
    <w:rsid w:val="39CB1918"/>
    <w:rsid w:val="39CDA2BA"/>
    <w:rsid w:val="39CDA613"/>
    <w:rsid w:val="39CF1522"/>
    <w:rsid w:val="39D20179"/>
    <w:rsid w:val="39DD634E"/>
    <w:rsid w:val="39EDC9B7"/>
    <w:rsid w:val="3A0A40A2"/>
    <w:rsid w:val="3A1030D0"/>
    <w:rsid w:val="3A1DCA72"/>
    <w:rsid w:val="3A2A66A4"/>
    <w:rsid w:val="3A2B7C5A"/>
    <w:rsid w:val="3A37B350"/>
    <w:rsid w:val="3A37D998"/>
    <w:rsid w:val="3A3A653C"/>
    <w:rsid w:val="3A3FD716"/>
    <w:rsid w:val="3A401CAC"/>
    <w:rsid w:val="3A4B93C1"/>
    <w:rsid w:val="3A4D3C2B"/>
    <w:rsid w:val="3A4EF031"/>
    <w:rsid w:val="3A52102A"/>
    <w:rsid w:val="3A56568D"/>
    <w:rsid w:val="3A57F5EC"/>
    <w:rsid w:val="3A5CAE13"/>
    <w:rsid w:val="3A5D8F3B"/>
    <w:rsid w:val="3A659B93"/>
    <w:rsid w:val="3A673689"/>
    <w:rsid w:val="3A6AFCB1"/>
    <w:rsid w:val="3A6C8F11"/>
    <w:rsid w:val="3A6D9635"/>
    <w:rsid w:val="3A70068C"/>
    <w:rsid w:val="3A80DFF3"/>
    <w:rsid w:val="3A8796FC"/>
    <w:rsid w:val="3A917FED"/>
    <w:rsid w:val="3A956175"/>
    <w:rsid w:val="3A959F67"/>
    <w:rsid w:val="3A978FAF"/>
    <w:rsid w:val="3A9F3352"/>
    <w:rsid w:val="3AA019D1"/>
    <w:rsid w:val="3AB66D7C"/>
    <w:rsid w:val="3AC161A2"/>
    <w:rsid w:val="3AC6E886"/>
    <w:rsid w:val="3ACF82EE"/>
    <w:rsid w:val="3AD204A1"/>
    <w:rsid w:val="3AD24DAC"/>
    <w:rsid w:val="3AD63F8A"/>
    <w:rsid w:val="3ADC56BE"/>
    <w:rsid w:val="3AE58E02"/>
    <w:rsid w:val="3AE792CB"/>
    <w:rsid w:val="3AF108D8"/>
    <w:rsid w:val="3AF3EECD"/>
    <w:rsid w:val="3AF76D89"/>
    <w:rsid w:val="3AFA40E3"/>
    <w:rsid w:val="3AFDE0D1"/>
    <w:rsid w:val="3B088C48"/>
    <w:rsid w:val="3B0B441C"/>
    <w:rsid w:val="3B0FC2D3"/>
    <w:rsid w:val="3B174416"/>
    <w:rsid w:val="3B192484"/>
    <w:rsid w:val="3B20BEB9"/>
    <w:rsid w:val="3B2421B9"/>
    <w:rsid w:val="3B2B9956"/>
    <w:rsid w:val="3B2BAC83"/>
    <w:rsid w:val="3B2C9330"/>
    <w:rsid w:val="3B2D23E3"/>
    <w:rsid w:val="3B3056CE"/>
    <w:rsid w:val="3B31B528"/>
    <w:rsid w:val="3B3C36CA"/>
    <w:rsid w:val="3B3E74E6"/>
    <w:rsid w:val="3B585AF8"/>
    <w:rsid w:val="3B590895"/>
    <w:rsid w:val="3B5B316D"/>
    <w:rsid w:val="3B6D9B75"/>
    <w:rsid w:val="3B77E180"/>
    <w:rsid w:val="3B8B175A"/>
    <w:rsid w:val="3B8C9138"/>
    <w:rsid w:val="3B9305D4"/>
    <w:rsid w:val="3B9D1C0D"/>
    <w:rsid w:val="3B9E21A5"/>
    <w:rsid w:val="3BA2913B"/>
    <w:rsid w:val="3BA42FDE"/>
    <w:rsid w:val="3BAAAC0E"/>
    <w:rsid w:val="3BB6604B"/>
    <w:rsid w:val="3BBCC41C"/>
    <w:rsid w:val="3BBE986D"/>
    <w:rsid w:val="3BC3E95B"/>
    <w:rsid w:val="3BC7C89D"/>
    <w:rsid w:val="3BC8ECD5"/>
    <w:rsid w:val="3BCAB2D7"/>
    <w:rsid w:val="3BDA0BD7"/>
    <w:rsid w:val="3BECAAA7"/>
    <w:rsid w:val="3BF2DE55"/>
    <w:rsid w:val="3BF4547B"/>
    <w:rsid w:val="3BF80BAC"/>
    <w:rsid w:val="3BFC3F23"/>
    <w:rsid w:val="3C01ACD7"/>
    <w:rsid w:val="3C08DF68"/>
    <w:rsid w:val="3C094B6B"/>
    <w:rsid w:val="3C0BDE1F"/>
    <w:rsid w:val="3C0EA358"/>
    <w:rsid w:val="3C104E97"/>
    <w:rsid w:val="3C156750"/>
    <w:rsid w:val="3C1621C9"/>
    <w:rsid w:val="3C22BD24"/>
    <w:rsid w:val="3C3313D9"/>
    <w:rsid w:val="3C33275E"/>
    <w:rsid w:val="3C33B559"/>
    <w:rsid w:val="3C360D38"/>
    <w:rsid w:val="3C3620A1"/>
    <w:rsid w:val="3C378705"/>
    <w:rsid w:val="3C56A32E"/>
    <w:rsid w:val="3C5C5FE9"/>
    <w:rsid w:val="3C64155D"/>
    <w:rsid w:val="3C64CC30"/>
    <w:rsid w:val="3C653F74"/>
    <w:rsid w:val="3C65F88E"/>
    <w:rsid w:val="3C6B2F31"/>
    <w:rsid w:val="3C6BB2B4"/>
    <w:rsid w:val="3C6EA556"/>
    <w:rsid w:val="3C8C5A34"/>
    <w:rsid w:val="3C98F14F"/>
    <w:rsid w:val="3C997F7D"/>
    <w:rsid w:val="3C9EF080"/>
    <w:rsid w:val="3C9F625D"/>
    <w:rsid w:val="3CA55E61"/>
    <w:rsid w:val="3CAAC7E9"/>
    <w:rsid w:val="3CB1CB23"/>
    <w:rsid w:val="3CBD77DE"/>
    <w:rsid w:val="3CBD7A0D"/>
    <w:rsid w:val="3CBFE919"/>
    <w:rsid w:val="3CCA38D7"/>
    <w:rsid w:val="3CCB1762"/>
    <w:rsid w:val="3CD6BA03"/>
    <w:rsid w:val="3CD71C17"/>
    <w:rsid w:val="3CDE8FEB"/>
    <w:rsid w:val="3CF7F50F"/>
    <w:rsid w:val="3CF9E67E"/>
    <w:rsid w:val="3CFD663A"/>
    <w:rsid w:val="3D00615A"/>
    <w:rsid w:val="3D05A67B"/>
    <w:rsid w:val="3D0AE108"/>
    <w:rsid w:val="3D0E4D10"/>
    <w:rsid w:val="3D2036C3"/>
    <w:rsid w:val="3D2ACA97"/>
    <w:rsid w:val="3D2BC5AD"/>
    <w:rsid w:val="3D2CCF5D"/>
    <w:rsid w:val="3D2E7355"/>
    <w:rsid w:val="3D2F4CD9"/>
    <w:rsid w:val="3D327D8C"/>
    <w:rsid w:val="3D365F30"/>
    <w:rsid w:val="3D3DCCBD"/>
    <w:rsid w:val="3D3F7F2A"/>
    <w:rsid w:val="3D4D3280"/>
    <w:rsid w:val="3D5F3E4B"/>
    <w:rsid w:val="3D60D2C4"/>
    <w:rsid w:val="3D66DC30"/>
    <w:rsid w:val="3D6BCAB9"/>
    <w:rsid w:val="3D6F0D22"/>
    <w:rsid w:val="3D74D909"/>
    <w:rsid w:val="3D7639D7"/>
    <w:rsid w:val="3D862B89"/>
    <w:rsid w:val="3D891323"/>
    <w:rsid w:val="3D8BB72F"/>
    <w:rsid w:val="3D9584BC"/>
    <w:rsid w:val="3D972D8A"/>
    <w:rsid w:val="3D9DB89A"/>
    <w:rsid w:val="3D9F5E20"/>
    <w:rsid w:val="3DA01E23"/>
    <w:rsid w:val="3DA50535"/>
    <w:rsid w:val="3DB1DEE6"/>
    <w:rsid w:val="3DB63AC7"/>
    <w:rsid w:val="3DBBCA00"/>
    <w:rsid w:val="3DBF3F32"/>
    <w:rsid w:val="3DC09A8D"/>
    <w:rsid w:val="3DCC547F"/>
    <w:rsid w:val="3DD36DA5"/>
    <w:rsid w:val="3DD58B78"/>
    <w:rsid w:val="3DF1A792"/>
    <w:rsid w:val="3DF9D445"/>
    <w:rsid w:val="3DFBB193"/>
    <w:rsid w:val="3E0C884E"/>
    <w:rsid w:val="3E0F1820"/>
    <w:rsid w:val="3E15628A"/>
    <w:rsid w:val="3E221083"/>
    <w:rsid w:val="3E2714F0"/>
    <w:rsid w:val="3E2D100C"/>
    <w:rsid w:val="3E31E1A5"/>
    <w:rsid w:val="3E4BDC85"/>
    <w:rsid w:val="3E594397"/>
    <w:rsid w:val="3E65B9D6"/>
    <w:rsid w:val="3E66F3FF"/>
    <w:rsid w:val="3E7A53A8"/>
    <w:rsid w:val="3E7C022B"/>
    <w:rsid w:val="3E8277B1"/>
    <w:rsid w:val="3E96C77B"/>
    <w:rsid w:val="3E9765F3"/>
    <w:rsid w:val="3E99F090"/>
    <w:rsid w:val="3E9BB2DB"/>
    <w:rsid w:val="3EA21565"/>
    <w:rsid w:val="3EAB006B"/>
    <w:rsid w:val="3EB274C0"/>
    <w:rsid w:val="3EB7B263"/>
    <w:rsid w:val="3EB894E4"/>
    <w:rsid w:val="3EC46004"/>
    <w:rsid w:val="3ED1BFD7"/>
    <w:rsid w:val="3ED57F42"/>
    <w:rsid w:val="3ED792B4"/>
    <w:rsid w:val="3ED82232"/>
    <w:rsid w:val="3ED8E508"/>
    <w:rsid w:val="3ED9EA96"/>
    <w:rsid w:val="3EDB60EA"/>
    <w:rsid w:val="3F04A5B1"/>
    <w:rsid w:val="3F0888EB"/>
    <w:rsid w:val="3F0BD3DE"/>
    <w:rsid w:val="3F10AFB5"/>
    <w:rsid w:val="3F21476C"/>
    <w:rsid w:val="3F22E8BE"/>
    <w:rsid w:val="3F285923"/>
    <w:rsid w:val="3F2F2A15"/>
    <w:rsid w:val="3F3D0F7C"/>
    <w:rsid w:val="3F3DA97F"/>
    <w:rsid w:val="3F4B98FC"/>
    <w:rsid w:val="3F53345F"/>
    <w:rsid w:val="3F55A63F"/>
    <w:rsid w:val="3F656FD8"/>
    <w:rsid w:val="3F72CC28"/>
    <w:rsid w:val="3F73FC4A"/>
    <w:rsid w:val="3F79C68A"/>
    <w:rsid w:val="3F7D1303"/>
    <w:rsid w:val="3F81A0C9"/>
    <w:rsid w:val="3F8C2338"/>
    <w:rsid w:val="3F8FAF49"/>
    <w:rsid w:val="3F924E93"/>
    <w:rsid w:val="3F927521"/>
    <w:rsid w:val="3F951C15"/>
    <w:rsid w:val="3F9931E2"/>
    <w:rsid w:val="3F9C5DCF"/>
    <w:rsid w:val="3FA1EEC6"/>
    <w:rsid w:val="3FAB0A2D"/>
    <w:rsid w:val="3FB7AC0A"/>
    <w:rsid w:val="3FB84FC5"/>
    <w:rsid w:val="3FBFAF70"/>
    <w:rsid w:val="3FCA030C"/>
    <w:rsid w:val="3FCE4610"/>
    <w:rsid w:val="3FD82E72"/>
    <w:rsid w:val="3FDA7A0F"/>
    <w:rsid w:val="3FDC4F9E"/>
    <w:rsid w:val="3FE5E314"/>
    <w:rsid w:val="3FE75ABA"/>
    <w:rsid w:val="3FF467D9"/>
    <w:rsid w:val="3FFB01E5"/>
    <w:rsid w:val="4000248F"/>
    <w:rsid w:val="40033A5D"/>
    <w:rsid w:val="400B464A"/>
    <w:rsid w:val="40115D17"/>
    <w:rsid w:val="40199AAF"/>
    <w:rsid w:val="401B6A0A"/>
    <w:rsid w:val="401C82CF"/>
    <w:rsid w:val="4023645A"/>
    <w:rsid w:val="402B2181"/>
    <w:rsid w:val="40312726"/>
    <w:rsid w:val="4031A0EB"/>
    <w:rsid w:val="40397C04"/>
    <w:rsid w:val="4045FCCF"/>
    <w:rsid w:val="404EC7CF"/>
    <w:rsid w:val="40548BEA"/>
    <w:rsid w:val="4060C12A"/>
    <w:rsid w:val="4064E2C3"/>
    <w:rsid w:val="40657BEF"/>
    <w:rsid w:val="4065B5A8"/>
    <w:rsid w:val="40751203"/>
    <w:rsid w:val="40772856"/>
    <w:rsid w:val="408B6BEF"/>
    <w:rsid w:val="408F7CB2"/>
    <w:rsid w:val="4092F3D3"/>
    <w:rsid w:val="409475F0"/>
    <w:rsid w:val="40969C73"/>
    <w:rsid w:val="4097FFF8"/>
    <w:rsid w:val="409B0FC2"/>
    <w:rsid w:val="409CAD52"/>
    <w:rsid w:val="40A07612"/>
    <w:rsid w:val="40AAEF40"/>
    <w:rsid w:val="40B1D191"/>
    <w:rsid w:val="40B4A83A"/>
    <w:rsid w:val="40BE3906"/>
    <w:rsid w:val="40C1E2BC"/>
    <w:rsid w:val="40C37D9A"/>
    <w:rsid w:val="40C6DB03"/>
    <w:rsid w:val="40CEF449"/>
    <w:rsid w:val="40DC2298"/>
    <w:rsid w:val="40E9A444"/>
    <w:rsid w:val="40EA7B41"/>
    <w:rsid w:val="40F6EF4D"/>
    <w:rsid w:val="40F73C62"/>
    <w:rsid w:val="40FAA876"/>
    <w:rsid w:val="40FC5FE8"/>
    <w:rsid w:val="41017751"/>
    <w:rsid w:val="4107CBFE"/>
    <w:rsid w:val="410ACCA0"/>
    <w:rsid w:val="4117825F"/>
    <w:rsid w:val="411A52D8"/>
    <w:rsid w:val="411DD9A8"/>
    <w:rsid w:val="4123E3F9"/>
    <w:rsid w:val="41261090"/>
    <w:rsid w:val="41266708"/>
    <w:rsid w:val="4126F288"/>
    <w:rsid w:val="412CDCAF"/>
    <w:rsid w:val="412E1C13"/>
    <w:rsid w:val="4148A602"/>
    <w:rsid w:val="4149AA9F"/>
    <w:rsid w:val="415745A9"/>
    <w:rsid w:val="41593EB1"/>
    <w:rsid w:val="4165BDE5"/>
    <w:rsid w:val="416B5F5E"/>
    <w:rsid w:val="4170AED9"/>
    <w:rsid w:val="417BE275"/>
    <w:rsid w:val="417F62FF"/>
    <w:rsid w:val="41858C9A"/>
    <w:rsid w:val="4186D326"/>
    <w:rsid w:val="4198C48D"/>
    <w:rsid w:val="419D9FA5"/>
    <w:rsid w:val="419E120E"/>
    <w:rsid w:val="41A3CCAA"/>
    <w:rsid w:val="41A43B31"/>
    <w:rsid w:val="41B1546D"/>
    <w:rsid w:val="41B7EB18"/>
    <w:rsid w:val="41BBF6AA"/>
    <w:rsid w:val="41D165B7"/>
    <w:rsid w:val="41D5A4DE"/>
    <w:rsid w:val="41E1225B"/>
    <w:rsid w:val="41EA92B9"/>
    <w:rsid w:val="41F9FEC5"/>
    <w:rsid w:val="420991B1"/>
    <w:rsid w:val="420ACF17"/>
    <w:rsid w:val="4213137B"/>
    <w:rsid w:val="4213BBF9"/>
    <w:rsid w:val="4215ACD6"/>
    <w:rsid w:val="4217A6EC"/>
    <w:rsid w:val="4220B02F"/>
    <w:rsid w:val="42231E16"/>
    <w:rsid w:val="42270ACC"/>
    <w:rsid w:val="42297BC6"/>
    <w:rsid w:val="422E2D98"/>
    <w:rsid w:val="42362193"/>
    <w:rsid w:val="42375D3C"/>
    <w:rsid w:val="4238FEB4"/>
    <w:rsid w:val="423D8153"/>
    <w:rsid w:val="423FC267"/>
    <w:rsid w:val="42423BD3"/>
    <w:rsid w:val="424340D3"/>
    <w:rsid w:val="42454ECE"/>
    <w:rsid w:val="42503A16"/>
    <w:rsid w:val="425779AC"/>
    <w:rsid w:val="425889FA"/>
    <w:rsid w:val="4273EE4B"/>
    <w:rsid w:val="4279BB9F"/>
    <w:rsid w:val="427DFBE8"/>
    <w:rsid w:val="427EE43E"/>
    <w:rsid w:val="42935076"/>
    <w:rsid w:val="42AB507D"/>
    <w:rsid w:val="42AC3337"/>
    <w:rsid w:val="42AEF048"/>
    <w:rsid w:val="42B223F0"/>
    <w:rsid w:val="42B2C887"/>
    <w:rsid w:val="42B5F41F"/>
    <w:rsid w:val="42B9C10A"/>
    <w:rsid w:val="42BB811E"/>
    <w:rsid w:val="42C3D60F"/>
    <w:rsid w:val="42C7D1AB"/>
    <w:rsid w:val="42CAEB0B"/>
    <w:rsid w:val="42DD8986"/>
    <w:rsid w:val="42DF2A44"/>
    <w:rsid w:val="42DFC307"/>
    <w:rsid w:val="42E22A08"/>
    <w:rsid w:val="42EBEF79"/>
    <w:rsid w:val="42EE520D"/>
    <w:rsid w:val="42EF0A50"/>
    <w:rsid w:val="42FC21DA"/>
    <w:rsid w:val="42FEE81E"/>
    <w:rsid w:val="43055B79"/>
    <w:rsid w:val="43062B10"/>
    <w:rsid w:val="43069D95"/>
    <w:rsid w:val="430AA505"/>
    <w:rsid w:val="430B7CB9"/>
    <w:rsid w:val="430BF882"/>
    <w:rsid w:val="430C8EEB"/>
    <w:rsid w:val="43107BC6"/>
    <w:rsid w:val="4314B949"/>
    <w:rsid w:val="43243669"/>
    <w:rsid w:val="432472C3"/>
    <w:rsid w:val="432BAEF8"/>
    <w:rsid w:val="433460FD"/>
    <w:rsid w:val="433CFC08"/>
    <w:rsid w:val="4341570C"/>
    <w:rsid w:val="434415A9"/>
    <w:rsid w:val="43548133"/>
    <w:rsid w:val="435C261D"/>
    <w:rsid w:val="4360D85D"/>
    <w:rsid w:val="4366DC93"/>
    <w:rsid w:val="43681766"/>
    <w:rsid w:val="43693A0B"/>
    <w:rsid w:val="4370ECE9"/>
    <w:rsid w:val="43748418"/>
    <w:rsid w:val="437B746B"/>
    <w:rsid w:val="437C2579"/>
    <w:rsid w:val="439352C7"/>
    <w:rsid w:val="439365C1"/>
    <w:rsid w:val="439F0D3B"/>
    <w:rsid w:val="43A4C7B9"/>
    <w:rsid w:val="43AA63F8"/>
    <w:rsid w:val="43AAD8B5"/>
    <w:rsid w:val="43AE41F9"/>
    <w:rsid w:val="43B15023"/>
    <w:rsid w:val="43B17D37"/>
    <w:rsid w:val="43B41434"/>
    <w:rsid w:val="43B600CB"/>
    <w:rsid w:val="43B964C0"/>
    <w:rsid w:val="43C1A82A"/>
    <w:rsid w:val="43C209BE"/>
    <w:rsid w:val="43CFE6D2"/>
    <w:rsid w:val="43D170F1"/>
    <w:rsid w:val="43DB474D"/>
    <w:rsid w:val="43E0EDC9"/>
    <w:rsid w:val="43EF961F"/>
    <w:rsid w:val="43FD8B28"/>
    <w:rsid w:val="44065497"/>
    <w:rsid w:val="44123433"/>
    <w:rsid w:val="44133D8B"/>
    <w:rsid w:val="441AB5C0"/>
    <w:rsid w:val="441E182C"/>
    <w:rsid w:val="44224408"/>
    <w:rsid w:val="44279161"/>
    <w:rsid w:val="443036F0"/>
    <w:rsid w:val="443059E4"/>
    <w:rsid w:val="44335D0D"/>
    <w:rsid w:val="443A2134"/>
    <w:rsid w:val="4443C507"/>
    <w:rsid w:val="44465DF5"/>
    <w:rsid w:val="444ED21D"/>
    <w:rsid w:val="44554A60"/>
    <w:rsid w:val="445E7A1D"/>
    <w:rsid w:val="445F88FD"/>
    <w:rsid w:val="4465C678"/>
    <w:rsid w:val="4465F593"/>
    <w:rsid w:val="4467AB83"/>
    <w:rsid w:val="446D0420"/>
    <w:rsid w:val="446F7A79"/>
    <w:rsid w:val="446FC8C9"/>
    <w:rsid w:val="44843261"/>
    <w:rsid w:val="448B2437"/>
    <w:rsid w:val="449F4CBA"/>
    <w:rsid w:val="44A2CCF1"/>
    <w:rsid w:val="44ACBA79"/>
    <w:rsid w:val="44B51E3B"/>
    <w:rsid w:val="44B9499F"/>
    <w:rsid w:val="44B9CAAA"/>
    <w:rsid w:val="44BEC6EF"/>
    <w:rsid w:val="44C34036"/>
    <w:rsid w:val="44D5B2D0"/>
    <w:rsid w:val="44DDB413"/>
    <w:rsid w:val="44E13FDF"/>
    <w:rsid w:val="44EACD73"/>
    <w:rsid w:val="44FDE67F"/>
    <w:rsid w:val="45053BBE"/>
    <w:rsid w:val="4505958D"/>
    <w:rsid w:val="450AC741"/>
    <w:rsid w:val="450D2B9E"/>
    <w:rsid w:val="451284F7"/>
    <w:rsid w:val="451547CB"/>
    <w:rsid w:val="4525AD46"/>
    <w:rsid w:val="452B3DCB"/>
    <w:rsid w:val="452D777D"/>
    <w:rsid w:val="452DC1A0"/>
    <w:rsid w:val="452DD471"/>
    <w:rsid w:val="452DEE53"/>
    <w:rsid w:val="4530E7C9"/>
    <w:rsid w:val="4531DB83"/>
    <w:rsid w:val="4537D434"/>
    <w:rsid w:val="453865F7"/>
    <w:rsid w:val="4543BED5"/>
    <w:rsid w:val="45536FA1"/>
    <w:rsid w:val="45546474"/>
    <w:rsid w:val="455B44B0"/>
    <w:rsid w:val="455F6818"/>
    <w:rsid w:val="4566D60D"/>
    <w:rsid w:val="456F7C97"/>
    <w:rsid w:val="4572E4F9"/>
    <w:rsid w:val="457CEECA"/>
    <w:rsid w:val="458268F3"/>
    <w:rsid w:val="4586084B"/>
    <w:rsid w:val="45865588"/>
    <w:rsid w:val="4593BE64"/>
    <w:rsid w:val="4596EDC7"/>
    <w:rsid w:val="459DA7A1"/>
    <w:rsid w:val="45A02BC3"/>
    <w:rsid w:val="45A723FC"/>
    <w:rsid w:val="45B5A54A"/>
    <w:rsid w:val="45B6FD01"/>
    <w:rsid w:val="45C2AC31"/>
    <w:rsid w:val="45C6B4C4"/>
    <w:rsid w:val="45CE8FD9"/>
    <w:rsid w:val="45D3B1C2"/>
    <w:rsid w:val="45D46168"/>
    <w:rsid w:val="45E10FEF"/>
    <w:rsid w:val="45E138DF"/>
    <w:rsid w:val="45E9A61A"/>
    <w:rsid w:val="45EC5C34"/>
    <w:rsid w:val="45F78D16"/>
    <w:rsid w:val="45FFA680"/>
    <w:rsid w:val="46084442"/>
    <w:rsid w:val="460EFFD8"/>
    <w:rsid w:val="46146448"/>
    <w:rsid w:val="461A51B8"/>
    <w:rsid w:val="4620A297"/>
    <w:rsid w:val="4627A17F"/>
    <w:rsid w:val="463246D5"/>
    <w:rsid w:val="4636F593"/>
    <w:rsid w:val="463B1D1B"/>
    <w:rsid w:val="463E7F41"/>
    <w:rsid w:val="4649A376"/>
    <w:rsid w:val="464F56D2"/>
    <w:rsid w:val="4652C1E8"/>
    <w:rsid w:val="465732E1"/>
    <w:rsid w:val="465C6C02"/>
    <w:rsid w:val="46664853"/>
    <w:rsid w:val="4666F893"/>
    <w:rsid w:val="466BFA39"/>
    <w:rsid w:val="467977BB"/>
    <w:rsid w:val="467B281F"/>
    <w:rsid w:val="468020B2"/>
    <w:rsid w:val="4681E983"/>
    <w:rsid w:val="46856B73"/>
    <w:rsid w:val="4685BDD9"/>
    <w:rsid w:val="469148EF"/>
    <w:rsid w:val="46927BCA"/>
    <w:rsid w:val="46A384A1"/>
    <w:rsid w:val="46A72568"/>
    <w:rsid w:val="46A76C5D"/>
    <w:rsid w:val="46AA9738"/>
    <w:rsid w:val="46B01ADB"/>
    <w:rsid w:val="46B8D799"/>
    <w:rsid w:val="46BDED42"/>
    <w:rsid w:val="46C71C2D"/>
    <w:rsid w:val="46CACE90"/>
    <w:rsid w:val="46DD8E30"/>
    <w:rsid w:val="46EC1E74"/>
    <w:rsid w:val="46EF6822"/>
    <w:rsid w:val="46F68F39"/>
    <w:rsid w:val="46F760C1"/>
    <w:rsid w:val="46FAC506"/>
    <w:rsid w:val="46FAD548"/>
    <w:rsid w:val="46FD35B7"/>
    <w:rsid w:val="47000DB2"/>
    <w:rsid w:val="4701B4D3"/>
    <w:rsid w:val="47039B6D"/>
    <w:rsid w:val="470A44C8"/>
    <w:rsid w:val="470B9CAD"/>
    <w:rsid w:val="471949AA"/>
    <w:rsid w:val="471BF2EB"/>
    <w:rsid w:val="471CE4EE"/>
    <w:rsid w:val="4720FDDA"/>
    <w:rsid w:val="4724244C"/>
    <w:rsid w:val="47414796"/>
    <w:rsid w:val="47485E6C"/>
    <w:rsid w:val="474A4C9D"/>
    <w:rsid w:val="4751006C"/>
    <w:rsid w:val="475151F8"/>
    <w:rsid w:val="47523EFD"/>
    <w:rsid w:val="47707A70"/>
    <w:rsid w:val="47739DF3"/>
    <w:rsid w:val="477A39AC"/>
    <w:rsid w:val="477E6DDA"/>
    <w:rsid w:val="478B370D"/>
    <w:rsid w:val="478DD180"/>
    <w:rsid w:val="47A36E36"/>
    <w:rsid w:val="47AC0C5B"/>
    <w:rsid w:val="47B0ACCA"/>
    <w:rsid w:val="47B48478"/>
    <w:rsid w:val="47B4CEB9"/>
    <w:rsid w:val="47B8A4B7"/>
    <w:rsid w:val="47D1AE2C"/>
    <w:rsid w:val="47EFCC57"/>
    <w:rsid w:val="47F5CCF2"/>
    <w:rsid w:val="47F9E4EC"/>
    <w:rsid w:val="47FC0F75"/>
    <w:rsid w:val="47FC4FD6"/>
    <w:rsid w:val="47FE0067"/>
    <w:rsid w:val="480827E8"/>
    <w:rsid w:val="48083092"/>
    <w:rsid w:val="48086281"/>
    <w:rsid w:val="480FB7B9"/>
    <w:rsid w:val="48104EDB"/>
    <w:rsid w:val="481096EC"/>
    <w:rsid w:val="48126055"/>
    <w:rsid w:val="481EC57C"/>
    <w:rsid w:val="4829735D"/>
    <w:rsid w:val="482FCF4E"/>
    <w:rsid w:val="48319F71"/>
    <w:rsid w:val="4834086A"/>
    <w:rsid w:val="4837D25D"/>
    <w:rsid w:val="484C6A27"/>
    <w:rsid w:val="4855C654"/>
    <w:rsid w:val="48618E90"/>
    <w:rsid w:val="487578FF"/>
    <w:rsid w:val="4875B3BB"/>
    <w:rsid w:val="487953B6"/>
    <w:rsid w:val="487BFAD0"/>
    <w:rsid w:val="487F3776"/>
    <w:rsid w:val="48809D9A"/>
    <w:rsid w:val="4888CFD9"/>
    <w:rsid w:val="489BB745"/>
    <w:rsid w:val="489D3802"/>
    <w:rsid w:val="489ECF62"/>
    <w:rsid w:val="489F2F4D"/>
    <w:rsid w:val="48A0BC52"/>
    <w:rsid w:val="48A49E40"/>
    <w:rsid w:val="48A6F13B"/>
    <w:rsid w:val="48B964EC"/>
    <w:rsid w:val="48BE55C6"/>
    <w:rsid w:val="48BFC18F"/>
    <w:rsid w:val="48CC31CE"/>
    <w:rsid w:val="48D59A0F"/>
    <w:rsid w:val="48D96E51"/>
    <w:rsid w:val="48D9F162"/>
    <w:rsid w:val="48E1CDB7"/>
    <w:rsid w:val="48E7D24E"/>
    <w:rsid w:val="48EC4A2C"/>
    <w:rsid w:val="48EC8CD2"/>
    <w:rsid w:val="48F89445"/>
    <w:rsid w:val="48F8D0F6"/>
    <w:rsid w:val="48FF15B4"/>
    <w:rsid w:val="490673C1"/>
    <w:rsid w:val="490ABCC9"/>
    <w:rsid w:val="490F2234"/>
    <w:rsid w:val="4916BEDE"/>
    <w:rsid w:val="491B0E3E"/>
    <w:rsid w:val="4925C918"/>
    <w:rsid w:val="49276726"/>
    <w:rsid w:val="492A2D57"/>
    <w:rsid w:val="492CA475"/>
    <w:rsid w:val="49371969"/>
    <w:rsid w:val="493770DE"/>
    <w:rsid w:val="493CC3FC"/>
    <w:rsid w:val="49423FC0"/>
    <w:rsid w:val="494619E4"/>
    <w:rsid w:val="4957F263"/>
    <w:rsid w:val="495A4D40"/>
    <w:rsid w:val="495A9E84"/>
    <w:rsid w:val="495CE0CD"/>
    <w:rsid w:val="496C3083"/>
    <w:rsid w:val="496EE78B"/>
    <w:rsid w:val="49729FE6"/>
    <w:rsid w:val="497E82FA"/>
    <w:rsid w:val="499D51CA"/>
    <w:rsid w:val="499E9670"/>
    <w:rsid w:val="49A923F3"/>
    <w:rsid w:val="49AAA80C"/>
    <w:rsid w:val="49B6ABB7"/>
    <w:rsid w:val="49C83B85"/>
    <w:rsid w:val="49E093C0"/>
    <w:rsid w:val="49E48D6D"/>
    <w:rsid w:val="49EA1BE7"/>
    <w:rsid w:val="49EF18C9"/>
    <w:rsid w:val="49F25F78"/>
    <w:rsid w:val="49FAAE54"/>
    <w:rsid w:val="4A013A27"/>
    <w:rsid w:val="4A045B20"/>
    <w:rsid w:val="4A089C58"/>
    <w:rsid w:val="4A0DB23D"/>
    <w:rsid w:val="4A1BE15B"/>
    <w:rsid w:val="4A1DAEB0"/>
    <w:rsid w:val="4A258B9F"/>
    <w:rsid w:val="4A278AB4"/>
    <w:rsid w:val="4A29D830"/>
    <w:rsid w:val="4A36D8FF"/>
    <w:rsid w:val="4A395D62"/>
    <w:rsid w:val="4A42DC91"/>
    <w:rsid w:val="4A492E76"/>
    <w:rsid w:val="4A60A07A"/>
    <w:rsid w:val="4A6B8A00"/>
    <w:rsid w:val="4A6CA7C9"/>
    <w:rsid w:val="4A81EA0E"/>
    <w:rsid w:val="4A82D494"/>
    <w:rsid w:val="4A86730B"/>
    <w:rsid w:val="4A86D1D9"/>
    <w:rsid w:val="4A9313B9"/>
    <w:rsid w:val="4A948F4F"/>
    <w:rsid w:val="4AA60F9A"/>
    <w:rsid w:val="4AAC177C"/>
    <w:rsid w:val="4AAE50AF"/>
    <w:rsid w:val="4AB01A89"/>
    <w:rsid w:val="4AB4F7F7"/>
    <w:rsid w:val="4ABC5862"/>
    <w:rsid w:val="4AC1C27E"/>
    <w:rsid w:val="4AC2E0E2"/>
    <w:rsid w:val="4AD23B68"/>
    <w:rsid w:val="4ADFCCD8"/>
    <w:rsid w:val="4AF02B53"/>
    <w:rsid w:val="4AFAB51C"/>
    <w:rsid w:val="4AFF068B"/>
    <w:rsid w:val="4B119A18"/>
    <w:rsid w:val="4B150CFA"/>
    <w:rsid w:val="4B163E8E"/>
    <w:rsid w:val="4B180F02"/>
    <w:rsid w:val="4B209587"/>
    <w:rsid w:val="4B2B598E"/>
    <w:rsid w:val="4B339821"/>
    <w:rsid w:val="4B34A0C3"/>
    <w:rsid w:val="4B3DF0CE"/>
    <w:rsid w:val="4B3F7DDB"/>
    <w:rsid w:val="4B44D050"/>
    <w:rsid w:val="4B47BFE1"/>
    <w:rsid w:val="4B503588"/>
    <w:rsid w:val="4B57703D"/>
    <w:rsid w:val="4B58652D"/>
    <w:rsid w:val="4B58F6E9"/>
    <w:rsid w:val="4B6D2803"/>
    <w:rsid w:val="4B7A5C8C"/>
    <w:rsid w:val="4B7CA281"/>
    <w:rsid w:val="4B7D7246"/>
    <w:rsid w:val="4B8923FA"/>
    <w:rsid w:val="4B95B5B8"/>
    <w:rsid w:val="4B9F00F3"/>
    <w:rsid w:val="4BA91BC0"/>
    <w:rsid w:val="4BB06033"/>
    <w:rsid w:val="4BB36EA8"/>
    <w:rsid w:val="4BB79883"/>
    <w:rsid w:val="4BCB50F8"/>
    <w:rsid w:val="4BD0C851"/>
    <w:rsid w:val="4BDEA7F8"/>
    <w:rsid w:val="4BE1301E"/>
    <w:rsid w:val="4BE5753E"/>
    <w:rsid w:val="4BEDBD2B"/>
    <w:rsid w:val="4BF115D6"/>
    <w:rsid w:val="4C049563"/>
    <w:rsid w:val="4C0718E0"/>
    <w:rsid w:val="4C075795"/>
    <w:rsid w:val="4C0C5E76"/>
    <w:rsid w:val="4C133F22"/>
    <w:rsid w:val="4C1571E4"/>
    <w:rsid w:val="4C15884F"/>
    <w:rsid w:val="4C19257D"/>
    <w:rsid w:val="4C2C80EF"/>
    <w:rsid w:val="4C34DED7"/>
    <w:rsid w:val="4C35FCAD"/>
    <w:rsid w:val="4C3756D8"/>
    <w:rsid w:val="4C3C6FF8"/>
    <w:rsid w:val="4C40A3AC"/>
    <w:rsid w:val="4C4186B9"/>
    <w:rsid w:val="4C43A942"/>
    <w:rsid w:val="4C4915CE"/>
    <w:rsid w:val="4C4ACB5B"/>
    <w:rsid w:val="4C552CEA"/>
    <w:rsid w:val="4C66D4AB"/>
    <w:rsid w:val="4C689857"/>
    <w:rsid w:val="4C70E45F"/>
    <w:rsid w:val="4C70F0BB"/>
    <w:rsid w:val="4C74BD66"/>
    <w:rsid w:val="4C76E65A"/>
    <w:rsid w:val="4C785334"/>
    <w:rsid w:val="4C806473"/>
    <w:rsid w:val="4CAD64B1"/>
    <w:rsid w:val="4CB20AC4"/>
    <w:rsid w:val="4CBDA36A"/>
    <w:rsid w:val="4CBDE0A5"/>
    <w:rsid w:val="4CC0556C"/>
    <w:rsid w:val="4CC6484A"/>
    <w:rsid w:val="4CC6AEBF"/>
    <w:rsid w:val="4CC94F79"/>
    <w:rsid w:val="4CCBB73E"/>
    <w:rsid w:val="4CD8B438"/>
    <w:rsid w:val="4CE14BBB"/>
    <w:rsid w:val="4CE411CB"/>
    <w:rsid w:val="4CE6DD99"/>
    <w:rsid w:val="4CE93F86"/>
    <w:rsid w:val="4CEC30F4"/>
    <w:rsid w:val="4CF8D5C6"/>
    <w:rsid w:val="4CFD5CC7"/>
    <w:rsid w:val="4D09932D"/>
    <w:rsid w:val="4D0DA283"/>
    <w:rsid w:val="4D165C1C"/>
    <w:rsid w:val="4D1D047D"/>
    <w:rsid w:val="4D1EFAD4"/>
    <w:rsid w:val="4D23FB8D"/>
    <w:rsid w:val="4D2DE707"/>
    <w:rsid w:val="4D2F8B28"/>
    <w:rsid w:val="4D33DF55"/>
    <w:rsid w:val="4D429B6E"/>
    <w:rsid w:val="4D522938"/>
    <w:rsid w:val="4D5709C8"/>
    <w:rsid w:val="4D5B2ECD"/>
    <w:rsid w:val="4D5E764A"/>
    <w:rsid w:val="4D767690"/>
    <w:rsid w:val="4D7AC25F"/>
    <w:rsid w:val="4D7B5327"/>
    <w:rsid w:val="4D7C5384"/>
    <w:rsid w:val="4D81E8BB"/>
    <w:rsid w:val="4D838F00"/>
    <w:rsid w:val="4DA35AA5"/>
    <w:rsid w:val="4DA4BEDF"/>
    <w:rsid w:val="4DABBDFE"/>
    <w:rsid w:val="4DB371CA"/>
    <w:rsid w:val="4DB6EF87"/>
    <w:rsid w:val="4DBC3903"/>
    <w:rsid w:val="4DBCAA66"/>
    <w:rsid w:val="4DC6DEB4"/>
    <w:rsid w:val="4DD593B5"/>
    <w:rsid w:val="4DDCCD44"/>
    <w:rsid w:val="4DE4E54B"/>
    <w:rsid w:val="4DE77A2F"/>
    <w:rsid w:val="4DE79C9B"/>
    <w:rsid w:val="4E06A47E"/>
    <w:rsid w:val="4E0B6A4C"/>
    <w:rsid w:val="4E0FA1AF"/>
    <w:rsid w:val="4E19FDE2"/>
    <w:rsid w:val="4E1AD6CA"/>
    <w:rsid w:val="4E2433CB"/>
    <w:rsid w:val="4E249D51"/>
    <w:rsid w:val="4E2623A2"/>
    <w:rsid w:val="4E29DF79"/>
    <w:rsid w:val="4E2B23C0"/>
    <w:rsid w:val="4E30C952"/>
    <w:rsid w:val="4E315490"/>
    <w:rsid w:val="4E444D2B"/>
    <w:rsid w:val="4E45A40E"/>
    <w:rsid w:val="4E4670D4"/>
    <w:rsid w:val="4E4D0A23"/>
    <w:rsid w:val="4E5505D8"/>
    <w:rsid w:val="4E65B2E0"/>
    <w:rsid w:val="4E676452"/>
    <w:rsid w:val="4E6BDF47"/>
    <w:rsid w:val="4E6E0EC1"/>
    <w:rsid w:val="4E7C7D91"/>
    <w:rsid w:val="4E7E5DC3"/>
    <w:rsid w:val="4E947F75"/>
    <w:rsid w:val="4E972A98"/>
    <w:rsid w:val="4E9910C3"/>
    <w:rsid w:val="4EA9D385"/>
    <w:rsid w:val="4EAD022E"/>
    <w:rsid w:val="4EB76BCC"/>
    <w:rsid w:val="4EC53F23"/>
    <w:rsid w:val="4EC7C545"/>
    <w:rsid w:val="4ECD5A57"/>
    <w:rsid w:val="4ED0D4EF"/>
    <w:rsid w:val="4EE59A02"/>
    <w:rsid w:val="4F0442C6"/>
    <w:rsid w:val="4F0E079B"/>
    <w:rsid w:val="4F10D4D8"/>
    <w:rsid w:val="4F1500AB"/>
    <w:rsid w:val="4F187E7A"/>
    <w:rsid w:val="4F19EBD0"/>
    <w:rsid w:val="4F23A070"/>
    <w:rsid w:val="4F28FC0F"/>
    <w:rsid w:val="4F2BC991"/>
    <w:rsid w:val="4F2DA8CF"/>
    <w:rsid w:val="4F2E2480"/>
    <w:rsid w:val="4F30E2DA"/>
    <w:rsid w:val="4F318D8E"/>
    <w:rsid w:val="4F3634F8"/>
    <w:rsid w:val="4F3C3625"/>
    <w:rsid w:val="4F4491B5"/>
    <w:rsid w:val="4F49FE79"/>
    <w:rsid w:val="4F4C4509"/>
    <w:rsid w:val="4F50C1F3"/>
    <w:rsid w:val="4F512104"/>
    <w:rsid w:val="4F51B11A"/>
    <w:rsid w:val="4F5C95F1"/>
    <w:rsid w:val="4F61CA59"/>
    <w:rsid w:val="4F642836"/>
    <w:rsid w:val="4F66C2E8"/>
    <w:rsid w:val="4F690534"/>
    <w:rsid w:val="4F6925BE"/>
    <w:rsid w:val="4F6E3D05"/>
    <w:rsid w:val="4F707AD1"/>
    <w:rsid w:val="4F7A3ADE"/>
    <w:rsid w:val="4F7B556D"/>
    <w:rsid w:val="4F7C895A"/>
    <w:rsid w:val="4F85CEF9"/>
    <w:rsid w:val="4FAAF6CB"/>
    <w:rsid w:val="4FAB96D9"/>
    <w:rsid w:val="4FADB9AC"/>
    <w:rsid w:val="4FB152A0"/>
    <w:rsid w:val="4FB79F35"/>
    <w:rsid w:val="4FC65530"/>
    <w:rsid w:val="4FC71B52"/>
    <w:rsid w:val="4FCA9AFD"/>
    <w:rsid w:val="4FDAB943"/>
    <w:rsid w:val="4FDB0226"/>
    <w:rsid w:val="4FE8066F"/>
    <w:rsid w:val="4FED768B"/>
    <w:rsid w:val="4FF06674"/>
    <w:rsid w:val="4FF7A628"/>
    <w:rsid w:val="4FFD6BF0"/>
    <w:rsid w:val="500355A5"/>
    <w:rsid w:val="5003787E"/>
    <w:rsid w:val="5005132B"/>
    <w:rsid w:val="5007AECA"/>
    <w:rsid w:val="500A6D90"/>
    <w:rsid w:val="500B465E"/>
    <w:rsid w:val="5011A833"/>
    <w:rsid w:val="5015F433"/>
    <w:rsid w:val="501707B9"/>
    <w:rsid w:val="5018CD5E"/>
    <w:rsid w:val="5019ED3B"/>
    <w:rsid w:val="502C3721"/>
    <w:rsid w:val="502C87B5"/>
    <w:rsid w:val="50439DA0"/>
    <w:rsid w:val="5045D3B4"/>
    <w:rsid w:val="504D69A5"/>
    <w:rsid w:val="5056D6AF"/>
    <w:rsid w:val="505D092E"/>
    <w:rsid w:val="505E26C0"/>
    <w:rsid w:val="505ECDEB"/>
    <w:rsid w:val="50645887"/>
    <w:rsid w:val="50654D29"/>
    <w:rsid w:val="5088B326"/>
    <w:rsid w:val="508C0276"/>
    <w:rsid w:val="50941699"/>
    <w:rsid w:val="509485AD"/>
    <w:rsid w:val="5095B3FA"/>
    <w:rsid w:val="509887C9"/>
    <w:rsid w:val="5098B479"/>
    <w:rsid w:val="509998A2"/>
    <w:rsid w:val="509A3DD0"/>
    <w:rsid w:val="509DCE95"/>
    <w:rsid w:val="50A2AC75"/>
    <w:rsid w:val="50A3610F"/>
    <w:rsid w:val="50AFE32A"/>
    <w:rsid w:val="50AFFE5B"/>
    <w:rsid w:val="50B050D3"/>
    <w:rsid w:val="50BB0ECE"/>
    <w:rsid w:val="50C28DAD"/>
    <w:rsid w:val="50C3AE0B"/>
    <w:rsid w:val="50CEBC46"/>
    <w:rsid w:val="50D4A049"/>
    <w:rsid w:val="50DF8587"/>
    <w:rsid w:val="50E4F87D"/>
    <w:rsid w:val="50E72A8A"/>
    <w:rsid w:val="50E81A2C"/>
    <w:rsid w:val="50F79363"/>
    <w:rsid w:val="50FEB8C1"/>
    <w:rsid w:val="510711C6"/>
    <w:rsid w:val="5108A8EE"/>
    <w:rsid w:val="510E7AB7"/>
    <w:rsid w:val="511132E3"/>
    <w:rsid w:val="5112DE2B"/>
    <w:rsid w:val="5113BA9D"/>
    <w:rsid w:val="511462DA"/>
    <w:rsid w:val="51147DB2"/>
    <w:rsid w:val="51211745"/>
    <w:rsid w:val="512A5EF1"/>
    <w:rsid w:val="5137CC43"/>
    <w:rsid w:val="51399A14"/>
    <w:rsid w:val="513AE9A5"/>
    <w:rsid w:val="513E13F4"/>
    <w:rsid w:val="5144694C"/>
    <w:rsid w:val="514933AB"/>
    <w:rsid w:val="514B3730"/>
    <w:rsid w:val="514D38DB"/>
    <w:rsid w:val="514E4459"/>
    <w:rsid w:val="51592F29"/>
    <w:rsid w:val="51604265"/>
    <w:rsid w:val="516851C1"/>
    <w:rsid w:val="517AE74F"/>
    <w:rsid w:val="517C3AFC"/>
    <w:rsid w:val="518AE1E0"/>
    <w:rsid w:val="518F62C0"/>
    <w:rsid w:val="5193A349"/>
    <w:rsid w:val="5199C759"/>
    <w:rsid w:val="519FD6FA"/>
    <w:rsid w:val="51A23EEC"/>
    <w:rsid w:val="51A78CF6"/>
    <w:rsid w:val="51AB8D6D"/>
    <w:rsid w:val="51BCF3B0"/>
    <w:rsid w:val="51BFE9EF"/>
    <w:rsid w:val="51D2F116"/>
    <w:rsid w:val="51DB8942"/>
    <w:rsid w:val="51DCCD4E"/>
    <w:rsid w:val="51E53FB9"/>
    <w:rsid w:val="51F139EB"/>
    <w:rsid w:val="51F30CC6"/>
    <w:rsid w:val="51F6280F"/>
    <w:rsid w:val="51F99062"/>
    <w:rsid w:val="51FA177D"/>
    <w:rsid w:val="51FBF564"/>
    <w:rsid w:val="51FE32C9"/>
    <w:rsid w:val="520D88DE"/>
    <w:rsid w:val="52159B8D"/>
    <w:rsid w:val="52165407"/>
    <w:rsid w:val="52179E73"/>
    <w:rsid w:val="521C7973"/>
    <w:rsid w:val="5226EC5F"/>
    <w:rsid w:val="522940B9"/>
    <w:rsid w:val="523386C6"/>
    <w:rsid w:val="52341CAB"/>
    <w:rsid w:val="523705BE"/>
    <w:rsid w:val="5238799E"/>
    <w:rsid w:val="523BCA8F"/>
    <w:rsid w:val="5244F997"/>
    <w:rsid w:val="525995C1"/>
    <w:rsid w:val="525E4125"/>
    <w:rsid w:val="525ED46D"/>
    <w:rsid w:val="52608131"/>
    <w:rsid w:val="526B8FBE"/>
    <w:rsid w:val="526D7785"/>
    <w:rsid w:val="527018DB"/>
    <w:rsid w:val="5279C104"/>
    <w:rsid w:val="527E07FF"/>
    <w:rsid w:val="527EEBAD"/>
    <w:rsid w:val="5281DE67"/>
    <w:rsid w:val="5282D6C4"/>
    <w:rsid w:val="5286AC88"/>
    <w:rsid w:val="528BFB72"/>
    <w:rsid w:val="52907EDF"/>
    <w:rsid w:val="5295BEE2"/>
    <w:rsid w:val="529F6B4C"/>
    <w:rsid w:val="52A3BF1A"/>
    <w:rsid w:val="52AA4B18"/>
    <w:rsid w:val="52B2B9FF"/>
    <w:rsid w:val="52B6C72B"/>
    <w:rsid w:val="52BAC3EC"/>
    <w:rsid w:val="52C1535A"/>
    <w:rsid w:val="52C961CD"/>
    <w:rsid w:val="52DA8A8C"/>
    <w:rsid w:val="52E5615B"/>
    <w:rsid w:val="52E9415E"/>
    <w:rsid w:val="52F60C87"/>
    <w:rsid w:val="52FA4BB1"/>
    <w:rsid w:val="52FB794F"/>
    <w:rsid w:val="52FC03CE"/>
    <w:rsid w:val="52FE5271"/>
    <w:rsid w:val="5300861B"/>
    <w:rsid w:val="530601EC"/>
    <w:rsid w:val="530A44AA"/>
    <w:rsid w:val="53220951"/>
    <w:rsid w:val="5328996D"/>
    <w:rsid w:val="5330004D"/>
    <w:rsid w:val="5338E279"/>
    <w:rsid w:val="53405EC3"/>
    <w:rsid w:val="5349C9EB"/>
    <w:rsid w:val="5359C1B2"/>
    <w:rsid w:val="5364DD11"/>
    <w:rsid w:val="53668538"/>
    <w:rsid w:val="536934B8"/>
    <w:rsid w:val="536E3432"/>
    <w:rsid w:val="537C0E9E"/>
    <w:rsid w:val="537FF30A"/>
    <w:rsid w:val="53864A3D"/>
    <w:rsid w:val="53877606"/>
    <w:rsid w:val="539947B3"/>
    <w:rsid w:val="539FA45E"/>
    <w:rsid w:val="53A0785B"/>
    <w:rsid w:val="53A679EC"/>
    <w:rsid w:val="53ABE72F"/>
    <w:rsid w:val="53B0AF46"/>
    <w:rsid w:val="53B16417"/>
    <w:rsid w:val="53B5373A"/>
    <w:rsid w:val="53C20C5F"/>
    <w:rsid w:val="53CCC288"/>
    <w:rsid w:val="53D2C2EC"/>
    <w:rsid w:val="53D3E8D6"/>
    <w:rsid w:val="53E55A58"/>
    <w:rsid w:val="53E5BEF1"/>
    <w:rsid w:val="53E63960"/>
    <w:rsid w:val="53EACC1F"/>
    <w:rsid w:val="53F12662"/>
    <w:rsid w:val="53F527EA"/>
    <w:rsid w:val="53F82792"/>
    <w:rsid w:val="54050F57"/>
    <w:rsid w:val="5406C64E"/>
    <w:rsid w:val="540B1903"/>
    <w:rsid w:val="540C0459"/>
    <w:rsid w:val="5413D2D7"/>
    <w:rsid w:val="54192FAC"/>
    <w:rsid w:val="541FB62C"/>
    <w:rsid w:val="54252072"/>
    <w:rsid w:val="54259822"/>
    <w:rsid w:val="542A3C28"/>
    <w:rsid w:val="54314FE8"/>
    <w:rsid w:val="543D9177"/>
    <w:rsid w:val="54405690"/>
    <w:rsid w:val="54467F64"/>
    <w:rsid w:val="544A6BE4"/>
    <w:rsid w:val="54623D88"/>
    <w:rsid w:val="546644D2"/>
    <w:rsid w:val="546DE13F"/>
    <w:rsid w:val="5474A215"/>
    <w:rsid w:val="547D8C4C"/>
    <w:rsid w:val="5488B030"/>
    <w:rsid w:val="548A44C4"/>
    <w:rsid w:val="5493D68E"/>
    <w:rsid w:val="5494FE95"/>
    <w:rsid w:val="549694FF"/>
    <w:rsid w:val="54A4A739"/>
    <w:rsid w:val="54A8CDAD"/>
    <w:rsid w:val="54B059BA"/>
    <w:rsid w:val="54B94ADE"/>
    <w:rsid w:val="54BB62E5"/>
    <w:rsid w:val="54BBD1FD"/>
    <w:rsid w:val="54CD425A"/>
    <w:rsid w:val="54CF8D36"/>
    <w:rsid w:val="54D0FB64"/>
    <w:rsid w:val="54DE5474"/>
    <w:rsid w:val="54E01B7F"/>
    <w:rsid w:val="54EBDE4E"/>
    <w:rsid w:val="54F0B8EA"/>
    <w:rsid w:val="54F3A2ED"/>
    <w:rsid w:val="54F62830"/>
    <w:rsid w:val="54F8B3FB"/>
    <w:rsid w:val="54F919A2"/>
    <w:rsid w:val="55102BF7"/>
    <w:rsid w:val="5510A75D"/>
    <w:rsid w:val="55193AFB"/>
    <w:rsid w:val="55260BD1"/>
    <w:rsid w:val="55269BBB"/>
    <w:rsid w:val="552BCEE7"/>
    <w:rsid w:val="55300640"/>
    <w:rsid w:val="553281B0"/>
    <w:rsid w:val="5534BBAE"/>
    <w:rsid w:val="5537DF3E"/>
    <w:rsid w:val="5545C32C"/>
    <w:rsid w:val="555DBEC8"/>
    <w:rsid w:val="555DDCC0"/>
    <w:rsid w:val="5573944F"/>
    <w:rsid w:val="5573CC3A"/>
    <w:rsid w:val="5573DC84"/>
    <w:rsid w:val="5580D807"/>
    <w:rsid w:val="5584B4F0"/>
    <w:rsid w:val="55954710"/>
    <w:rsid w:val="559C9C47"/>
    <w:rsid w:val="559F4331"/>
    <w:rsid w:val="55AE3D60"/>
    <w:rsid w:val="55B1518E"/>
    <w:rsid w:val="55B2F76C"/>
    <w:rsid w:val="55D20023"/>
    <w:rsid w:val="55D62EF6"/>
    <w:rsid w:val="55D8DC49"/>
    <w:rsid w:val="55DAAFD2"/>
    <w:rsid w:val="55DDBC63"/>
    <w:rsid w:val="55E472E4"/>
    <w:rsid w:val="55ED1FBD"/>
    <w:rsid w:val="55F18118"/>
    <w:rsid w:val="55F37BCC"/>
    <w:rsid w:val="55F4F034"/>
    <w:rsid w:val="55F68EB3"/>
    <w:rsid w:val="560400CF"/>
    <w:rsid w:val="560C97A2"/>
    <w:rsid w:val="560DAAD2"/>
    <w:rsid w:val="560F31FB"/>
    <w:rsid w:val="5611B0F8"/>
    <w:rsid w:val="561F9F5B"/>
    <w:rsid w:val="562F8F19"/>
    <w:rsid w:val="5630C20B"/>
    <w:rsid w:val="5638F724"/>
    <w:rsid w:val="563AFB85"/>
    <w:rsid w:val="5659BA87"/>
    <w:rsid w:val="565A9F8A"/>
    <w:rsid w:val="5660E478"/>
    <w:rsid w:val="56648E98"/>
    <w:rsid w:val="566F7A66"/>
    <w:rsid w:val="56711993"/>
    <w:rsid w:val="568015D1"/>
    <w:rsid w:val="56825048"/>
    <w:rsid w:val="568FB483"/>
    <w:rsid w:val="568FC997"/>
    <w:rsid w:val="56906FA4"/>
    <w:rsid w:val="569495BB"/>
    <w:rsid w:val="56957B1B"/>
    <w:rsid w:val="5698048A"/>
    <w:rsid w:val="56B0CC3E"/>
    <w:rsid w:val="56C63E4C"/>
    <w:rsid w:val="56CB5FEC"/>
    <w:rsid w:val="56CDB0C7"/>
    <w:rsid w:val="56E7A063"/>
    <w:rsid w:val="56E7F39B"/>
    <w:rsid w:val="57028A1C"/>
    <w:rsid w:val="570B0A47"/>
    <w:rsid w:val="5711A67B"/>
    <w:rsid w:val="57138D21"/>
    <w:rsid w:val="571B143E"/>
    <w:rsid w:val="571BCE6B"/>
    <w:rsid w:val="57250BA8"/>
    <w:rsid w:val="572602D2"/>
    <w:rsid w:val="5728D15C"/>
    <w:rsid w:val="5730CC05"/>
    <w:rsid w:val="5734DE5C"/>
    <w:rsid w:val="57366F2D"/>
    <w:rsid w:val="573AD967"/>
    <w:rsid w:val="573BE143"/>
    <w:rsid w:val="573C7F64"/>
    <w:rsid w:val="573CB7F9"/>
    <w:rsid w:val="573FC323"/>
    <w:rsid w:val="57410F02"/>
    <w:rsid w:val="57439473"/>
    <w:rsid w:val="5744DFE9"/>
    <w:rsid w:val="575A1DAB"/>
    <w:rsid w:val="575C147F"/>
    <w:rsid w:val="575E72FC"/>
    <w:rsid w:val="5766C60A"/>
    <w:rsid w:val="576DE7C8"/>
    <w:rsid w:val="577EA1FB"/>
    <w:rsid w:val="5782DA98"/>
    <w:rsid w:val="5786762E"/>
    <w:rsid w:val="5792645C"/>
    <w:rsid w:val="579488D3"/>
    <w:rsid w:val="5796C87B"/>
    <w:rsid w:val="579C5E83"/>
    <w:rsid w:val="579E49A8"/>
    <w:rsid w:val="57AD9D34"/>
    <w:rsid w:val="57B07A40"/>
    <w:rsid w:val="57B687B2"/>
    <w:rsid w:val="57B93768"/>
    <w:rsid w:val="57C113EC"/>
    <w:rsid w:val="57C3FE4E"/>
    <w:rsid w:val="57C87708"/>
    <w:rsid w:val="57C98773"/>
    <w:rsid w:val="57CB7D57"/>
    <w:rsid w:val="57D9A7F6"/>
    <w:rsid w:val="57DB0DE7"/>
    <w:rsid w:val="57DB814B"/>
    <w:rsid w:val="57DFCEE7"/>
    <w:rsid w:val="57E261DA"/>
    <w:rsid w:val="57E6A6CD"/>
    <w:rsid w:val="57E7B8FB"/>
    <w:rsid w:val="57F8A784"/>
    <w:rsid w:val="57FFC215"/>
    <w:rsid w:val="58004471"/>
    <w:rsid w:val="580562ED"/>
    <w:rsid w:val="580F187E"/>
    <w:rsid w:val="5812969B"/>
    <w:rsid w:val="5814619F"/>
    <w:rsid w:val="581A1E1F"/>
    <w:rsid w:val="581B1ED4"/>
    <w:rsid w:val="5827B15A"/>
    <w:rsid w:val="58395295"/>
    <w:rsid w:val="583CA5DB"/>
    <w:rsid w:val="5840D8EE"/>
    <w:rsid w:val="58488607"/>
    <w:rsid w:val="5851DBC3"/>
    <w:rsid w:val="585AD6AD"/>
    <w:rsid w:val="5860B6B5"/>
    <w:rsid w:val="586587A2"/>
    <w:rsid w:val="586DCC72"/>
    <w:rsid w:val="58712D94"/>
    <w:rsid w:val="58755955"/>
    <w:rsid w:val="587BAF2B"/>
    <w:rsid w:val="587D9DC6"/>
    <w:rsid w:val="587DFACA"/>
    <w:rsid w:val="587FC744"/>
    <w:rsid w:val="5884E366"/>
    <w:rsid w:val="588F9788"/>
    <w:rsid w:val="58914474"/>
    <w:rsid w:val="58925CFF"/>
    <w:rsid w:val="589CC33C"/>
    <w:rsid w:val="58A2C858"/>
    <w:rsid w:val="58B5E599"/>
    <w:rsid w:val="58CBECB1"/>
    <w:rsid w:val="58DA6C05"/>
    <w:rsid w:val="58E6D5AA"/>
    <w:rsid w:val="58E6F483"/>
    <w:rsid w:val="58E920F8"/>
    <w:rsid w:val="58EDB770"/>
    <w:rsid w:val="58EE4AA3"/>
    <w:rsid w:val="58F0D265"/>
    <w:rsid w:val="58F55638"/>
    <w:rsid w:val="58F5EE0C"/>
    <w:rsid w:val="5901CAA3"/>
    <w:rsid w:val="5909B829"/>
    <w:rsid w:val="590ADA59"/>
    <w:rsid w:val="590BD613"/>
    <w:rsid w:val="590CDD70"/>
    <w:rsid w:val="591C3E45"/>
    <w:rsid w:val="592660C2"/>
    <w:rsid w:val="593730FF"/>
    <w:rsid w:val="593D3B79"/>
    <w:rsid w:val="593F9F64"/>
    <w:rsid w:val="59401B5B"/>
    <w:rsid w:val="5944C962"/>
    <w:rsid w:val="594EFFAF"/>
    <w:rsid w:val="5955D62B"/>
    <w:rsid w:val="5956B9FE"/>
    <w:rsid w:val="5963B39A"/>
    <w:rsid w:val="5964DDF2"/>
    <w:rsid w:val="596C10AF"/>
    <w:rsid w:val="596C76FA"/>
    <w:rsid w:val="5973C6E1"/>
    <w:rsid w:val="5976EB3D"/>
    <w:rsid w:val="597923B6"/>
    <w:rsid w:val="597AB009"/>
    <w:rsid w:val="597B4382"/>
    <w:rsid w:val="598718D0"/>
    <w:rsid w:val="598EA0B4"/>
    <w:rsid w:val="599860E0"/>
    <w:rsid w:val="599C14D2"/>
    <w:rsid w:val="599FB2A2"/>
    <w:rsid w:val="59A316B0"/>
    <w:rsid w:val="59A72EC5"/>
    <w:rsid w:val="59ABB8BD"/>
    <w:rsid w:val="59ACC718"/>
    <w:rsid w:val="59B34AE4"/>
    <w:rsid w:val="59BC2DE0"/>
    <w:rsid w:val="59DCF25F"/>
    <w:rsid w:val="59DE2D20"/>
    <w:rsid w:val="59E2C5BD"/>
    <w:rsid w:val="59E2DA9F"/>
    <w:rsid w:val="59E8CD63"/>
    <w:rsid w:val="59EA4F06"/>
    <w:rsid w:val="59EB2E35"/>
    <w:rsid w:val="59F97F9A"/>
    <w:rsid w:val="5A017DF4"/>
    <w:rsid w:val="5A0496E6"/>
    <w:rsid w:val="5A0BBA0F"/>
    <w:rsid w:val="5A123678"/>
    <w:rsid w:val="5A13302B"/>
    <w:rsid w:val="5A16842C"/>
    <w:rsid w:val="5A1A6F27"/>
    <w:rsid w:val="5A1EFE02"/>
    <w:rsid w:val="5A25C28A"/>
    <w:rsid w:val="5A272474"/>
    <w:rsid w:val="5A2E41B6"/>
    <w:rsid w:val="5A32DFBA"/>
    <w:rsid w:val="5A40BC73"/>
    <w:rsid w:val="5A47A0F8"/>
    <w:rsid w:val="5A64C875"/>
    <w:rsid w:val="5A72B454"/>
    <w:rsid w:val="5A7566D3"/>
    <w:rsid w:val="5A7D9B4D"/>
    <w:rsid w:val="5A83AFD7"/>
    <w:rsid w:val="5A84B35E"/>
    <w:rsid w:val="5A87A10B"/>
    <w:rsid w:val="5A8B5BFE"/>
    <w:rsid w:val="5A8D9048"/>
    <w:rsid w:val="5A95BED2"/>
    <w:rsid w:val="5A9915F9"/>
    <w:rsid w:val="5AA17088"/>
    <w:rsid w:val="5AAC4D6C"/>
    <w:rsid w:val="5AAD831D"/>
    <w:rsid w:val="5AAE4EFA"/>
    <w:rsid w:val="5ABF8893"/>
    <w:rsid w:val="5AC181AE"/>
    <w:rsid w:val="5ACD130C"/>
    <w:rsid w:val="5AD0D8FD"/>
    <w:rsid w:val="5ADB635D"/>
    <w:rsid w:val="5AE2D976"/>
    <w:rsid w:val="5AEA506E"/>
    <w:rsid w:val="5AF5F21E"/>
    <w:rsid w:val="5AF682B6"/>
    <w:rsid w:val="5AF6F093"/>
    <w:rsid w:val="5AFFAACB"/>
    <w:rsid w:val="5B02309D"/>
    <w:rsid w:val="5B0C4A15"/>
    <w:rsid w:val="5B0C6AAE"/>
    <w:rsid w:val="5B0CA7A1"/>
    <w:rsid w:val="5B0E3AF5"/>
    <w:rsid w:val="5B1CBB25"/>
    <w:rsid w:val="5B2F15AF"/>
    <w:rsid w:val="5B2FA3EB"/>
    <w:rsid w:val="5B2FF8D5"/>
    <w:rsid w:val="5B3816B8"/>
    <w:rsid w:val="5B3F1AB1"/>
    <w:rsid w:val="5B3FF6CA"/>
    <w:rsid w:val="5B47C77F"/>
    <w:rsid w:val="5B5EC10B"/>
    <w:rsid w:val="5B65BDC3"/>
    <w:rsid w:val="5B6AD0CD"/>
    <w:rsid w:val="5B73AD90"/>
    <w:rsid w:val="5B7BD065"/>
    <w:rsid w:val="5B7FCB72"/>
    <w:rsid w:val="5B8799BF"/>
    <w:rsid w:val="5B8BC06B"/>
    <w:rsid w:val="5B9A9B44"/>
    <w:rsid w:val="5B9D5C2B"/>
    <w:rsid w:val="5BA30725"/>
    <w:rsid w:val="5BA6ACF4"/>
    <w:rsid w:val="5BAAF238"/>
    <w:rsid w:val="5BAB5428"/>
    <w:rsid w:val="5BB6552F"/>
    <w:rsid w:val="5BB93AA1"/>
    <w:rsid w:val="5BBAA2F0"/>
    <w:rsid w:val="5BC7A75F"/>
    <w:rsid w:val="5BC9E1CD"/>
    <w:rsid w:val="5BD54D12"/>
    <w:rsid w:val="5BD65665"/>
    <w:rsid w:val="5BF63C9E"/>
    <w:rsid w:val="5BF9F152"/>
    <w:rsid w:val="5BFA5520"/>
    <w:rsid w:val="5BFFEBDD"/>
    <w:rsid w:val="5C021242"/>
    <w:rsid w:val="5C028093"/>
    <w:rsid w:val="5C0E84B5"/>
    <w:rsid w:val="5C234628"/>
    <w:rsid w:val="5C2E0399"/>
    <w:rsid w:val="5C31D2F1"/>
    <w:rsid w:val="5C326BBC"/>
    <w:rsid w:val="5C35E018"/>
    <w:rsid w:val="5C470DB8"/>
    <w:rsid w:val="5C57C5E2"/>
    <w:rsid w:val="5C5A31E5"/>
    <w:rsid w:val="5C5AA772"/>
    <w:rsid w:val="5C62B46B"/>
    <w:rsid w:val="5C64119D"/>
    <w:rsid w:val="5C644621"/>
    <w:rsid w:val="5C6A68FD"/>
    <w:rsid w:val="5C6CD738"/>
    <w:rsid w:val="5C745568"/>
    <w:rsid w:val="5C8A0384"/>
    <w:rsid w:val="5C8C3819"/>
    <w:rsid w:val="5C8EAD0A"/>
    <w:rsid w:val="5C8F0979"/>
    <w:rsid w:val="5C93C3C8"/>
    <w:rsid w:val="5CA183FE"/>
    <w:rsid w:val="5CA3E7A5"/>
    <w:rsid w:val="5CADFCCA"/>
    <w:rsid w:val="5CB0FCE8"/>
    <w:rsid w:val="5CB3FB13"/>
    <w:rsid w:val="5CBABEBC"/>
    <w:rsid w:val="5CBB033B"/>
    <w:rsid w:val="5CCA0386"/>
    <w:rsid w:val="5CD42D35"/>
    <w:rsid w:val="5CDA8E64"/>
    <w:rsid w:val="5CF38554"/>
    <w:rsid w:val="5CF3E3D8"/>
    <w:rsid w:val="5CFA4CB7"/>
    <w:rsid w:val="5D0CE55C"/>
    <w:rsid w:val="5D10DD08"/>
    <w:rsid w:val="5D11E3E1"/>
    <w:rsid w:val="5D138AFB"/>
    <w:rsid w:val="5D154772"/>
    <w:rsid w:val="5D17E38A"/>
    <w:rsid w:val="5D1C9C0F"/>
    <w:rsid w:val="5D201E15"/>
    <w:rsid w:val="5D251BF5"/>
    <w:rsid w:val="5D3586EA"/>
    <w:rsid w:val="5D3AFFF3"/>
    <w:rsid w:val="5D3B24BA"/>
    <w:rsid w:val="5D3BC890"/>
    <w:rsid w:val="5D4233D6"/>
    <w:rsid w:val="5D439B13"/>
    <w:rsid w:val="5D4710DC"/>
    <w:rsid w:val="5D4C23FE"/>
    <w:rsid w:val="5D4E4FE7"/>
    <w:rsid w:val="5D587B44"/>
    <w:rsid w:val="5D5B1C3C"/>
    <w:rsid w:val="5D60505B"/>
    <w:rsid w:val="5D623881"/>
    <w:rsid w:val="5D65EAE8"/>
    <w:rsid w:val="5D67D5EF"/>
    <w:rsid w:val="5D6A04E8"/>
    <w:rsid w:val="5D792061"/>
    <w:rsid w:val="5D806DF0"/>
    <w:rsid w:val="5D808F66"/>
    <w:rsid w:val="5D80ADEA"/>
    <w:rsid w:val="5D85D4BE"/>
    <w:rsid w:val="5D8687B0"/>
    <w:rsid w:val="5D87FE77"/>
    <w:rsid w:val="5D89D7A6"/>
    <w:rsid w:val="5D991839"/>
    <w:rsid w:val="5D9CE8EA"/>
    <w:rsid w:val="5DA359A3"/>
    <w:rsid w:val="5DA3CC48"/>
    <w:rsid w:val="5DA85198"/>
    <w:rsid w:val="5DAB9686"/>
    <w:rsid w:val="5DB1CCFC"/>
    <w:rsid w:val="5DB864CF"/>
    <w:rsid w:val="5DD0B8BB"/>
    <w:rsid w:val="5DD12C11"/>
    <w:rsid w:val="5DDDA56F"/>
    <w:rsid w:val="5DDF3467"/>
    <w:rsid w:val="5DF1B6F2"/>
    <w:rsid w:val="5DF3694A"/>
    <w:rsid w:val="5DFA1658"/>
    <w:rsid w:val="5E04105E"/>
    <w:rsid w:val="5E069F5C"/>
    <w:rsid w:val="5E11A433"/>
    <w:rsid w:val="5E14A39A"/>
    <w:rsid w:val="5E155E54"/>
    <w:rsid w:val="5E16F94F"/>
    <w:rsid w:val="5E1BA16F"/>
    <w:rsid w:val="5E233D30"/>
    <w:rsid w:val="5E247F2D"/>
    <w:rsid w:val="5E317D1C"/>
    <w:rsid w:val="5E36A56C"/>
    <w:rsid w:val="5E3908DF"/>
    <w:rsid w:val="5E3BE1C5"/>
    <w:rsid w:val="5E3E4726"/>
    <w:rsid w:val="5E491DDD"/>
    <w:rsid w:val="5E52A263"/>
    <w:rsid w:val="5E554BAD"/>
    <w:rsid w:val="5E5B9D1F"/>
    <w:rsid w:val="5E6C0088"/>
    <w:rsid w:val="5E6DCCD6"/>
    <w:rsid w:val="5E828549"/>
    <w:rsid w:val="5E8B2DD2"/>
    <w:rsid w:val="5E8D622D"/>
    <w:rsid w:val="5E916747"/>
    <w:rsid w:val="5E9D6E19"/>
    <w:rsid w:val="5EB45590"/>
    <w:rsid w:val="5EB69E96"/>
    <w:rsid w:val="5EB75011"/>
    <w:rsid w:val="5EBBC163"/>
    <w:rsid w:val="5EC4B642"/>
    <w:rsid w:val="5EC72770"/>
    <w:rsid w:val="5ECC4991"/>
    <w:rsid w:val="5EDD08D8"/>
    <w:rsid w:val="5EE21E77"/>
    <w:rsid w:val="5EE4808E"/>
    <w:rsid w:val="5EE55915"/>
    <w:rsid w:val="5EE84D17"/>
    <w:rsid w:val="5EE9DE32"/>
    <w:rsid w:val="5EEAED52"/>
    <w:rsid w:val="5EEFE587"/>
    <w:rsid w:val="5EF416BE"/>
    <w:rsid w:val="5EF918D1"/>
    <w:rsid w:val="5F151AB2"/>
    <w:rsid w:val="5F180EC1"/>
    <w:rsid w:val="5F2174F1"/>
    <w:rsid w:val="5F217DD0"/>
    <w:rsid w:val="5F222B34"/>
    <w:rsid w:val="5F2596A4"/>
    <w:rsid w:val="5F2AE757"/>
    <w:rsid w:val="5F2B6A3F"/>
    <w:rsid w:val="5F2E6C1A"/>
    <w:rsid w:val="5F3A0E9C"/>
    <w:rsid w:val="5F3B6AA9"/>
    <w:rsid w:val="5F41D604"/>
    <w:rsid w:val="5F4B9DD0"/>
    <w:rsid w:val="5F673285"/>
    <w:rsid w:val="5F83FEE8"/>
    <w:rsid w:val="5F8F7F43"/>
    <w:rsid w:val="5F94F560"/>
    <w:rsid w:val="5FAB84B7"/>
    <w:rsid w:val="5FAD2408"/>
    <w:rsid w:val="5FB18B85"/>
    <w:rsid w:val="5FB18D33"/>
    <w:rsid w:val="5FB4B9FA"/>
    <w:rsid w:val="5FB4FACD"/>
    <w:rsid w:val="5FB51072"/>
    <w:rsid w:val="5FB9EFBD"/>
    <w:rsid w:val="5FBE7F1A"/>
    <w:rsid w:val="5FCC89F5"/>
    <w:rsid w:val="5FCEBEDC"/>
    <w:rsid w:val="5FD6E4D1"/>
    <w:rsid w:val="5FDD2EB9"/>
    <w:rsid w:val="5FE37333"/>
    <w:rsid w:val="5FE4EE3E"/>
    <w:rsid w:val="5FFA3A07"/>
    <w:rsid w:val="5FFAECA9"/>
    <w:rsid w:val="5FFDF9F5"/>
    <w:rsid w:val="600010B1"/>
    <w:rsid w:val="6001F57F"/>
    <w:rsid w:val="60097BA1"/>
    <w:rsid w:val="600D1C5B"/>
    <w:rsid w:val="600EDD17"/>
    <w:rsid w:val="60160476"/>
    <w:rsid w:val="601B01E5"/>
    <w:rsid w:val="6020307B"/>
    <w:rsid w:val="60281D38"/>
    <w:rsid w:val="6029EF40"/>
    <w:rsid w:val="60337776"/>
    <w:rsid w:val="60396E35"/>
    <w:rsid w:val="603A67E2"/>
    <w:rsid w:val="604333C3"/>
    <w:rsid w:val="60433AB9"/>
    <w:rsid w:val="605B7D7D"/>
    <w:rsid w:val="605BF023"/>
    <w:rsid w:val="607011B5"/>
    <w:rsid w:val="6072FCF5"/>
    <w:rsid w:val="6079F7BF"/>
    <w:rsid w:val="607FB24C"/>
    <w:rsid w:val="60870457"/>
    <w:rsid w:val="608FE71F"/>
    <w:rsid w:val="6091572D"/>
    <w:rsid w:val="609236E1"/>
    <w:rsid w:val="6096CB65"/>
    <w:rsid w:val="609CB85D"/>
    <w:rsid w:val="60A73AF6"/>
    <w:rsid w:val="60AC0CE1"/>
    <w:rsid w:val="60B18CF1"/>
    <w:rsid w:val="60B658DC"/>
    <w:rsid w:val="60BD11AA"/>
    <w:rsid w:val="60BDE0CA"/>
    <w:rsid w:val="60BDF2D2"/>
    <w:rsid w:val="60C6749D"/>
    <w:rsid w:val="60C870E7"/>
    <w:rsid w:val="60CE18FD"/>
    <w:rsid w:val="60DC9F75"/>
    <w:rsid w:val="60DD6CA9"/>
    <w:rsid w:val="60E1F5C2"/>
    <w:rsid w:val="60E334B9"/>
    <w:rsid w:val="60E39922"/>
    <w:rsid w:val="60E52959"/>
    <w:rsid w:val="60E97ED1"/>
    <w:rsid w:val="60FA4592"/>
    <w:rsid w:val="60FD51AE"/>
    <w:rsid w:val="6103E009"/>
    <w:rsid w:val="61094F8B"/>
    <w:rsid w:val="6113DD4B"/>
    <w:rsid w:val="6115A46C"/>
    <w:rsid w:val="61165C97"/>
    <w:rsid w:val="612D180C"/>
    <w:rsid w:val="613204E3"/>
    <w:rsid w:val="6133626E"/>
    <w:rsid w:val="6137D651"/>
    <w:rsid w:val="61472EC4"/>
    <w:rsid w:val="614F3D74"/>
    <w:rsid w:val="614FA52B"/>
    <w:rsid w:val="61581E47"/>
    <w:rsid w:val="615F73EC"/>
    <w:rsid w:val="616252CF"/>
    <w:rsid w:val="616550D8"/>
    <w:rsid w:val="6168106A"/>
    <w:rsid w:val="61738F12"/>
    <w:rsid w:val="617B03B7"/>
    <w:rsid w:val="618360B7"/>
    <w:rsid w:val="618CC383"/>
    <w:rsid w:val="618CFB66"/>
    <w:rsid w:val="61900EC4"/>
    <w:rsid w:val="6194F9AC"/>
    <w:rsid w:val="619D74A9"/>
    <w:rsid w:val="619E608E"/>
    <w:rsid w:val="61A353AD"/>
    <w:rsid w:val="61AA7691"/>
    <w:rsid w:val="61AAAFA0"/>
    <w:rsid w:val="61AB28D2"/>
    <w:rsid w:val="61AC9323"/>
    <w:rsid w:val="61B99CD9"/>
    <w:rsid w:val="61C04877"/>
    <w:rsid w:val="61C0EBA2"/>
    <w:rsid w:val="61C25D5A"/>
    <w:rsid w:val="61C2694B"/>
    <w:rsid w:val="61C7D1A0"/>
    <w:rsid w:val="61C98BE0"/>
    <w:rsid w:val="61DBD92D"/>
    <w:rsid w:val="61E2AA21"/>
    <w:rsid w:val="61EEDA25"/>
    <w:rsid w:val="61F00551"/>
    <w:rsid w:val="61F79003"/>
    <w:rsid w:val="61FCE943"/>
    <w:rsid w:val="61FEAE49"/>
    <w:rsid w:val="6209377D"/>
    <w:rsid w:val="620BFAC9"/>
    <w:rsid w:val="62112717"/>
    <w:rsid w:val="6219B9E0"/>
    <w:rsid w:val="621C8636"/>
    <w:rsid w:val="6221F54A"/>
    <w:rsid w:val="6227C9D9"/>
    <w:rsid w:val="623A3010"/>
    <w:rsid w:val="623B1AE1"/>
    <w:rsid w:val="6259C818"/>
    <w:rsid w:val="625A06B7"/>
    <w:rsid w:val="62619E4B"/>
    <w:rsid w:val="6264E01D"/>
    <w:rsid w:val="626FCD4B"/>
    <w:rsid w:val="627DB821"/>
    <w:rsid w:val="628104BE"/>
    <w:rsid w:val="628A30D6"/>
    <w:rsid w:val="62967ADC"/>
    <w:rsid w:val="629E0B6F"/>
    <w:rsid w:val="629E173B"/>
    <w:rsid w:val="62A75E41"/>
    <w:rsid w:val="62AFD675"/>
    <w:rsid w:val="62B42F92"/>
    <w:rsid w:val="62B7B1FF"/>
    <w:rsid w:val="62B834EE"/>
    <w:rsid w:val="62BA00D2"/>
    <w:rsid w:val="62BA1BA0"/>
    <w:rsid w:val="62BA52D9"/>
    <w:rsid w:val="62BD3B66"/>
    <w:rsid w:val="62C3D517"/>
    <w:rsid w:val="62C499D8"/>
    <w:rsid w:val="62CF5060"/>
    <w:rsid w:val="62D0D0BB"/>
    <w:rsid w:val="62D1B11E"/>
    <w:rsid w:val="62D9E048"/>
    <w:rsid w:val="62E923DE"/>
    <w:rsid w:val="62F879F1"/>
    <w:rsid w:val="62FD1FFA"/>
    <w:rsid w:val="62FD6224"/>
    <w:rsid w:val="6300E7A2"/>
    <w:rsid w:val="63081AEF"/>
    <w:rsid w:val="630B96D7"/>
    <w:rsid w:val="6329DD8D"/>
    <w:rsid w:val="632FF949"/>
    <w:rsid w:val="6339DA6C"/>
    <w:rsid w:val="634675D0"/>
    <w:rsid w:val="634CFE49"/>
    <w:rsid w:val="635026CC"/>
    <w:rsid w:val="63526F0F"/>
    <w:rsid w:val="6367168D"/>
    <w:rsid w:val="636B3C92"/>
    <w:rsid w:val="636C82CD"/>
    <w:rsid w:val="636DE4FB"/>
    <w:rsid w:val="6374AA73"/>
    <w:rsid w:val="63802CF3"/>
    <w:rsid w:val="638B560E"/>
    <w:rsid w:val="63A7F0A7"/>
    <w:rsid w:val="63A9C2E1"/>
    <w:rsid w:val="63AADDDF"/>
    <w:rsid w:val="63AF76B7"/>
    <w:rsid w:val="63C69684"/>
    <w:rsid w:val="63CACBB7"/>
    <w:rsid w:val="63D347B8"/>
    <w:rsid w:val="63D60071"/>
    <w:rsid w:val="63E3029C"/>
    <w:rsid w:val="63E6A21F"/>
    <w:rsid w:val="63E97876"/>
    <w:rsid w:val="63E9B90C"/>
    <w:rsid w:val="63EAD913"/>
    <w:rsid w:val="63F15C01"/>
    <w:rsid w:val="63F4F8D5"/>
    <w:rsid w:val="63F57C6A"/>
    <w:rsid w:val="63FC44E8"/>
    <w:rsid w:val="64137F62"/>
    <w:rsid w:val="6413AC76"/>
    <w:rsid w:val="641404FC"/>
    <w:rsid w:val="6424F481"/>
    <w:rsid w:val="6427A20C"/>
    <w:rsid w:val="64296AA3"/>
    <w:rsid w:val="642A3CF8"/>
    <w:rsid w:val="64350D31"/>
    <w:rsid w:val="644E7BF8"/>
    <w:rsid w:val="64589EB3"/>
    <w:rsid w:val="64677139"/>
    <w:rsid w:val="648A56F5"/>
    <w:rsid w:val="649027B8"/>
    <w:rsid w:val="649346DD"/>
    <w:rsid w:val="6493A80C"/>
    <w:rsid w:val="649B6F6D"/>
    <w:rsid w:val="649CDBC3"/>
    <w:rsid w:val="64A40FC1"/>
    <w:rsid w:val="64A7B28A"/>
    <w:rsid w:val="64BF8637"/>
    <w:rsid w:val="64C092DD"/>
    <w:rsid w:val="64DF96D8"/>
    <w:rsid w:val="64EC8BC8"/>
    <w:rsid w:val="650157E5"/>
    <w:rsid w:val="65016F3B"/>
    <w:rsid w:val="65094CF9"/>
    <w:rsid w:val="650B1D2A"/>
    <w:rsid w:val="650DB128"/>
    <w:rsid w:val="650E00B0"/>
    <w:rsid w:val="652CF0FC"/>
    <w:rsid w:val="653A31D6"/>
    <w:rsid w:val="653B4DAC"/>
    <w:rsid w:val="6545C967"/>
    <w:rsid w:val="65497B14"/>
    <w:rsid w:val="654FFFCF"/>
    <w:rsid w:val="65500236"/>
    <w:rsid w:val="65534448"/>
    <w:rsid w:val="655D0D84"/>
    <w:rsid w:val="655FF901"/>
    <w:rsid w:val="656266E5"/>
    <w:rsid w:val="6564EB53"/>
    <w:rsid w:val="656917EF"/>
    <w:rsid w:val="656EE18B"/>
    <w:rsid w:val="656F264E"/>
    <w:rsid w:val="65806B53"/>
    <w:rsid w:val="658585FD"/>
    <w:rsid w:val="65859AEF"/>
    <w:rsid w:val="658B9598"/>
    <w:rsid w:val="658C91DC"/>
    <w:rsid w:val="6592B363"/>
    <w:rsid w:val="65991E77"/>
    <w:rsid w:val="659A9211"/>
    <w:rsid w:val="659E2264"/>
    <w:rsid w:val="65A8F093"/>
    <w:rsid w:val="65B72CDF"/>
    <w:rsid w:val="65C7F7C0"/>
    <w:rsid w:val="65C8AFB8"/>
    <w:rsid w:val="65CA1AA9"/>
    <w:rsid w:val="65CA94B3"/>
    <w:rsid w:val="65D5A333"/>
    <w:rsid w:val="65E5CE6D"/>
    <w:rsid w:val="65E699C5"/>
    <w:rsid w:val="65E8747A"/>
    <w:rsid w:val="65EAF3AC"/>
    <w:rsid w:val="65EB872A"/>
    <w:rsid w:val="65F0673B"/>
    <w:rsid w:val="66006771"/>
    <w:rsid w:val="6602149C"/>
    <w:rsid w:val="6607C35A"/>
    <w:rsid w:val="660B6BFD"/>
    <w:rsid w:val="660DF921"/>
    <w:rsid w:val="6610B605"/>
    <w:rsid w:val="66127B54"/>
    <w:rsid w:val="6613E50C"/>
    <w:rsid w:val="6615554B"/>
    <w:rsid w:val="6615CB2F"/>
    <w:rsid w:val="6615E6F4"/>
    <w:rsid w:val="6620D4F4"/>
    <w:rsid w:val="66264244"/>
    <w:rsid w:val="6627BEC7"/>
    <w:rsid w:val="66280F1B"/>
    <w:rsid w:val="662A829A"/>
    <w:rsid w:val="6637065A"/>
    <w:rsid w:val="663C0DE5"/>
    <w:rsid w:val="663F7854"/>
    <w:rsid w:val="6641C5FB"/>
    <w:rsid w:val="664A5AEF"/>
    <w:rsid w:val="665E7C20"/>
    <w:rsid w:val="6664454C"/>
    <w:rsid w:val="667EFEA4"/>
    <w:rsid w:val="6682262C"/>
    <w:rsid w:val="668CBA9D"/>
    <w:rsid w:val="669037FD"/>
    <w:rsid w:val="66965349"/>
    <w:rsid w:val="669FA82C"/>
    <w:rsid w:val="66A4238F"/>
    <w:rsid w:val="66A4EC2F"/>
    <w:rsid w:val="66A54A16"/>
    <w:rsid w:val="66B2D6D9"/>
    <w:rsid w:val="66B77AE9"/>
    <w:rsid w:val="66B80DB8"/>
    <w:rsid w:val="66B93864"/>
    <w:rsid w:val="66BBD70F"/>
    <w:rsid w:val="66BCD455"/>
    <w:rsid w:val="66BE075F"/>
    <w:rsid w:val="66BFF4F2"/>
    <w:rsid w:val="66C03310"/>
    <w:rsid w:val="66C2670C"/>
    <w:rsid w:val="66D25DBB"/>
    <w:rsid w:val="66D6BAE3"/>
    <w:rsid w:val="66D89700"/>
    <w:rsid w:val="66DBAC02"/>
    <w:rsid w:val="66DC4E93"/>
    <w:rsid w:val="66E47474"/>
    <w:rsid w:val="66E56545"/>
    <w:rsid w:val="66EBD297"/>
    <w:rsid w:val="67079FC4"/>
    <w:rsid w:val="670B29CC"/>
    <w:rsid w:val="671047A0"/>
    <w:rsid w:val="6711E9E9"/>
    <w:rsid w:val="6717444F"/>
    <w:rsid w:val="671D2E04"/>
    <w:rsid w:val="671F00C4"/>
    <w:rsid w:val="6722978E"/>
    <w:rsid w:val="67233890"/>
    <w:rsid w:val="672AE1A9"/>
    <w:rsid w:val="672E4F89"/>
    <w:rsid w:val="6732CFD2"/>
    <w:rsid w:val="67400931"/>
    <w:rsid w:val="67403426"/>
    <w:rsid w:val="6741EDB5"/>
    <w:rsid w:val="6746C817"/>
    <w:rsid w:val="67475D52"/>
    <w:rsid w:val="6752DC45"/>
    <w:rsid w:val="67574826"/>
    <w:rsid w:val="6759E637"/>
    <w:rsid w:val="675FA87A"/>
    <w:rsid w:val="6767114E"/>
    <w:rsid w:val="676AE335"/>
    <w:rsid w:val="676B763A"/>
    <w:rsid w:val="67733671"/>
    <w:rsid w:val="67773A8C"/>
    <w:rsid w:val="67872AB0"/>
    <w:rsid w:val="678A1EDF"/>
    <w:rsid w:val="678E0772"/>
    <w:rsid w:val="679029FF"/>
    <w:rsid w:val="67926DB7"/>
    <w:rsid w:val="679863F2"/>
    <w:rsid w:val="67A4BB45"/>
    <w:rsid w:val="67B5E783"/>
    <w:rsid w:val="67BEAAC4"/>
    <w:rsid w:val="67C652FB"/>
    <w:rsid w:val="67CB17F9"/>
    <w:rsid w:val="67CF8F22"/>
    <w:rsid w:val="67D14789"/>
    <w:rsid w:val="67D47657"/>
    <w:rsid w:val="67DBF318"/>
    <w:rsid w:val="67EC0457"/>
    <w:rsid w:val="67FD7163"/>
    <w:rsid w:val="67FE218E"/>
    <w:rsid w:val="6809E12B"/>
    <w:rsid w:val="680FADDE"/>
    <w:rsid w:val="68187794"/>
    <w:rsid w:val="682181DB"/>
    <w:rsid w:val="682241FB"/>
    <w:rsid w:val="68261E29"/>
    <w:rsid w:val="682740E5"/>
    <w:rsid w:val="6831832D"/>
    <w:rsid w:val="683809DC"/>
    <w:rsid w:val="6838C6A1"/>
    <w:rsid w:val="6840835F"/>
    <w:rsid w:val="6846EC3A"/>
    <w:rsid w:val="684F5A76"/>
    <w:rsid w:val="68503C90"/>
    <w:rsid w:val="6855BD63"/>
    <w:rsid w:val="685E66EE"/>
    <w:rsid w:val="685F2962"/>
    <w:rsid w:val="685F9925"/>
    <w:rsid w:val="686641C0"/>
    <w:rsid w:val="68666DD6"/>
    <w:rsid w:val="6869F24B"/>
    <w:rsid w:val="687F2073"/>
    <w:rsid w:val="6886481A"/>
    <w:rsid w:val="688EC1AF"/>
    <w:rsid w:val="688F29C3"/>
    <w:rsid w:val="68983356"/>
    <w:rsid w:val="6899577C"/>
    <w:rsid w:val="68A22257"/>
    <w:rsid w:val="68A2A8A9"/>
    <w:rsid w:val="68AFF93C"/>
    <w:rsid w:val="68C44CFC"/>
    <w:rsid w:val="68CD8E7F"/>
    <w:rsid w:val="68D3DF60"/>
    <w:rsid w:val="68ECDBDA"/>
    <w:rsid w:val="68F695E7"/>
    <w:rsid w:val="69026F2D"/>
    <w:rsid w:val="6906B396"/>
    <w:rsid w:val="691AB60F"/>
    <w:rsid w:val="691C78DB"/>
    <w:rsid w:val="692033EF"/>
    <w:rsid w:val="692738D3"/>
    <w:rsid w:val="6930CDCE"/>
    <w:rsid w:val="69364070"/>
    <w:rsid w:val="69418F05"/>
    <w:rsid w:val="6948D715"/>
    <w:rsid w:val="6952C374"/>
    <w:rsid w:val="695E0F20"/>
    <w:rsid w:val="695E4F84"/>
    <w:rsid w:val="6965158F"/>
    <w:rsid w:val="6967E6F5"/>
    <w:rsid w:val="696F1BED"/>
    <w:rsid w:val="69712D1C"/>
    <w:rsid w:val="697F9105"/>
    <w:rsid w:val="6982E998"/>
    <w:rsid w:val="69977858"/>
    <w:rsid w:val="6998CFB6"/>
    <w:rsid w:val="699E22E5"/>
    <w:rsid w:val="699E8FF5"/>
    <w:rsid w:val="69A42B04"/>
    <w:rsid w:val="69A4658E"/>
    <w:rsid w:val="69A4A051"/>
    <w:rsid w:val="69A621AC"/>
    <w:rsid w:val="69AA23F4"/>
    <w:rsid w:val="69B140B6"/>
    <w:rsid w:val="69B1B65F"/>
    <w:rsid w:val="69B32614"/>
    <w:rsid w:val="69B4818D"/>
    <w:rsid w:val="69BEC332"/>
    <w:rsid w:val="69C09CBC"/>
    <w:rsid w:val="69C14874"/>
    <w:rsid w:val="69C5DF78"/>
    <w:rsid w:val="69C9F87D"/>
    <w:rsid w:val="69CFE1E2"/>
    <w:rsid w:val="69DB5C9B"/>
    <w:rsid w:val="69DC0A0C"/>
    <w:rsid w:val="69DCEAD8"/>
    <w:rsid w:val="69F6878C"/>
    <w:rsid w:val="69F69E24"/>
    <w:rsid w:val="6A1A4FAC"/>
    <w:rsid w:val="6A1DAE70"/>
    <w:rsid w:val="6A23576A"/>
    <w:rsid w:val="6A275981"/>
    <w:rsid w:val="6A287748"/>
    <w:rsid w:val="6A2894A2"/>
    <w:rsid w:val="6A2B701D"/>
    <w:rsid w:val="6A2FF309"/>
    <w:rsid w:val="6A32B90D"/>
    <w:rsid w:val="6A3A598A"/>
    <w:rsid w:val="6A3ED1EA"/>
    <w:rsid w:val="6A45D0F3"/>
    <w:rsid w:val="6A4A16F9"/>
    <w:rsid w:val="6A530DB8"/>
    <w:rsid w:val="6A53298B"/>
    <w:rsid w:val="6A59321D"/>
    <w:rsid w:val="6A5DB4F3"/>
    <w:rsid w:val="6A5FDB3B"/>
    <w:rsid w:val="6A62C3C0"/>
    <w:rsid w:val="6A62CF69"/>
    <w:rsid w:val="6A692B53"/>
    <w:rsid w:val="6A726C40"/>
    <w:rsid w:val="6A773C31"/>
    <w:rsid w:val="6A818D8D"/>
    <w:rsid w:val="6A8363FC"/>
    <w:rsid w:val="6A8793CF"/>
    <w:rsid w:val="6A8A12F0"/>
    <w:rsid w:val="6A91939B"/>
    <w:rsid w:val="6A9D97DC"/>
    <w:rsid w:val="6AA65867"/>
    <w:rsid w:val="6AAAD569"/>
    <w:rsid w:val="6AB5892B"/>
    <w:rsid w:val="6ABA6E80"/>
    <w:rsid w:val="6AC8D838"/>
    <w:rsid w:val="6AC94016"/>
    <w:rsid w:val="6AC9D6A7"/>
    <w:rsid w:val="6AD22340"/>
    <w:rsid w:val="6ADCFC47"/>
    <w:rsid w:val="6AE3FC0A"/>
    <w:rsid w:val="6AE7F1CC"/>
    <w:rsid w:val="6AF09664"/>
    <w:rsid w:val="6AF2BB6C"/>
    <w:rsid w:val="6B08C1A4"/>
    <w:rsid w:val="6B0CB999"/>
    <w:rsid w:val="6B155EFF"/>
    <w:rsid w:val="6B18421B"/>
    <w:rsid w:val="6B22A0C0"/>
    <w:rsid w:val="6B2EE48C"/>
    <w:rsid w:val="6B379EE2"/>
    <w:rsid w:val="6B38525F"/>
    <w:rsid w:val="6B3D02BB"/>
    <w:rsid w:val="6B42C358"/>
    <w:rsid w:val="6B49CFA9"/>
    <w:rsid w:val="6B54A25A"/>
    <w:rsid w:val="6B54DC4F"/>
    <w:rsid w:val="6B5943CD"/>
    <w:rsid w:val="6B5A4699"/>
    <w:rsid w:val="6B6B52E1"/>
    <w:rsid w:val="6B725D6E"/>
    <w:rsid w:val="6B7CDA35"/>
    <w:rsid w:val="6B7ED4C8"/>
    <w:rsid w:val="6B8A2002"/>
    <w:rsid w:val="6B908BD3"/>
    <w:rsid w:val="6B946C6D"/>
    <w:rsid w:val="6B9B0D56"/>
    <w:rsid w:val="6B9BD97D"/>
    <w:rsid w:val="6B9D9BD9"/>
    <w:rsid w:val="6BA0BC18"/>
    <w:rsid w:val="6BA10DA6"/>
    <w:rsid w:val="6BAB83BC"/>
    <w:rsid w:val="6BAC60D6"/>
    <w:rsid w:val="6BB28B24"/>
    <w:rsid w:val="6BB5A8D4"/>
    <w:rsid w:val="6BB629C0"/>
    <w:rsid w:val="6BB94C70"/>
    <w:rsid w:val="6BC899D3"/>
    <w:rsid w:val="6BCA7DE8"/>
    <w:rsid w:val="6BCD2C5F"/>
    <w:rsid w:val="6BE4A872"/>
    <w:rsid w:val="6BE7F58C"/>
    <w:rsid w:val="6BEE87B9"/>
    <w:rsid w:val="6BF733C5"/>
    <w:rsid w:val="6BFAEFF1"/>
    <w:rsid w:val="6C003FA6"/>
    <w:rsid w:val="6C07AF1D"/>
    <w:rsid w:val="6C0D8104"/>
    <w:rsid w:val="6C1C4BB1"/>
    <w:rsid w:val="6C1DB2E5"/>
    <w:rsid w:val="6C20069A"/>
    <w:rsid w:val="6C253841"/>
    <w:rsid w:val="6C278FA6"/>
    <w:rsid w:val="6C2C9B8F"/>
    <w:rsid w:val="6C304686"/>
    <w:rsid w:val="6C3396B3"/>
    <w:rsid w:val="6C39BA9B"/>
    <w:rsid w:val="6C3C6BBF"/>
    <w:rsid w:val="6C42EC82"/>
    <w:rsid w:val="6C696A4F"/>
    <w:rsid w:val="6C715F36"/>
    <w:rsid w:val="6C71B608"/>
    <w:rsid w:val="6C756496"/>
    <w:rsid w:val="6C7A14A5"/>
    <w:rsid w:val="6C7C7D58"/>
    <w:rsid w:val="6C82A97D"/>
    <w:rsid w:val="6C88D6E9"/>
    <w:rsid w:val="6C8C2BE1"/>
    <w:rsid w:val="6C900624"/>
    <w:rsid w:val="6C91FB3C"/>
    <w:rsid w:val="6C990E58"/>
    <w:rsid w:val="6CA37141"/>
    <w:rsid w:val="6CA6A4A7"/>
    <w:rsid w:val="6CBB3D08"/>
    <w:rsid w:val="6CC94DB1"/>
    <w:rsid w:val="6CCD148C"/>
    <w:rsid w:val="6CCF0731"/>
    <w:rsid w:val="6CDD6791"/>
    <w:rsid w:val="6CE1F163"/>
    <w:rsid w:val="6CF086E7"/>
    <w:rsid w:val="6CFCAD2A"/>
    <w:rsid w:val="6D0E55D0"/>
    <w:rsid w:val="6D0F24AC"/>
    <w:rsid w:val="6D25FEAB"/>
    <w:rsid w:val="6D28D83D"/>
    <w:rsid w:val="6D2B8B2A"/>
    <w:rsid w:val="6D2C1B5E"/>
    <w:rsid w:val="6D307DA0"/>
    <w:rsid w:val="6D3C194D"/>
    <w:rsid w:val="6D3C96B6"/>
    <w:rsid w:val="6D4579F4"/>
    <w:rsid w:val="6D46CA7B"/>
    <w:rsid w:val="6D572A93"/>
    <w:rsid w:val="6D5ABF16"/>
    <w:rsid w:val="6D5B4E51"/>
    <w:rsid w:val="6D64EF5B"/>
    <w:rsid w:val="6D6739A7"/>
    <w:rsid w:val="6D6901C9"/>
    <w:rsid w:val="6D84B37A"/>
    <w:rsid w:val="6D8914D9"/>
    <w:rsid w:val="6D8A0899"/>
    <w:rsid w:val="6D8A42FF"/>
    <w:rsid w:val="6D9319F5"/>
    <w:rsid w:val="6D93D1A7"/>
    <w:rsid w:val="6D941689"/>
    <w:rsid w:val="6D954FF0"/>
    <w:rsid w:val="6D958BE9"/>
    <w:rsid w:val="6D9BFCA3"/>
    <w:rsid w:val="6DA05A0F"/>
    <w:rsid w:val="6DB5EE39"/>
    <w:rsid w:val="6DB7C5FF"/>
    <w:rsid w:val="6DB82D07"/>
    <w:rsid w:val="6DB9C12C"/>
    <w:rsid w:val="6DBA9940"/>
    <w:rsid w:val="6DBB643D"/>
    <w:rsid w:val="6DBC4873"/>
    <w:rsid w:val="6DCB49EB"/>
    <w:rsid w:val="6DD0EA53"/>
    <w:rsid w:val="6DD3726C"/>
    <w:rsid w:val="6DD81814"/>
    <w:rsid w:val="6DF1103F"/>
    <w:rsid w:val="6DF4C3AE"/>
    <w:rsid w:val="6E03E6BA"/>
    <w:rsid w:val="6E0A8ECB"/>
    <w:rsid w:val="6E0FF821"/>
    <w:rsid w:val="6E108231"/>
    <w:rsid w:val="6E1334BB"/>
    <w:rsid w:val="6E1A182D"/>
    <w:rsid w:val="6E1A408C"/>
    <w:rsid w:val="6E27D547"/>
    <w:rsid w:val="6E27F844"/>
    <w:rsid w:val="6E2AAF98"/>
    <w:rsid w:val="6E2F9D8E"/>
    <w:rsid w:val="6E4399CA"/>
    <w:rsid w:val="6E486A34"/>
    <w:rsid w:val="6E598AC3"/>
    <w:rsid w:val="6E62CF54"/>
    <w:rsid w:val="6E63DC8D"/>
    <w:rsid w:val="6E6BEAA5"/>
    <w:rsid w:val="6E6D45A3"/>
    <w:rsid w:val="6E6FED2C"/>
    <w:rsid w:val="6E7FE843"/>
    <w:rsid w:val="6E9EDB5A"/>
    <w:rsid w:val="6E9F55E5"/>
    <w:rsid w:val="6EA1D87C"/>
    <w:rsid w:val="6EA6CEDE"/>
    <w:rsid w:val="6EA7ACA2"/>
    <w:rsid w:val="6EA9B7A4"/>
    <w:rsid w:val="6EB46682"/>
    <w:rsid w:val="6EB623DB"/>
    <w:rsid w:val="6EB6F031"/>
    <w:rsid w:val="6EB7703D"/>
    <w:rsid w:val="6EB9A5AA"/>
    <w:rsid w:val="6EC1ACEF"/>
    <w:rsid w:val="6ECA04C0"/>
    <w:rsid w:val="6ECEE910"/>
    <w:rsid w:val="6EF37AE3"/>
    <w:rsid w:val="6EF7419C"/>
    <w:rsid w:val="6EF8FD88"/>
    <w:rsid w:val="6F0052AD"/>
    <w:rsid w:val="6F01DCE1"/>
    <w:rsid w:val="6F075D48"/>
    <w:rsid w:val="6F0B4760"/>
    <w:rsid w:val="6F175945"/>
    <w:rsid w:val="6F18FE19"/>
    <w:rsid w:val="6F197449"/>
    <w:rsid w:val="6F236A66"/>
    <w:rsid w:val="6F2BF86C"/>
    <w:rsid w:val="6F2CCA8C"/>
    <w:rsid w:val="6F38C537"/>
    <w:rsid w:val="6F455E31"/>
    <w:rsid w:val="6F4CC5AE"/>
    <w:rsid w:val="6F5926A3"/>
    <w:rsid w:val="6F5FF248"/>
    <w:rsid w:val="6F602A20"/>
    <w:rsid w:val="6F62D1AA"/>
    <w:rsid w:val="6F65131D"/>
    <w:rsid w:val="6F65565E"/>
    <w:rsid w:val="6F692B63"/>
    <w:rsid w:val="6F6D9B7F"/>
    <w:rsid w:val="6F75B8C0"/>
    <w:rsid w:val="6F77BDB1"/>
    <w:rsid w:val="6F77FAC1"/>
    <w:rsid w:val="6F791438"/>
    <w:rsid w:val="6F79856F"/>
    <w:rsid w:val="6F836F85"/>
    <w:rsid w:val="6F8712C4"/>
    <w:rsid w:val="6F8CECE4"/>
    <w:rsid w:val="6F92E659"/>
    <w:rsid w:val="6F93737A"/>
    <w:rsid w:val="6F96B834"/>
    <w:rsid w:val="6FA121E2"/>
    <w:rsid w:val="6FB125A5"/>
    <w:rsid w:val="6FB5A4A4"/>
    <w:rsid w:val="6FB917B8"/>
    <w:rsid w:val="6FBAEE1C"/>
    <w:rsid w:val="6FC68CE8"/>
    <w:rsid w:val="6FC6D136"/>
    <w:rsid w:val="6FC9CB63"/>
    <w:rsid w:val="6FCB31F1"/>
    <w:rsid w:val="6FCDF8C2"/>
    <w:rsid w:val="6FD53344"/>
    <w:rsid w:val="6FD77537"/>
    <w:rsid w:val="6FD87FCA"/>
    <w:rsid w:val="6FDCFB44"/>
    <w:rsid w:val="6FDD4772"/>
    <w:rsid w:val="6FE4D0E8"/>
    <w:rsid w:val="6FE93BB0"/>
    <w:rsid w:val="6FEEE533"/>
    <w:rsid w:val="6FF0AF8C"/>
    <w:rsid w:val="6FF2F6EE"/>
    <w:rsid w:val="6FF3C4EF"/>
    <w:rsid w:val="700FAAAF"/>
    <w:rsid w:val="7017932B"/>
    <w:rsid w:val="7017D009"/>
    <w:rsid w:val="701B86B8"/>
    <w:rsid w:val="701E4E02"/>
    <w:rsid w:val="701F10D2"/>
    <w:rsid w:val="70272706"/>
    <w:rsid w:val="702D5E33"/>
    <w:rsid w:val="703825ED"/>
    <w:rsid w:val="7039A5C3"/>
    <w:rsid w:val="703B2156"/>
    <w:rsid w:val="703DB51A"/>
    <w:rsid w:val="7042401D"/>
    <w:rsid w:val="7046F825"/>
    <w:rsid w:val="7047218F"/>
    <w:rsid w:val="704BAB59"/>
    <w:rsid w:val="705128A7"/>
    <w:rsid w:val="705C5DBC"/>
    <w:rsid w:val="705F4EB7"/>
    <w:rsid w:val="70685A22"/>
    <w:rsid w:val="7089FFBB"/>
    <w:rsid w:val="709094C2"/>
    <w:rsid w:val="7091403E"/>
    <w:rsid w:val="70979A38"/>
    <w:rsid w:val="70A61FAC"/>
    <w:rsid w:val="70B8E88E"/>
    <w:rsid w:val="70BC04B0"/>
    <w:rsid w:val="70BE6520"/>
    <w:rsid w:val="70C047A2"/>
    <w:rsid w:val="70CABAB7"/>
    <w:rsid w:val="70D097CA"/>
    <w:rsid w:val="70D9AC6A"/>
    <w:rsid w:val="70FD7D51"/>
    <w:rsid w:val="71044003"/>
    <w:rsid w:val="710AD3A6"/>
    <w:rsid w:val="7111D725"/>
    <w:rsid w:val="711C692C"/>
    <w:rsid w:val="711D21D7"/>
    <w:rsid w:val="711D2F7C"/>
    <w:rsid w:val="711E4E90"/>
    <w:rsid w:val="71273527"/>
    <w:rsid w:val="712D5E4A"/>
    <w:rsid w:val="712D6D3F"/>
    <w:rsid w:val="712EBEE3"/>
    <w:rsid w:val="713AF942"/>
    <w:rsid w:val="713C0925"/>
    <w:rsid w:val="713CEC44"/>
    <w:rsid w:val="713F4638"/>
    <w:rsid w:val="7145272B"/>
    <w:rsid w:val="7147E0C0"/>
    <w:rsid w:val="71491442"/>
    <w:rsid w:val="7153FE86"/>
    <w:rsid w:val="715AABE4"/>
    <w:rsid w:val="71640DC9"/>
    <w:rsid w:val="716561A7"/>
    <w:rsid w:val="71689C35"/>
    <w:rsid w:val="716E89F5"/>
    <w:rsid w:val="7184336B"/>
    <w:rsid w:val="718C935B"/>
    <w:rsid w:val="7193F447"/>
    <w:rsid w:val="719B64CA"/>
    <w:rsid w:val="71A0E235"/>
    <w:rsid w:val="71ADDBEE"/>
    <w:rsid w:val="71AE173C"/>
    <w:rsid w:val="71B029B1"/>
    <w:rsid w:val="71B328AE"/>
    <w:rsid w:val="71BA4526"/>
    <w:rsid w:val="71BCB65F"/>
    <w:rsid w:val="71C067CA"/>
    <w:rsid w:val="71D733D9"/>
    <w:rsid w:val="71D9F759"/>
    <w:rsid w:val="71DA2EEC"/>
    <w:rsid w:val="71EB2808"/>
    <w:rsid w:val="71F274F7"/>
    <w:rsid w:val="71F2FC15"/>
    <w:rsid w:val="71FB1F18"/>
    <w:rsid w:val="7206A1E6"/>
    <w:rsid w:val="720917B8"/>
    <w:rsid w:val="720DAC14"/>
    <w:rsid w:val="7213723B"/>
    <w:rsid w:val="7216C345"/>
    <w:rsid w:val="721ACA02"/>
    <w:rsid w:val="721D01F4"/>
    <w:rsid w:val="721EFAC3"/>
    <w:rsid w:val="722B6687"/>
    <w:rsid w:val="7238D10F"/>
    <w:rsid w:val="7239CCD4"/>
    <w:rsid w:val="723E18E4"/>
    <w:rsid w:val="72515A0D"/>
    <w:rsid w:val="72726C53"/>
    <w:rsid w:val="727780CA"/>
    <w:rsid w:val="727EC923"/>
    <w:rsid w:val="72808621"/>
    <w:rsid w:val="728DC2A1"/>
    <w:rsid w:val="72903922"/>
    <w:rsid w:val="729604DC"/>
    <w:rsid w:val="729BD183"/>
    <w:rsid w:val="72A246D4"/>
    <w:rsid w:val="72A2CB5D"/>
    <w:rsid w:val="72A96AC2"/>
    <w:rsid w:val="72B87C4A"/>
    <w:rsid w:val="72BA24DA"/>
    <w:rsid w:val="72D2DF02"/>
    <w:rsid w:val="72D3EE34"/>
    <w:rsid w:val="72D5072A"/>
    <w:rsid w:val="72D7D8A4"/>
    <w:rsid w:val="72D95C23"/>
    <w:rsid w:val="72DF55F0"/>
    <w:rsid w:val="72E0E64A"/>
    <w:rsid w:val="72E37729"/>
    <w:rsid w:val="72E784B9"/>
    <w:rsid w:val="72F719A8"/>
    <w:rsid w:val="72FC1017"/>
    <w:rsid w:val="730C86B7"/>
    <w:rsid w:val="730D87A7"/>
    <w:rsid w:val="731DB76C"/>
    <w:rsid w:val="731EAF37"/>
    <w:rsid w:val="7323FDB7"/>
    <w:rsid w:val="732BD5EF"/>
    <w:rsid w:val="732F8259"/>
    <w:rsid w:val="7332A8D8"/>
    <w:rsid w:val="733BD2CD"/>
    <w:rsid w:val="733DB293"/>
    <w:rsid w:val="7346B138"/>
    <w:rsid w:val="73482A1B"/>
    <w:rsid w:val="734D0FB7"/>
    <w:rsid w:val="735149D4"/>
    <w:rsid w:val="73543F33"/>
    <w:rsid w:val="735CD0D5"/>
    <w:rsid w:val="735E1E20"/>
    <w:rsid w:val="7362E48C"/>
    <w:rsid w:val="7366C9CB"/>
    <w:rsid w:val="736A10E2"/>
    <w:rsid w:val="736EA59B"/>
    <w:rsid w:val="73723A4D"/>
    <w:rsid w:val="737380ED"/>
    <w:rsid w:val="7376C267"/>
    <w:rsid w:val="7389EC2B"/>
    <w:rsid w:val="738D8EB2"/>
    <w:rsid w:val="73905715"/>
    <w:rsid w:val="7393957A"/>
    <w:rsid w:val="739620DE"/>
    <w:rsid w:val="7396B4E7"/>
    <w:rsid w:val="739AA169"/>
    <w:rsid w:val="739B6AE7"/>
    <w:rsid w:val="739EE8DA"/>
    <w:rsid w:val="73B05F0E"/>
    <w:rsid w:val="73B1829B"/>
    <w:rsid w:val="73BC2A63"/>
    <w:rsid w:val="73C5307D"/>
    <w:rsid w:val="73DD8415"/>
    <w:rsid w:val="73E6B88B"/>
    <w:rsid w:val="73E9B6F0"/>
    <w:rsid w:val="73E9E7A8"/>
    <w:rsid w:val="73F0DDE0"/>
    <w:rsid w:val="73F5AEA7"/>
    <w:rsid w:val="73F6C4E7"/>
    <w:rsid w:val="73FA8071"/>
    <w:rsid w:val="7405F8E1"/>
    <w:rsid w:val="740C4F2E"/>
    <w:rsid w:val="740C500F"/>
    <w:rsid w:val="7411396B"/>
    <w:rsid w:val="74284E8A"/>
    <w:rsid w:val="743887DB"/>
    <w:rsid w:val="74474731"/>
    <w:rsid w:val="744844FC"/>
    <w:rsid w:val="7449DB86"/>
    <w:rsid w:val="744A405C"/>
    <w:rsid w:val="74553A20"/>
    <w:rsid w:val="74555B1D"/>
    <w:rsid w:val="7455CC90"/>
    <w:rsid w:val="745D67EE"/>
    <w:rsid w:val="745D8D67"/>
    <w:rsid w:val="745E0611"/>
    <w:rsid w:val="7462C1EF"/>
    <w:rsid w:val="746B7853"/>
    <w:rsid w:val="746B7F11"/>
    <w:rsid w:val="7473823E"/>
    <w:rsid w:val="747626B7"/>
    <w:rsid w:val="747AF5B4"/>
    <w:rsid w:val="7487F48C"/>
    <w:rsid w:val="748DBB62"/>
    <w:rsid w:val="74A1D6F8"/>
    <w:rsid w:val="74A2685D"/>
    <w:rsid w:val="74A8D6A8"/>
    <w:rsid w:val="74A9A04C"/>
    <w:rsid w:val="74AA1F7B"/>
    <w:rsid w:val="74B2F07C"/>
    <w:rsid w:val="74BB425E"/>
    <w:rsid w:val="74C06E03"/>
    <w:rsid w:val="74C4B36C"/>
    <w:rsid w:val="74C8B761"/>
    <w:rsid w:val="74DC48E1"/>
    <w:rsid w:val="74E53D48"/>
    <w:rsid w:val="74E55703"/>
    <w:rsid w:val="74F1DB7C"/>
    <w:rsid w:val="74F9A56C"/>
    <w:rsid w:val="74F9F30B"/>
    <w:rsid w:val="74FF6195"/>
    <w:rsid w:val="750191CD"/>
    <w:rsid w:val="75041FC4"/>
    <w:rsid w:val="750433ED"/>
    <w:rsid w:val="7505E143"/>
    <w:rsid w:val="751336E9"/>
    <w:rsid w:val="751C7582"/>
    <w:rsid w:val="751F5601"/>
    <w:rsid w:val="7522FCA4"/>
    <w:rsid w:val="75238109"/>
    <w:rsid w:val="7526FB39"/>
    <w:rsid w:val="752A74CA"/>
    <w:rsid w:val="752C96E7"/>
    <w:rsid w:val="75475BB6"/>
    <w:rsid w:val="7548CF3C"/>
    <w:rsid w:val="7549D7DB"/>
    <w:rsid w:val="754AE703"/>
    <w:rsid w:val="754B0535"/>
    <w:rsid w:val="7554A2B6"/>
    <w:rsid w:val="755C01C4"/>
    <w:rsid w:val="755FACC4"/>
    <w:rsid w:val="756236C1"/>
    <w:rsid w:val="75669F40"/>
    <w:rsid w:val="756B3099"/>
    <w:rsid w:val="756D03AC"/>
    <w:rsid w:val="757687D9"/>
    <w:rsid w:val="7576B6BA"/>
    <w:rsid w:val="757B2DEA"/>
    <w:rsid w:val="757DA30D"/>
    <w:rsid w:val="757DCDF7"/>
    <w:rsid w:val="757ECAC3"/>
    <w:rsid w:val="75913A46"/>
    <w:rsid w:val="75915593"/>
    <w:rsid w:val="7595D523"/>
    <w:rsid w:val="759F450F"/>
    <w:rsid w:val="75A07FC7"/>
    <w:rsid w:val="75A1332B"/>
    <w:rsid w:val="75A565B1"/>
    <w:rsid w:val="75A59D65"/>
    <w:rsid w:val="75A79834"/>
    <w:rsid w:val="75A802EE"/>
    <w:rsid w:val="75AC5569"/>
    <w:rsid w:val="75D1FBC2"/>
    <w:rsid w:val="75D66E76"/>
    <w:rsid w:val="75DA0BBF"/>
    <w:rsid w:val="75DBE501"/>
    <w:rsid w:val="75E057D0"/>
    <w:rsid w:val="75E0CB07"/>
    <w:rsid w:val="75E0F389"/>
    <w:rsid w:val="75E5369E"/>
    <w:rsid w:val="75E598D3"/>
    <w:rsid w:val="75E96B76"/>
    <w:rsid w:val="75EDE79A"/>
    <w:rsid w:val="75EF504C"/>
    <w:rsid w:val="75F148F0"/>
    <w:rsid w:val="75F4E634"/>
    <w:rsid w:val="75FB1E14"/>
    <w:rsid w:val="75FE7B3A"/>
    <w:rsid w:val="7601ED2C"/>
    <w:rsid w:val="760587C9"/>
    <w:rsid w:val="76099FED"/>
    <w:rsid w:val="760B8E93"/>
    <w:rsid w:val="7616C554"/>
    <w:rsid w:val="7620D528"/>
    <w:rsid w:val="762D1C42"/>
    <w:rsid w:val="7646F808"/>
    <w:rsid w:val="7655CEEC"/>
    <w:rsid w:val="7659E8F3"/>
    <w:rsid w:val="766800FF"/>
    <w:rsid w:val="76781A52"/>
    <w:rsid w:val="76790FF2"/>
    <w:rsid w:val="767E4625"/>
    <w:rsid w:val="767F9728"/>
    <w:rsid w:val="768AD066"/>
    <w:rsid w:val="768BB613"/>
    <w:rsid w:val="76906D55"/>
    <w:rsid w:val="7694DDE1"/>
    <w:rsid w:val="769FAF92"/>
    <w:rsid w:val="76A86E09"/>
    <w:rsid w:val="76A90D5A"/>
    <w:rsid w:val="76A964BE"/>
    <w:rsid w:val="76A989F2"/>
    <w:rsid w:val="76B294CD"/>
    <w:rsid w:val="76BBE141"/>
    <w:rsid w:val="76C225FB"/>
    <w:rsid w:val="76C3CBC7"/>
    <w:rsid w:val="76C41B74"/>
    <w:rsid w:val="76C798AC"/>
    <w:rsid w:val="76C7D33A"/>
    <w:rsid w:val="76D1BF21"/>
    <w:rsid w:val="76D20115"/>
    <w:rsid w:val="76E43C6D"/>
    <w:rsid w:val="76F20E2A"/>
    <w:rsid w:val="76F48052"/>
    <w:rsid w:val="76F5F082"/>
    <w:rsid w:val="77023D2D"/>
    <w:rsid w:val="77029A26"/>
    <w:rsid w:val="77062C13"/>
    <w:rsid w:val="77085672"/>
    <w:rsid w:val="770BCF43"/>
    <w:rsid w:val="770C0166"/>
    <w:rsid w:val="770EE556"/>
    <w:rsid w:val="7713AAB8"/>
    <w:rsid w:val="7726AA1F"/>
    <w:rsid w:val="772F107F"/>
    <w:rsid w:val="7733E79B"/>
    <w:rsid w:val="77394C26"/>
    <w:rsid w:val="773CC649"/>
    <w:rsid w:val="7740472A"/>
    <w:rsid w:val="7741A2B9"/>
    <w:rsid w:val="774229DC"/>
    <w:rsid w:val="7744968D"/>
    <w:rsid w:val="77468700"/>
    <w:rsid w:val="7747D995"/>
    <w:rsid w:val="775D8667"/>
    <w:rsid w:val="77633806"/>
    <w:rsid w:val="776357BD"/>
    <w:rsid w:val="776D27A8"/>
    <w:rsid w:val="77750272"/>
    <w:rsid w:val="778572EF"/>
    <w:rsid w:val="7790D3ED"/>
    <w:rsid w:val="77919479"/>
    <w:rsid w:val="7793040F"/>
    <w:rsid w:val="779B1073"/>
    <w:rsid w:val="77A95E41"/>
    <w:rsid w:val="77AD5730"/>
    <w:rsid w:val="77C6F5BB"/>
    <w:rsid w:val="77C798CC"/>
    <w:rsid w:val="77C9B7F1"/>
    <w:rsid w:val="77CD2BC0"/>
    <w:rsid w:val="77DC3EB7"/>
    <w:rsid w:val="77E1774C"/>
    <w:rsid w:val="77E52973"/>
    <w:rsid w:val="77F2821A"/>
    <w:rsid w:val="77FB86BA"/>
    <w:rsid w:val="78073D7E"/>
    <w:rsid w:val="78076DD8"/>
    <w:rsid w:val="7812B248"/>
    <w:rsid w:val="7813157D"/>
    <w:rsid w:val="78194133"/>
    <w:rsid w:val="781AE412"/>
    <w:rsid w:val="781C4C29"/>
    <w:rsid w:val="781CD890"/>
    <w:rsid w:val="781E781C"/>
    <w:rsid w:val="782B95F7"/>
    <w:rsid w:val="782DC072"/>
    <w:rsid w:val="783CC26A"/>
    <w:rsid w:val="78405408"/>
    <w:rsid w:val="78409DBE"/>
    <w:rsid w:val="78443E6A"/>
    <w:rsid w:val="78485BC7"/>
    <w:rsid w:val="784AE4F5"/>
    <w:rsid w:val="784F9692"/>
    <w:rsid w:val="7850830A"/>
    <w:rsid w:val="78520278"/>
    <w:rsid w:val="78560DEE"/>
    <w:rsid w:val="7862916A"/>
    <w:rsid w:val="78660F93"/>
    <w:rsid w:val="78684F32"/>
    <w:rsid w:val="78685961"/>
    <w:rsid w:val="7869872E"/>
    <w:rsid w:val="786E0738"/>
    <w:rsid w:val="7870F567"/>
    <w:rsid w:val="788818FD"/>
    <w:rsid w:val="7888A0F1"/>
    <w:rsid w:val="7893DC7F"/>
    <w:rsid w:val="7897FC46"/>
    <w:rsid w:val="78A3DEC5"/>
    <w:rsid w:val="78A551EF"/>
    <w:rsid w:val="78AC4466"/>
    <w:rsid w:val="78AD8514"/>
    <w:rsid w:val="78AF76CE"/>
    <w:rsid w:val="78B2ED11"/>
    <w:rsid w:val="78B85607"/>
    <w:rsid w:val="78BD63D1"/>
    <w:rsid w:val="78BF1A38"/>
    <w:rsid w:val="78C6A719"/>
    <w:rsid w:val="78C9B87D"/>
    <w:rsid w:val="78DD1A41"/>
    <w:rsid w:val="78E4370B"/>
    <w:rsid w:val="78ED7A71"/>
    <w:rsid w:val="78EE065C"/>
    <w:rsid w:val="78EE6ABA"/>
    <w:rsid w:val="78F299C7"/>
    <w:rsid w:val="78F4523E"/>
    <w:rsid w:val="790612AE"/>
    <w:rsid w:val="790D4607"/>
    <w:rsid w:val="790F9078"/>
    <w:rsid w:val="79103D8F"/>
    <w:rsid w:val="79121D0C"/>
    <w:rsid w:val="7913C24A"/>
    <w:rsid w:val="7917F949"/>
    <w:rsid w:val="792A5E37"/>
    <w:rsid w:val="792EA4D4"/>
    <w:rsid w:val="792FA2C9"/>
    <w:rsid w:val="7938E46D"/>
    <w:rsid w:val="793D6913"/>
    <w:rsid w:val="796D0D17"/>
    <w:rsid w:val="796EB03D"/>
    <w:rsid w:val="797973BD"/>
    <w:rsid w:val="79816CF9"/>
    <w:rsid w:val="79848296"/>
    <w:rsid w:val="7985CFFE"/>
    <w:rsid w:val="7987FF35"/>
    <w:rsid w:val="7994FB36"/>
    <w:rsid w:val="79A133EA"/>
    <w:rsid w:val="79AA39B0"/>
    <w:rsid w:val="79B0CC13"/>
    <w:rsid w:val="79BD6E79"/>
    <w:rsid w:val="79CA3268"/>
    <w:rsid w:val="79CB0CA8"/>
    <w:rsid w:val="79CC0826"/>
    <w:rsid w:val="79D9E5A6"/>
    <w:rsid w:val="79E245CA"/>
    <w:rsid w:val="79EA0D29"/>
    <w:rsid w:val="79F66DC7"/>
    <w:rsid w:val="79F97276"/>
    <w:rsid w:val="7A057B6C"/>
    <w:rsid w:val="7A0582FA"/>
    <w:rsid w:val="7A0BD1F2"/>
    <w:rsid w:val="7A11AE89"/>
    <w:rsid w:val="7A156053"/>
    <w:rsid w:val="7A1BA1A8"/>
    <w:rsid w:val="7A290616"/>
    <w:rsid w:val="7A295D67"/>
    <w:rsid w:val="7A2FC0FD"/>
    <w:rsid w:val="7A33D995"/>
    <w:rsid w:val="7A4229CA"/>
    <w:rsid w:val="7A4AB4C5"/>
    <w:rsid w:val="7A4B6FC2"/>
    <w:rsid w:val="7A508DC7"/>
    <w:rsid w:val="7A50CBEF"/>
    <w:rsid w:val="7A694043"/>
    <w:rsid w:val="7A6D43A1"/>
    <w:rsid w:val="7A714509"/>
    <w:rsid w:val="7A7AD236"/>
    <w:rsid w:val="7A7B74A3"/>
    <w:rsid w:val="7A87433F"/>
    <w:rsid w:val="7A8C721F"/>
    <w:rsid w:val="7A9525BE"/>
    <w:rsid w:val="7A962DC7"/>
    <w:rsid w:val="7A997714"/>
    <w:rsid w:val="7A9AA66F"/>
    <w:rsid w:val="7A9B6C0D"/>
    <w:rsid w:val="7A9D79AB"/>
    <w:rsid w:val="7AA0B027"/>
    <w:rsid w:val="7AA2603F"/>
    <w:rsid w:val="7AA32881"/>
    <w:rsid w:val="7AA78F67"/>
    <w:rsid w:val="7AA8A77D"/>
    <w:rsid w:val="7AAB4A3B"/>
    <w:rsid w:val="7AAB82A0"/>
    <w:rsid w:val="7AB169B0"/>
    <w:rsid w:val="7AB885B1"/>
    <w:rsid w:val="7ABDD382"/>
    <w:rsid w:val="7AC16538"/>
    <w:rsid w:val="7ACCE8ED"/>
    <w:rsid w:val="7ACE176D"/>
    <w:rsid w:val="7ACFA9F8"/>
    <w:rsid w:val="7AD6CE2B"/>
    <w:rsid w:val="7ADA0E25"/>
    <w:rsid w:val="7AE141F0"/>
    <w:rsid w:val="7AE3D489"/>
    <w:rsid w:val="7AE51AE9"/>
    <w:rsid w:val="7AF3F783"/>
    <w:rsid w:val="7B13534F"/>
    <w:rsid w:val="7B1960FF"/>
    <w:rsid w:val="7B30C820"/>
    <w:rsid w:val="7B31731F"/>
    <w:rsid w:val="7B3775E7"/>
    <w:rsid w:val="7B4BFC5E"/>
    <w:rsid w:val="7B5179DD"/>
    <w:rsid w:val="7B55F848"/>
    <w:rsid w:val="7B5C188F"/>
    <w:rsid w:val="7B647F7C"/>
    <w:rsid w:val="7B6610F5"/>
    <w:rsid w:val="7B6957F7"/>
    <w:rsid w:val="7B6A21F9"/>
    <w:rsid w:val="7B7005A8"/>
    <w:rsid w:val="7B7522C7"/>
    <w:rsid w:val="7B77AABF"/>
    <w:rsid w:val="7B7B552C"/>
    <w:rsid w:val="7B82B00E"/>
    <w:rsid w:val="7B882852"/>
    <w:rsid w:val="7B8B09C1"/>
    <w:rsid w:val="7B8C2743"/>
    <w:rsid w:val="7B968FF8"/>
    <w:rsid w:val="7B998199"/>
    <w:rsid w:val="7B9BD36C"/>
    <w:rsid w:val="7BA47D2E"/>
    <w:rsid w:val="7BA772D3"/>
    <w:rsid w:val="7BA95553"/>
    <w:rsid w:val="7BAEC6CE"/>
    <w:rsid w:val="7BB12ACF"/>
    <w:rsid w:val="7BB2A8C1"/>
    <w:rsid w:val="7BB9CD09"/>
    <w:rsid w:val="7BD6F526"/>
    <w:rsid w:val="7BE0F2E5"/>
    <w:rsid w:val="7BE5C95D"/>
    <w:rsid w:val="7BE863AB"/>
    <w:rsid w:val="7BEFD2AF"/>
    <w:rsid w:val="7BF0D07A"/>
    <w:rsid w:val="7BF16AC2"/>
    <w:rsid w:val="7BF43F25"/>
    <w:rsid w:val="7BF5CA7E"/>
    <w:rsid w:val="7BF8A961"/>
    <w:rsid w:val="7BF9D898"/>
    <w:rsid w:val="7C006541"/>
    <w:rsid w:val="7C045F63"/>
    <w:rsid w:val="7C06DDBF"/>
    <w:rsid w:val="7C157894"/>
    <w:rsid w:val="7C15A7FD"/>
    <w:rsid w:val="7C1E024B"/>
    <w:rsid w:val="7C256BDE"/>
    <w:rsid w:val="7C27D401"/>
    <w:rsid w:val="7C2A941D"/>
    <w:rsid w:val="7C2D8C86"/>
    <w:rsid w:val="7C32A4AF"/>
    <w:rsid w:val="7C348818"/>
    <w:rsid w:val="7C3A4B96"/>
    <w:rsid w:val="7C3C9DFE"/>
    <w:rsid w:val="7C3CDA2F"/>
    <w:rsid w:val="7C40D6F5"/>
    <w:rsid w:val="7C432B83"/>
    <w:rsid w:val="7C47FEA4"/>
    <w:rsid w:val="7C49F1CD"/>
    <w:rsid w:val="7C4A5A1D"/>
    <w:rsid w:val="7C58B24D"/>
    <w:rsid w:val="7C5F8C8E"/>
    <w:rsid w:val="7C62AAB1"/>
    <w:rsid w:val="7C631BD3"/>
    <w:rsid w:val="7C697999"/>
    <w:rsid w:val="7C7633BD"/>
    <w:rsid w:val="7C769248"/>
    <w:rsid w:val="7C7CE59A"/>
    <w:rsid w:val="7C854695"/>
    <w:rsid w:val="7C878F70"/>
    <w:rsid w:val="7C8D2EB5"/>
    <w:rsid w:val="7C9BB1B1"/>
    <w:rsid w:val="7CA71917"/>
    <w:rsid w:val="7CA77EB9"/>
    <w:rsid w:val="7CB7911B"/>
    <w:rsid w:val="7CB91F9A"/>
    <w:rsid w:val="7CBC8126"/>
    <w:rsid w:val="7CC36CE9"/>
    <w:rsid w:val="7CD1384E"/>
    <w:rsid w:val="7CD1E47D"/>
    <w:rsid w:val="7CD2BC36"/>
    <w:rsid w:val="7CE290A9"/>
    <w:rsid w:val="7CECA494"/>
    <w:rsid w:val="7CEDDE35"/>
    <w:rsid w:val="7CF403B3"/>
    <w:rsid w:val="7D01D2D4"/>
    <w:rsid w:val="7D03D719"/>
    <w:rsid w:val="7D0DBF31"/>
    <w:rsid w:val="7D0F4750"/>
    <w:rsid w:val="7D14462C"/>
    <w:rsid w:val="7D1D6F63"/>
    <w:rsid w:val="7D1D9320"/>
    <w:rsid w:val="7D24807D"/>
    <w:rsid w:val="7D2A3790"/>
    <w:rsid w:val="7D2DD9FA"/>
    <w:rsid w:val="7D49D5F3"/>
    <w:rsid w:val="7D5A6DED"/>
    <w:rsid w:val="7D5E4372"/>
    <w:rsid w:val="7D5E8A4F"/>
    <w:rsid w:val="7D64C443"/>
    <w:rsid w:val="7D6ACB9E"/>
    <w:rsid w:val="7D6FB440"/>
    <w:rsid w:val="7D7F3FD1"/>
    <w:rsid w:val="7D806D11"/>
    <w:rsid w:val="7D80824B"/>
    <w:rsid w:val="7D845F99"/>
    <w:rsid w:val="7D966596"/>
    <w:rsid w:val="7D987A76"/>
    <w:rsid w:val="7D99695D"/>
    <w:rsid w:val="7D99ED08"/>
    <w:rsid w:val="7D9FE226"/>
    <w:rsid w:val="7D9FFB5D"/>
    <w:rsid w:val="7DA06D6C"/>
    <w:rsid w:val="7DA4EB7B"/>
    <w:rsid w:val="7DB552CD"/>
    <w:rsid w:val="7DBBBF4F"/>
    <w:rsid w:val="7DBCBBFF"/>
    <w:rsid w:val="7DC216CF"/>
    <w:rsid w:val="7DC37F2B"/>
    <w:rsid w:val="7DC9739E"/>
    <w:rsid w:val="7DD9778E"/>
    <w:rsid w:val="7DE07DB8"/>
    <w:rsid w:val="7DE46C2D"/>
    <w:rsid w:val="7DE6F4F0"/>
    <w:rsid w:val="7DF8847D"/>
    <w:rsid w:val="7DF981D6"/>
    <w:rsid w:val="7E00EF0C"/>
    <w:rsid w:val="7E0883BC"/>
    <w:rsid w:val="7E1EE6AE"/>
    <w:rsid w:val="7E2E86A7"/>
    <w:rsid w:val="7E319F4A"/>
    <w:rsid w:val="7E34BF75"/>
    <w:rsid w:val="7E3BD020"/>
    <w:rsid w:val="7E3D33BF"/>
    <w:rsid w:val="7E431A21"/>
    <w:rsid w:val="7E4E0F8E"/>
    <w:rsid w:val="7E516843"/>
    <w:rsid w:val="7E6F8717"/>
    <w:rsid w:val="7E719BDA"/>
    <w:rsid w:val="7E736694"/>
    <w:rsid w:val="7E7D1D65"/>
    <w:rsid w:val="7E7D6238"/>
    <w:rsid w:val="7E7EA9B1"/>
    <w:rsid w:val="7E8D9F7A"/>
    <w:rsid w:val="7E8F20B7"/>
    <w:rsid w:val="7E9C185D"/>
    <w:rsid w:val="7E9E2EA7"/>
    <w:rsid w:val="7E9EA6C7"/>
    <w:rsid w:val="7EA0CB8A"/>
    <w:rsid w:val="7EAA1745"/>
    <w:rsid w:val="7EB1F19A"/>
    <w:rsid w:val="7EB91D67"/>
    <w:rsid w:val="7EB923C4"/>
    <w:rsid w:val="7ED43204"/>
    <w:rsid w:val="7ED4BFC4"/>
    <w:rsid w:val="7EDA473E"/>
    <w:rsid w:val="7EDC117A"/>
    <w:rsid w:val="7EDF8C2C"/>
    <w:rsid w:val="7EE2420E"/>
    <w:rsid w:val="7EE37728"/>
    <w:rsid w:val="7EE58630"/>
    <w:rsid w:val="7EEB6582"/>
    <w:rsid w:val="7EEFC24E"/>
    <w:rsid w:val="7EFAD1B8"/>
    <w:rsid w:val="7EFAF4AF"/>
    <w:rsid w:val="7F0441C2"/>
    <w:rsid w:val="7F1EC3FD"/>
    <w:rsid w:val="7F2BF1D7"/>
    <w:rsid w:val="7F2E71C2"/>
    <w:rsid w:val="7F437048"/>
    <w:rsid w:val="7F4E0999"/>
    <w:rsid w:val="7F6018B5"/>
    <w:rsid w:val="7F71EC58"/>
    <w:rsid w:val="7F78FA70"/>
    <w:rsid w:val="7F79D9DE"/>
    <w:rsid w:val="7F88620D"/>
    <w:rsid w:val="7F94BEB0"/>
    <w:rsid w:val="7FA7D693"/>
    <w:rsid w:val="7FAFF847"/>
    <w:rsid w:val="7FB15188"/>
    <w:rsid w:val="7FB91A51"/>
    <w:rsid w:val="7FBE5E51"/>
    <w:rsid w:val="7FBF45BE"/>
    <w:rsid w:val="7FBFC413"/>
    <w:rsid w:val="7FC73C20"/>
    <w:rsid w:val="7FDBCE44"/>
    <w:rsid w:val="7FE1CF8A"/>
    <w:rsid w:val="7FE3ADAA"/>
    <w:rsid w:val="7FEB9223"/>
    <w:rsid w:val="7FEDC557"/>
    <w:rsid w:val="7FEDD03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EAD50A"/>
  <w15:docId w15:val="{5E721E3C-A3E9-4851-9D75-F5871B0C1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394"/>
    <w:pPr>
      <w:spacing w:before="40" w:after="40" w:line="240" w:lineRule="auto"/>
      <w:jc w:val="both"/>
    </w:pPr>
    <w:rPr>
      <w:rFonts w:eastAsia="ヒラギノ角ゴ Pro W3" w:cs="Times New Roman"/>
      <w:iCs/>
      <w:szCs w:val="24"/>
      <w:lang w:val="en-GB"/>
    </w:rPr>
  </w:style>
  <w:style w:type="paragraph" w:styleId="Heading1">
    <w:name w:val="heading 1"/>
    <w:basedOn w:val="Normal"/>
    <w:next w:val="Normal"/>
    <w:link w:val="Heading1Char"/>
    <w:qFormat/>
    <w:rsid w:val="0025659B"/>
    <w:pPr>
      <w:keepNext/>
      <w:keepLines/>
      <w:numPr>
        <w:numId w:val="5"/>
      </w:numPr>
      <w:spacing w:before="360" w:after="360"/>
      <w:outlineLvl w:val="0"/>
    </w:pPr>
    <w:rPr>
      <w:rFonts w:eastAsiaTheme="majorEastAsia" w:cstheme="majorBidi"/>
      <w:b/>
      <w:iCs w:val="0"/>
      <w:color w:val="17365D"/>
      <w:sz w:val="44"/>
      <w:szCs w:val="32"/>
    </w:rPr>
  </w:style>
  <w:style w:type="paragraph" w:styleId="Heading2">
    <w:name w:val="heading 2"/>
    <w:basedOn w:val="Normal"/>
    <w:next w:val="Normal"/>
    <w:link w:val="Heading2Char"/>
    <w:uiPriority w:val="9"/>
    <w:unhideWhenUsed/>
    <w:qFormat/>
    <w:rsid w:val="00F360A3"/>
    <w:pPr>
      <w:keepNext/>
      <w:keepLines/>
      <w:numPr>
        <w:ilvl w:val="1"/>
        <w:numId w:val="5"/>
      </w:numPr>
      <w:spacing w:before="240" w:after="240"/>
      <w:outlineLvl w:val="1"/>
    </w:pPr>
    <w:rPr>
      <w:rFonts w:cstheme="majorBidi"/>
      <w:b/>
      <w:color w:val="17365D"/>
      <w:sz w:val="28"/>
      <w:szCs w:val="26"/>
    </w:rPr>
  </w:style>
  <w:style w:type="paragraph" w:styleId="Heading3">
    <w:name w:val="heading 3"/>
    <w:basedOn w:val="Normal"/>
    <w:next w:val="Normal"/>
    <w:link w:val="Heading3Char"/>
    <w:uiPriority w:val="9"/>
    <w:unhideWhenUsed/>
    <w:qFormat/>
    <w:rsid w:val="008E74D1"/>
    <w:pPr>
      <w:keepNext/>
      <w:keepLines/>
      <w:numPr>
        <w:ilvl w:val="2"/>
        <w:numId w:val="5"/>
      </w:numPr>
      <w:spacing w:before="120" w:after="120"/>
      <w:outlineLvl w:val="2"/>
    </w:pPr>
    <w:rPr>
      <w:rFonts w:cstheme="majorBidi"/>
      <w:b/>
      <w:i/>
      <w:color w:val="17365D"/>
      <w:sz w:val="24"/>
    </w:rPr>
  </w:style>
  <w:style w:type="paragraph" w:styleId="Heading4">
    <w:name w:val="heading 4"/>
    <w:basedOn w:val="Normal"/>
    <w:next w:val="Normal"/>
    <w:link w:val="Heading4Char"/>
    <w:uiPriority w:val="9"/>
    <w:unhideWhenUsed/>
    <w:qFormat/>
    <w:rsid w:val="00B065BC"/>
    <w:pPr>
      <w:keepNext/>
      <w:keepLines/>
      <w:spacing w:after="0"/>
      <w:outlineLvl w:val="3"/>
    </w:pPr>
    <w:rPr>
      <w:rFonts w:asciiTheme="majorHAnsi" w:eastAsiaTheme="majorEastAsia" w:hAnsiTheme="majorHAnsi" w:cstheme="majorBidi"/>
      <w:b/>
      <w:i/>
      <w:iCs w:val="0"/>
      <w:color w:val="002060"/>
    </w:rPr>
  </w:style>
  <w:style w:type="paragraph" w:styleId="Heading5">
    <w:name w:val="heading 5"/>
    <w:basedOn w:val="Normal"/>
    <w:next w:val="Normal"/>
    <w:link w:val="Heading5Char"/>
    <w:uiPriority w:val="9"/>
    <w:unhideWhenUsed/>
    <w:qFormat/>
    <w:rsid w:val="00EF6052"/>
    <w:pPr>
      <w:keepNext/>
      <w:keepLines/>
      <w:numPr>
        <w:numId w:val="6"/>
      </w:numPr>
      <w:spacing w:after="0"/>
      <w:outlineLvl w:val="4"/>
    </w:pPr>
    <w:rPr>
      <w:rFonts w:eastAsiaTheme="majorEastAsia" w:cstheme="majorBidi"/>
      <w:b/>
      <w:color w:val="002060"/>
      <w:sz w:val="44"/>
    </w:rPr>
  </w:style>
  <w:style w:type="paragraph" w:styleId="Heading6">
    <w:name w:val="heading 6"/>
    <w:basedOn w:val="Normal"/>
    <w:next w:val="Normal"/>
    <w:link w:val="Heading6Char"/>
    <w:uiPriority w:val="9"/>
    <w:unhideWhenUsed/>
    <w:qFormat/>
    <w:rsid w:val="00B065BC"/>
    <w:pPr>
      <w:keepNext/>
      <w:keepLines/>
      <w:numPr>
        <w:numId w:val="7"/>
      </w:numPr>
      <w:spacing w:after="0"/>
      <w:outlineLvl w:val="5"/>
    </w:pPr>
    <w:rPr>
      <w:rFonts w:eastAsiaTheme="majorEastAsia" w:cstheme="majorBidi"/>
      <w:b/>
      <w:color w:val="002060"/>
      <w:sz w:val="28"/>
    </w:rPr>
  </w:style>
  <w:style w:type="paragraph" w:styleId="Heading7">
    <w:name w:val="heading 7"/>
    <w:basedOn w:val="Normal"/>
    <w:next w:val="Normal"/>
    <w:link w:val="Heading7Char"/>
    <w:uiPriority w:val="9"/>
    <w:unhideWhenUsed/>
    <w:qFormat/>
    <w:rsid w:val="00B065BC"/>
    <w:pPr>
      <w:keepNext/>
      <w:keepLines/>
      <w:numPr>
        <w:numId w:val="8"/>
      </w:numPr>
      <w:spacing w:after="0"/>
      <w:outlineLvl w:val="6"/>
    </w:pPr>
    <w:rPr>
      <w:rFonts w:eastAsiaTheme="majorEastAsia" w:cstheme="majorBidi"/>
      <w:b/>
      <w:i/>
      <w:iCs w:val="0"/>
      <w:color w:val="002060"/>
      <w:sz w:val="24"/>
    </w:rPr>
  </w:style>
  <w:style w:type="paragraph" w:styleId="Heading8">
    <w:name w:val="heading 8"/>
    <w:basedOn w:val="Normal"/>
    <w:next w:val="Normal"/>
    <w:link w:val="Heading8Char"/>
    <w:uiPriority w:val="9"/>
    <w:semiHidden/>
    <w:unhideWhenUsed/>
    <w:qFormat/>
    <w:rsid w:val="00E120F4"/>
    <w:pPr>
      <w:keepNext/>
      <w:keepLines/>
      <w:numPr>
        <w:ilvl w:val="7"/>
        <w:numId w:val="5"/>
      </w:numPr>
      <w:spacing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20F4"/>
    <w:pPr>
      <w:keepNext/>
      <w:keepLines/>
      <w:numPr>
        <w:ilvl w:val="8"/>
        <w:numId w:val="5"/>
      </w:numPr>
      <w:spacing w:after="0"/>
      <w:outlineLvl w:val="8"/>
    </w:pPr>
    <w:rPr>
      <w:rFonts w:asciiTheme="majorHAnsi" w:eastAsiaTheme="majorEastAsia" w:hAnsiTheme="majorHAnsi" w:cstheme="majorBidi"/>
      <w:i/>
      <w:iCs w:val="0"/>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Heading1"/>
    <w:next w:val="Normal"/>
    <w:uiPriority w:val="39"/>
    <w:unhideWhenUsed/>
    <w:rsid w:val="002D0D17"/>
    <w:pPr>
      <w:numPr>
        <w:numId w:val="0"/>
      </w:numPr>
      <w:ind w:left="360"/>
    </w:pPr>
    <w:rPr>
      <w:rFonts w:eastAsia="ヒラギノ角ゴ Pro W3" w:cs="Times New Roman"/>
      <w:iCs/>
      <w:sz w:val="24"/>
      <w:szCs w:val="24"/>
    </w:rPr>
  </w:style>
  <w:style w:type="paragraph" w:customStyle="1" w:styleId="TableTitle">
    <w:name w:val="Table Title"/>
    <w:basedOn w:val="Normal"/>
    <w:rsid w:val="00492371"/>
    <w:rPr>
      <w:color w:val="17365D"/>
      <w:sz w:val="24"/>
    </w:rPr>
  </w:style>
  <w:style w:type="paragraph" w:styleId="Title">
    <w:name w:val="Title"/>
    <w:basedOn w:val="Normal"/>
    <w:link w:val="TitleChar"/>
    <w:qFormat/>
    <w:rsid w:val="005627E0"/>
    <w:pPr>
      <w:overflowPunct w:val="0"/>
      <w:autoSpaceDE w:val="0"/>
      <w:autoSpaceDN w:val="0"/>
      <w:adjustRightInd w:val="0"/>
      <w:jc w:val="right"/>
      <w:textAlignment w:val="baseline"/>
    </w:pPr>
    <w:rPr>
      <w:rFonts w:cs="Open Sans"/>
      <w:b/>
      <w:iCs w:val="0"/>
      <w:color w:val="17365D"/>
      <w:sz w:val="44"/>
      <w:szCs w:val="44"/>
      <w:u w:val="single"/>
      <w:lang w:eastAsia="da-DK"/>
    </w:rPr>
  </w:style>
  <w:style w:type="character" w:customStyle="1" w:styleId="TitleChar">
    <w:name w:val="Title Char"/>
    <w:basedOn w:val="DefaultParagraphFont"/>
    <w:link w:val="Title"/>
    <w:rsid w:val="005627E0"/>
    <w:rPr>
      <w:rFonts w:ascii="Open Sans" w:hAnsi="Open Sans" w:cs="Open Sans"/>
      <w:b/>
      <w:color w:val="17365D"/>
      <w:sz w:val="44"/>
      <w:szCs w:val="44"/>
      <w:u w:val="single"/>
      <w:lang w:val="en-GB" w:eastAsia="da-DK"/>
    </w:rPr>
  </w:style>
  <w:style w:type="character" w:customStyle="1" w:styleId="DocumentTitle">
    <w:name w:val="Document Title"/>
    <w:basedOn w:val="DefaultParagraphFont"/>
    <w:rsid w:val="00DB5F81"/>
    <w:rPr>
      <w:rFonts w:ascii="Open Sans" w:hAnsi="Open Sans"/>
      <w:b/>
      <w:bCs/>
      <w:color w:val="44546A" w:themeColor="text2"/>
      <w:sz w:val="24"/>
    </w:rPr>
  </w:style>
  <w:style w:type="paragraph" w:styleId="Header">
    <w:name w:val="header"/>
    <w:basedOn w:val="Normal"/>
    <w:link w:val="HeaderChar"/>
    <w:uiPriority w:val="99"/>
    <w:unhideWhenUsed/>
    <w:rsid w:val="00A23534"/>
    <w:pPr>
      <w:tabs>
        <w:tab w:val="center" w:pos="4252"/>
        <w:tab w:val="right" w:pos="8504"/>
      </w:tabs>
      <w:spacing w:before="0" w:after="0"/>
    </w:pPr>
  </w:style>
  <w:style w:type="character" w:customStyle="1" w:styleId="Heading1Char">
    <w:name w:val="Heading 1 Char"/>
    <w:basedOn w:val="DefaultParagraphFont"/>
    <w:link w:val="Heading1"/>
    <w:rsid w:val="0025659B"/>
    <w:rPr>
      <w:rFonts w:eastAsiaTheme="majorEastAsia" w:cstheme="majorBidi"/>
      <w:b/>
      <w:color w:val="17365D"/>
      <w:sz w:val="44"/>
      <w:szCs w:val="32"/>
      <w:lang w:val="en-GB"/>
    </w:rPr>
  </w:style>
  <w:style w:type="paragraph" w:customStyle="1" w:styleId="Nameoftheprogram">
    <w:name w:val="Name of the program"/>
    <w:basedOn w:val="Normal"/>
    <w:rsid w:val="007F22BD"/>
    <w:pPr>
      <w:keepNext/>
      <w:spacing w:before="360" w:after="60"/>
      <w:ind w:left="360" w:hanging="360"/>
      <w:outlineLvl w:val="0"/>
    </w:pPr>
    <w:rPr>
      <w:rFonts w:eastAsia="Times New Roman" w:cs="Arial"/>
      <w:b/>
      <w:bCs/>
      <w:color w:val="44546A" w:themeColor="text2"/>
      <w:kern w:val="32"/>
      <w:sz w:val="24"/>
      <w:szCs w:val="32"/>
      <w:lang w:val="es-ES"/>
    </w:rPr>
  </w:style>
  <w:style w:type="paragraph" w:styleId="Quote">
    <w:name w:val="Quote"/>
    <w:basedOn w:val="Normal"/>
    <w:next w:val="Normal"/>
    <w:link w:val="QuoteChar"/>
    <w:uiPriority w:val="29"/>
    <w:qFormat/>
    <w:rsid w:val="00791169"/>
    <w:pPr>
      <w:spacing w:before="200" w:after="160"/>
      <w:ind w:left="864" w:right="864"/>
      <w:jc w:val="center"/>
    </w:pPr>
    <w:rPr>
      <w:i/>
      <w:iCs w:val="0"/>
      <w:color w:val="404040" w:themeColor="text1" w:themeTint="BF"/>
    </w:rPr>
  </w:style>
  <w:style w:type="paragraph" w:customStyle="1" w:styleId="Style1-Annex">
    <w:name w:val="Style1 - Annex"/>
    <w:basedOn w:val="Heading1"/>
    <w:next w:val="Normal"/>
    <w:qFormat/>
    <w:rsid w:val="00010748"/>
    <w:pPr>
      <w:numPr>
        <w:numId w:val="0"/>
      </w:numPr>
      <w:ind w:left="360" w:hanging="360"/>
    </w:pPr>
  </w:style>
  <w:style w:type="paragraph" w:styleId="Index1">
    <w:name w:val="index 1"/>
    <w:basedOn w:val="Normal"/>
    <w:next w:val="Normal"/>
    <w:autoRedefine/>
    <w:uiPriority w:val="99"/>
    <w:semiHidden/>
    <w:unhideWhenUsed/>
    <w:rsid w:val="00B0794E"/>
    <w:pPr>
      <w:spacing w:before="0" w:after="0"/>
      <w:ind w:left="200" w:hanging="200"/>
    </w:pPr>
  </w:style>
  <w:style w:type="paragraph" w:styleId="IndexHeading">
    <w:name w:val="index heading"/>
    <w:basedOn w:val="Normal"/>
    <w:next w:val="Index1"/>
    <w:uiPriority w:val="99"/>
    <w:semiHidden/>
    <w:unhideWhenUsed/>
    <w:rsid w:val="00B0794E"/>
    <w:rPr>
      <w:rFonts w:asciiTheme="majorHAnsi" w:eastAsiaTheme="majorEastAsia" w:hAnsiTheme="majorHAnsi" w:cstheme="majorBidi"/>
      <w:b/>
      <w:bCs/>
    </w:rPr>
  </w:style>
  <w:style w:type="character" w:customStyle="1" w:styleId="QuoteChar">
    <w:name w:val="Quote Char"/>
    <w:basedOn w:val="DefaultParagraphFont"/>
    <w:link w:val="Quote"/>
    <w:uiPriority w:val="29"/>
    <w:rsid w:val="00791169"/>
    <w:rPr>
      <w:rFonts w:ascii="Open Sans" w:eastAsia="ヒラギノ角ゴ Pro W3" w:hAnsi="Open Sans" w:cs="Times New Roman"/>
      <w:i/>
      <w:color w:val="404040" w:themeColor="text1" w:themeTint="BF"/>
      <w:sz w:val="20"/>
      <w:szCs w:val="24"/>
      <w:lang w:val="en-GB"/>
    </w:rPr>
  </w:style>
  <w:style w:type="character" w:customStyle="1" w:styleId="HeaderChar">
    <w:name w:val="Header Char"/>
    <w:basedOn w:val="DefaultParagraphFont"/>
    <w:link w:val="Header"/>
    <w:uiPriority w:val="99"/>
    <w:rsid w:val="00A23534"/>
    <w:rPr>
      <w:rFonts w:ascii="Open Sans" w:eastAsia="ヒラギノ角ゴ Pro W3" w:hAnsi="Open Sans" w:cs="Times New Roman"/>
      <w:iCs/>
      <w:sz w:val="20"/>
      <w:szCs w:val="24"/>
      <w:lang w:val="en-GB"/>
    </w:rPr>
  </w:style>
  <w:style w:type="paragraph" w:styleId="Footer">
    <w:name w:val="footer"/>
    <w:basedOn w:val="Normal"/>
    <w:link w:val="FooterChar"/>
    <w:rsid w:val="006D7CBE"/>
    <w:pPr>
      <w:tabs>
        <w:tab w:val="center" w:pos="4320"/>
        <w:tab w:val="right" w:pos="8640"/>
      </w:tabs>
      <w:spacing w:before="0" w:after="0"/>
      <w:jc w:val="right"/>
    </w:pPr>
    <w:rPr>
      <w:rFonts w:cs="Open Sans"/>
      <w:iCs w:val="0"/>
      <w:sz w:val="16"/>
      <w:szCs w:val="20"/>
    </w:rPr>
  </w:style>
  <w:style w:type="character" w:customStyle="1" w:styleId="FooterChar">
    <w:name w:val="Footer Char"/>
    <w:basedOn w:val="DefaultParagraphFont"/>
    <w:link w:val="Footer"/>
    <w:rsid w:val="006D7CBE"/>
    <w:rPr>
      <w:rFonts w:ascii="Open Sans" w:hAnsi="Open Sans" w:cs="Open Sans"/>
      <w:sz w:val="16"/>
      <w:szCs w:val="20"/>
      <w:lang w:val="en-GB"/>
    </w:rPr>
  </w:style>
  <w:style w:type="paragraph" w:customStyle="1" w:styleId="NormalBold">
    <w:name w:val="Normal Bold"/>
    <w:basedOn w:val="Normal"/>
    <w:qFormat/>
    <w:rsid w:val="00B0794E"/>
    <w:pPr>
      <w:spacing w:before="60" w:after="60" w:line="259" w:lineRule="auto"/>
    </w:pPr>
    <w:rPr>
      <w:rFonts w:eastAsiaTheme="minorHAnsi" w:cs="Open Sans"/>
      <w:b/>
      <w:bCs/>
      <w:iCs w:val="0"/>
      <w:szCs w:val="20"/>
      <w:lang w:val="es-ES"/>
    </w:rPr>
  </w:style>
  <w:style w:type="paragraph" w:customStyle="1" w:styleId="Tablestyle">
    <w:name w:val="Table style"/>
    <w:basedOn w:val="Normal"/>
    <w:qFormat/>
    <w:rsid w:val="00492371"/>
    <w:rPr>
      <w:i/>
      <w:sz w:val="24"/>
    </w:rPr>
  </w:style>
  <w:style w:type="paragraph" w:customStyle="1" w:styleId="Tableheading">
    <w:name w:val="Table heading"/>
    <w:basedOn w:val="Tablestyle"/>
    <w:qFormat/>
    <w:rsid w:val="003003BE"/>
    <w:rPr>
      <w:b/>
      <w:i w:val="0"/>
      <w:color w:val="002060"/>
    </w:rPr>
  </w:style>
  <w:style w:type="paragraph" w:styleId="Subtitle">
    <w:name w:val="Subtitle"/>
    <w:basedOn w:val="Title"/>
    <w:next w:val="Normal"/>
    <w:link w:val="SubtitleChar"/>
    <w:uiPriority w:val="11"/>
    <w:qFormat/>
    <w:rsid w:val="005627E0"/>
    <w:rPr>
      <w:sz w:val="32"/>
      <w:szCs w:val="32"/>
      <w:u w:val="none"/>
    </w:rPr>
  </w:style>
  <w:style w:type="character" w:customStyle="1" w:styleId="SubtitleChar">
    <w:name w:val="Subtitle Char"/>
    <w:basedOn w:val="DefaultParagraphFont"/>
    <w:link w:val="Subtitle"/>
    <w:uiPriority w:val="11"/>
    <w:rsid w:val="005627E0"/>
    <w:rPr>
      <w:rFonts w:ascii="Open Sans" w:hAnsi="Open Sans" w:cs="Open Sans"/>
      <w:b/>
      <w:color w:val="17365D"/>
      <w:sz w:val="32"/>
      <w:szCs w:val="32"/>
      <w:lang w:val="en-GB" w:eastAsia="da-DK"/>
    </w:rPr>
  </w:style>
  <w:style w:type="character" w:styleId="SubtleReference">
    <w:name w:val="Subtle Reference"/>
    <w:uiPriority w:val="31"/>
    <w:qFormat/>
    <w:rsid w:val="006D7CBE"/>
    <w:rPr>
      <w:rFonts w:ascii="Open Sans" w:hAnsi="Open Sans"/>
      <w:color w:val="auto"/>
      <w:sz w:val="24"/>
      <w:szCs w:val="24"/>
    </w:rPr>
  </w:style>
  <w:style w:type="table" w:styleId="TableGrid">
    <w:name w:val="Table Grid"/>
    <w:basedOn w:val="TableNormal"/>
    <w:uiPriority w:val="59"/>
    <w:rsid w:val="006D7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360A3"/>
    <w:rPr>
      <w:rFonts w:eastAsia="ヒラギノ角ゴ Pro W3" w:cstheme="majorBidi"/>
      <w:b/>
      <w:iCs/>
      <w:color w:val="17365D"/>
      <w:sz w:val="28"/>
      <w:szCs w:val="26"/>
      <w:lang w:val="en-GB"/>
    </w:rPr>
  </w:style>
  <w:style w:type="character" w:customStyle="1" w:styleId="Heading3Char">
    <w:name w:val="Heading 3 Char"/>
    <w:basedOn w:val="DefaultParagraphFont"/>
    <w:link w:val="Heading3"/>
    <w:uiPriority w:val="9"/>
    <w:rsid w:val="008E74D1"/>
    <w:rPr>
      <w:rFonts w:eastAsia="ヒラギノ角ゴ Pro W3" w:cstheme="majorBidi"/>
      <w:b/>
      <w:i/>
      <w:iCs/>
      <w:color w:val="17365D"/>
      <w:sz w:val="24"/>
      <w:szCs w:val="24"/>
      <w:lang w:val="en-GB"/>
    </w:rPr>
  </w:style>
  <w:style w:type="character" w:customStyle="1" w:styleId="Heading4Char">
    <w:name w:val="Heading 4 Char"/>
    <w:basedOn w:val="DefaultParagraphFont"/>
    <w:link w:val="Heading4"/>
    <w:uiPriority w:val="9"/>
    <w:rsid w:val="00B065BC"/>
    <w:rPr>
      <w:rFonts w:asciiTheme="majorHAnsi" w:eastAsiaTheme="majorEastAsia" w:hAnsiTheme="majorHAnsi" w:cstheme="majorBidi"/>
      <w:b/>
      <w:i/>
      <w:color w:val="002060"/>
      <w:szCs w:val="24"/>
      <w:lang w:val="en-GB"/>
    </w:rPr>
  </w:style>
  <w:style w:type="character" w:customStyle="1" w:styleId="Heading5Char">
    <w:name w:val="Heading 5 Char"/>
    <w:basedOn w:val="DefaultParagraphFont"/>
    <w:link w:val="Heading5"/>
    <w:uiPriority w:val="9"/>
    <w:rsid w:val="00CB70B5"/>
    <w:rPr>
      <w:rFonts w:eastAsiaTheme="majorEastAsia" w:cstheme="majorBidi"/>
      <w:b/>
      <w:iCs/>
      <w:color w:val="002060"/>
      <w:sz w:val="44"/>
      <w:szCs w:val="24"/>
      <w:lang w:val="en-GB"/>
    </w:rPr>
  </w:style>
  <w:style w:type="character" w:customStyle="1" w:styleId="Heading6Char">
    <w:name w:val="Heading 6 Char"/>
    <w:basedOn w:val="DefaultParagraphFont"/>
    <w:link w:val="Heading6"/>
    <w:uiPriority w:val="9"/>
    <w:rsid w:val="00B065BC"/>
    <w:rPr>
      <w:rFonts w:eastAsiaTheme="majorEastAsia" w:cstheme="majorBidi"/>
      <w:b/>
      <w:iCs/>
      <w:color w:val="002060"/>
      <w:sz w:val="28"/>
      <w:szCs w:val="24"/>
      <w:lang w:val="en-GB"/>
    </w:rPr>
  </w:style>
  <w:style w:type="character" w:customStyle="1" w:styleId="Heading7Char">
    <w:name w:val="Heading 7 Char"/>
    <w:basedOn w:val="DefaultParagraphFont"/>
    <w:link w:val="Heading7"/>
    <w:uiPriority w:val="9"/>
    <w:rsid w:val="00B065BC"/>
    <w:rPr>
      <w:rFonts w:eastAsiaTheme="majorEastAsia" w:cstheme="majorBidi"/>
      <w:b/>
      <w:i/>
      <w:color w:val="002060"/>
      <w:sz w:val="24"/>
      <w:szCs w:val="24"/>
      <w:lang w:val="en-GB"/>
    </w:rPr>
  </w:style>
  <w:style w:type="character" w:customStyle="1" w:styleId="Heading8Char">
    <w:name w:val="Heading 8 Char"/>
    <w:basedOn w:val="DefaultParagraphFont"/>
    <w:link w:val="Heading8"/>
    <w:uiPriority w:val="9"/>
    <w:semiHidden/>
    <w:rsid w:val="00E120F4"/>
    <w:rPr>
      <w:rFonts w:asciiTheme="majorHAnsi" w:eastAsiaTheme="majorEastAsia" w:hAnsiTheme="majorHAnsi" w:cstheme="majorBidi"/>
      <w:iCs/>
      <w:color w:val="272727" w:themeColor="text1" w:themeTint="D8"/>
      <w:sz w:val="21"/>
      <w:szCs w:val="21"/>
      <w:lang w:val="en-GB"/>
    </w:rPr>
  </w:style>
  <w:style w:type="character" w:customStyle="1" w:styleId="Heading9Char">
    <w:name w:val="Heading 9 Char"/>
    <w:basedOn w:val="DefaultParagraphFont"/>
    <w:link w:val="Heading9"/>
    <w:uiPriority w:val="9"/>
    <w:semiHidden/>
    <w:rsid w:val="00E120F4"/>
    <w:rPr>
      <w:rFonts w:asciiTheme="majorHAnsi" w:eastAsiaTheme="majorEastAsia" w:hAnsiTheme="majorHAnsi" w:cstheme="majorBidi"/>
      <w:i/>
      <w:color w:val="272727" w:themeColor="text1" w:themeTint="D8"/>
      <w:sz w:val="21"/>
      <w:szCs w:val="21"/>
      <w:lang w:val="en-GB"/>
    </w:rPr>
  </w:style>
  <w:style w:type="paragraph" w:styleId="ListParagraph">
    <w:name w:val="List Paragraph"/>
    <w:basedOn w:val="Normal"/>
    <w:uiPriority w:val="34"/>
    <w:qFormat/>
    <w:rsid w:val="00891DE2"/>
    <w:pPr>
      <w:numPr>
        <w:numId w:val="2"/>
      </w:numPr>
      <w:contextualSpacing/>
    </w:pPr>
    <w:rPr>
      <w:lang w:val="en-US" w:eastAsia="fr-FR"/>
    </w:rPr>
  </w:style>
  <w:style w:type="paragraph" w:customStyle="1" w:styleId="Graphicsourcenotes">
    <w:name w:val="Graphic source/notes"/>
    <w:basedOn w:val="Normal"/>
    <w:next w:val="Normal"/>
    <w:qFormat/>
    <w:rsid w:val="006F2405"/>
    <w:rPr>
      <w:color w:val="002060"/>
    </w:rPr>
  </w:style>
  <w:style w:type="paragraph" w:styleId="FootnoteText">
    <w:name w:val="footnote text"/>
    <w:basedOn w:val="Normal"/>
    <w:link w:val="FootnoteTextChar"/>
    <w:uiPriority w:val="99"/>
    <w:semiHidden/>
    <w:unhideWhenUsed/>
    <w:rsid w:val="00247B1F"/>
    <w:pPr>
      <w:spacing w:before="0" w:after="0"/>
    </w:pPr>
    <w:rPr>
      <w:szCs w:val="20"/>
    </w:rPr>
  </w:style>
  <w:style w:type="character" w:customStyle="1" w:styleId="FootnoteTextChar">
    <w:name w:val="Footnote Text Char"/>
    <w:basedOn w:val="DefaultParagraphFont"/>
    <w:link w:val="FootnoteText"/>
    <w:uiPriority w:val="99"/>
    <w:semiHidden/>
    <w:rsid w:val="00247B1F"/>
    <w:rPr>
      <w:rFonts w:ascii="Open Sans" w:eastAsia="ヒラギノ角ゴ Pro W3" w:hAnsi="Open Sans" w:cs="Times New Roman"/>
      <w:iCs/>
      <w:sz w:val="20"/>
      <w:szCs w:val="20"/>
      <w:lang w:val="en-GB"/>
    </w:rPr>
  </w:style>
  <w:style w:type="character" w:styleId="FootnoteReference">
    <w:name w:val="footnote reference"/>
    <w:aliases w:val="Footnote symbol,Footnote reference number,note TESI,BVI fnr,Appel note de bas de p,Nota,SUPERS,Footnote number,Footnote Reference Superscript,EN Footnote Reference,-E Fußnotenzeichen,number Char Char,number,Ref,styl,styli,de nota al p"/>
    <w:basedOn w:val="DefaultParagraphFont"/>
    <w:link w:val="CharCharChar1"/>
    <w:uiPriority w:val="99"/>
    <w:unhideWhenUsed/>
    <w:qFormat/>
    <w:rsid w:val="00247B1F"/>
    <w:rPr>
      <w:vertAlign w:val="superscript"/>
    </w:rPr>
  </w:style>
  <w:style w:type="paragraph" w:customStyle="1" w:styleId="Style2-Annex">
    <w:name w:val="Style2 - Annex"/>
    <w:basedOn w:val="Heading2"/>
    <w:next w:val="Normal"/>
    <w:qFormat/>
    <w:rsid w:val="00EA5843"/>
    <w:pPr>
      <w:numPr>
        <w:ilvl w:val="0"/>
        <w:numId w:val="0"/>
      </w:numPr>
      <w:ind w:left="432" w:hanging="432"/>
    </w:pPr>
  </w:style>
  <w:style w:type="numbering" w:customStyle="1" w:styleId="Style1">
    <w:name w:val="Style1"/>
    <w:uiPriority w:val="99"/>
    <w:rsid w:val="00886B45"/>
    <w:pPr>
      <w:numPr>
        <w:numId w:val="3"/>
      </w:numPr>
    </w:pPr>
  </w:style>
  <w:style w:type="paragraph" w:customStyle="1" w:styleId="Style3-Annex">
    <w:name w:val="Style3 - Annex"/>
    <w:basedOn w:val="Heading3"/>
    <w:next w:val="Normal"/>
    <w:qFormat/>
    <w:rsid w:val="00886B45"/>
    <w:pPr>
      <w:numPr>
        <w:ilvl w:val="0"/>
        <w:numId w:val="0"/>
      </w:numPr>
      <w:ind w:left="576" w:hanging="576"/>
    </w:pPr>
  </w:style>
  <w:style w:type="paragraph" w:styleId="TOC1">
    <w:name w:val="toc 1"/>
    <w:basedOn w:val="Normal"/>
    <w:next w:val="Normal"/>
    <w:autoRedefine/>
    <w:uiPriority w:val="39"/>
    <w:unhideWhenUsed/>
    <w:rsid w:val="000E5705"/>
    <w:pPr>
      <w:tabs>
        <w:tab w:val="left" w:pos="400"/>
        <w:tab w:val="right" w:leader="dot" w:pos="8494"/>
      </w:tabs>
      <w:spacing w:after="100"/>
    </w:pPr>
  </w:style>
  <w:style w:type="paragraph" w:styleId="TOC2">
    <w:name w:val="toc 2"/>
    <w:basedOn w:val="Normal"/>
    <w:next w:val="Normal"/>
    <w:autoRedefine/>
    <w:uiPriority w:val="39"/>
    <w:unhideWhenUsed/>
    <w:rsid w:val="00C36B2A"/>
    <w:pPr>
      <w:tabs>
        <w:tab w:val="left" w:pos="880"/>
        <w:tab w:val="right" w:leader="dot" w:pos="8494"/>
      </w:tabs>
      <w:spacing w:after="100"/>
      <w:ind w:left="200"/>
    </w:pPr>
  </w:style>
  <w:style w:type="paragraph" w:styleId="TOC3">
    <w:name w:val="toc 3"/>
    <w:basedOn w:val="Normal"/>
    <w:next w:val="Normal"/>
    <w:autoRedefine/>
    <w:uiPriority w:val="39"/>
    <w:unhideWhenUsed/>
    <w:rsid w:val="00DE2F92"/>
    <w:pPr>
      <w:tabs>
        <w:tab w:val="left" w:pos="1100"/>
        <w:tab w:val="right" w:leader="dot" w:pos="8494"/>
      </w:tabs>
      <w:spacing w:after="100"/>
      <w:ind w:left="400"/>
    </w:pPr>
  </w:style>
  <w:style w:type="character" w:styleId="Hyperlink">
    <w:name w:val="Hyperlink"/>
    <w:basedOn w:val="DefaultParagraphFont"/>
    <w:uiPriority w:val="99"/>
    <w:unhideWhenUsed/>
    <w:rsid w:val="00152ACA"/>
    <w:rPr>
      <w:color w:val="0563C1" w:themeColor="hyperlink"/>
      <w:u w:val="single"/>
    </w:rPr>
  </w:style>
  <w:style w:type="paragraph" w:styleId="TableofFigures">
    <w:name w:val="table of figures"/>
    <w:basedOn w:val="Normal"/>
    <w:next w:val="Normal"/>
    <w:uiPriority w:val="99"/>
    <w:unhideWhenUsed/>
    <w:rsid w:val="00152ACA"/>
    <w:pPr>
      <w:spacing w:after="0"/>
    </w:pPr>
  </w:style>
  <w:style w:type="numbering" w:customStyle="1" w:styleId="Style2">
    <w:name w:val="Style2"/>
    <w:uiPriority w:val="99"/>
    <w:rsid w:val="002D0D17"/>
    <w:pPr>
      <w:numPr>
        <w:numId w:val="4"/>
      </w:numPr>
    </w:pPr>
  </w:style>
  <w:style w:type="character" w:styleId="PlaceholderText">
    <w:name w:val="Placeholder Text"/>
    <w:basedOn w:val="DefaultParagraphFont"/>
    <w:uiPriority w:val="99"/>
    <w:semiHidden/>
    <w:rsid w:val="00C65D55"/>
    <w:rPr>
      <w:color w:val="808080"/>
    </w:rPr>
  </w:style>
  <w:style w:type="paragraph" w:styleId="BalloonText">
    <w:name w:val="Balloon Text"/>
    <w:basedOn w:val="Normal"/>
    <w:link w:val="BalloonTextChar"/>
    <w:uiPriority w:val="99"/>
    <w:semiHidden/>
    <w:unhideWhenUsed/>
    <w:rsid w:val="001121E9"/>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1E9"/>
    <w:rPr>
      <w:rFonts w:ascii="Tahoma" w:eastAsia="ヒラギノ角ゴ Pro W3" w:hAnsi="Tahoma" w:cs="Tahoma"/>
      <w:iCs/>
      <w:sz w:val="16"/>
      <w:szCs w:val="16"/>
      <w:lang w:val="en-GB"/>
    </w:rPr>
  </w:style>
  <w:style w:type="paragraph" w:styleId="BodyText">
    <w:name w:val="Body Text"/>
    <w:aliases w:val="EEA - Body Text"/>
    <w:basedOn w:val="Normal"/>
    <w:link w:val="BodyTextChar"/>
    <w:autoRedefine/>
    <w:qFormat/>
    <w:rsid w:val="00995B80"/>
    <w:pPr>
      <w:spacing w:before="0" w:after="160" w:line="259" w:lineRule="auto"/>
      <w:ind w:left="360"/>
      <w:jc w:val="left"/>
    </w:pPr>
    <w:rPr>
      <w:iCs w:val="0"/>
      <w:color w:val="000000"/>
      <w:szCs w:val="20"/>
      <w:lang w:eastAsia="en-GB"/>
    </w:rPr>
  </w:style>
  <w:style w:type="character" w:customStyle="1" w:styleId="BodyTextChar">
    <w:name w:val="Body Text Char"/>
    <w:aliases w:val="EEA - Body Text Char"/>
    <w:basedOn w:val="DefaultParagraphFont"/>
    <w:link w:val="BodyText"/>
    <w:rsid w:val="009E062E"/>
    <w:rPr>
      <w:rFonts w:eastAsia="ヒラギノ角ゴ Pro W3" w:cs="Times New Roman"/>
      <w:color w:val="000000"/>
      <w:szCs w:val="20"/>
      <w:lang w:val="en-GB" w:eastAsia="en-GB"/>
    </w:rPr>
  </w:style>
  <w:style w:type="character" w:styleId="CommentReference">
    <w:name w:val="annotation reference"/>
    <w:basedOn w:val="DefaultParagraphFont"/>
    <w:uiPriority w:val="99"/>
    <w:semiHidden/>
    <w:unhideWhenUsed/>
    <w:rsid w:val="004B5F37"/>
    <w:rPr>
      <w:sz w:val="16"/>
      <w:szCs w:val="16"/>
    </w:rPr>
  </w:style>
  <w:style w:type="paragraph" w:styleId="CommentText">
    <w:name w:val="annotation text"/>
    <w:basedOn w:val="Normal"/>
    <w:link w:val="CommentTextChar"/>
    <w:uiPriority w:val="99"/>
    <w:unhideWhenUsed/>
    <w:rsid w:val="004B5F37"/>
    <w:rPr>
      <w:sz w:val="20"/>
      <w:szCs w:val="20"/>
    </w:rPr>
  </w:style>
  <w:style w:type="character" w:customStyle="1" w:styleId="CommentTextChar">
    <w:name w:val="Comment Text Char"/>
    <w:basedOn w:val="DefaultParagraphFont"/>
    <w:link w:val="CommentText"/>
    <w:uiPriority w:val="99"/>
    <w:rsid w:val="004B5F37"/>
    <w:rPr>
      <w:rFonts w:eastAsia="ヒラギノ角ゴ Pro W3" w:cs="Times New Roman"/>
      <w:iCs/>
      <w:sz w:val="20"/>
      <w:szCs w:val="20"/>
      <w:lang w:val="en-GB"/>
    </w:rPr>
  </w:style>
  <w:style w:type="paragraph" w:styleId="CommentSubject">
    <w:name w:val="annotation subject"/>
    <w:basedOn w:val="CommentText"/>
    <w:next w:val="CommentText"/>
    <w:link w:val="CommentSubjectChar"/>
    <w:uiPriority w:val="99"/>
    <w:semiHidden/>
    <w:unhideWhenUsed/>
    <w:rsid w:val="004B5F37"/>
    <w:rPr>
      <w:b/>
      <w:bCs/>
    </w:rPr>
  </w:style>
  <w:style w:type="character" w:customStyle="1" w:styleId="CommentSubjectChar">
    <w:name w:val="Comment Subject Char"/>
    <w:basedOn w:val="CommentTextChar"/>
    <w:link w:val="CommentSubject"/>
    <w:uiPriority w:val="99"/>
    <w:semiHidden/>
    <w:rsid w:val="004B5F37"/>
    <w:rPr>
      <w:rFonts w:eastAsia="ヒラギノ角ゴ Pro W3" w:cs="Times New Roman"/>
      <w:b/>
      <w:bCs/>
      <w:iCs/>
      <w:sz w:val="20"/>
      <w:szCs w:val="20"/>
      <w:lang w:val="en-GB"/>
    </w:rPr>
  </w:style>
  <w:style w:type="paragraph" w:styleId="Caption">
    <w:name w:val="caption"/>
    <w:basedOn w:val="Normal"/>
    <w:next w:val="Normal"/>
    <w:uiPriority w:val="35"/>
    <w:unhideWhenUsed/>
    <w:qFormat/>
    <w:rsid w:val="00AC075E"/>
    <w:pPr>
      <w:spacing w:before="0" w:after="200"/>
    </w:pPr>
    <w:rPr>
      <w:b/>
      <w:iCs w:val="0"/>
      <w:color w:val="44546A" w:themeColor="text2"/>
      <w:szCs w:val="18"/>
    </w:rPr>
  </w:style>
  <w:style w:type="paragraph" w:styleId="NormalWeb">
    <w:name w:val="Normal (Web)"/>
    <w:basedOn w:val="Normal"/>
    <w:uiPriority w:val="99"/>
    <w:unhideWhenUsed/>
    <w:rsid w:val="00BA6A83"/>
    <w:pPr>
      <w:spacing w:before="100" w:beforeAutospacing="1" w:after="100" w:afterAutospacing="1"/>
      <w:jc w:val="left"/>
    </w:pPr>
    <w:rPr>
      <w:rFonts w:ascii="Times New Roman" w:eastAsia="Times New Roman" w:hAnsi="Times New Roman"/>
      <w:iCs w:val="0"/>
      <w:sz w:val="24"/>
      <w:lang w:eastAsia="en-GB"/>
    </w:rPr>
  </w:style>
  <w:style w:type="character" w:customStyle="1" w:styleId="apple-converted-space">
    <w:name w:val="apple-converted-space"/>
    <w:basedOn w:val="DefaultParagraphFont"/>
    <w:rsid w:val="00BA6A83"/>
  </w:style>
  <w:style w:type="paragraph" w:customStyle="1" w:styleId="EMSAContent">
    <w:name w:val="EMSA_Content"/>
    <w:basedOn w:val="Normal"/>
    <w:link w:val="EMSAContentChar"/>
    <w:qFormat/>
    <w:rsid w:val="30A38A90"/>
    <w:pPr>
      <w:spacing w:before="240" w:after="240"/>
    </w:pPr>
    <w:rPr>
      <w:rFonts w:ascii="Arial" w:eastAsiaTheme="minorEastAsia" w:hAnsi="Arial" w:cstheme="minorBidi"/>
      <w:sz w:val="20"/>
      <w:szCs w:val="20"/>
    </w:rPr>
  </w:style>
  <w:style w:type="character" w:customStyle="1" w:styleId="EMSAContentChar">
    <w:name w:val="EMSA_Content Char"/>
    <w:basedOn w:val="DefaultParagraphFont"/>
    <w:link w:val="EMSAContent"/>
    <w:rsid w:val="30A38A90"/>
    <w:rPr>
      <w:rFonts w:ascii="Arial" w:eastAsiaTheme="minorEastAsia" w:hAnsi="Arial" w:cstheme="minorBidi"/>
      <w:sz w:val="20"/>
      <w:szCs w:val="20"/>
    </w:rPr>
  </w:style>
  <w:style w:type="character" w:customStyle="1" w:styleId="normaltextrun">
    <w:name w:val="normaltextrun"/>
    <w:basedOn w:val="DefaultParagraphFont"/>
    <w:rsid w:val="30A38A90"/>
  </w:style>
  <w:style w:type="character" w:styleId="UnresolvedMention">
    <w:name w:val="Unresolved Mention"/>
    <w:basedOn w:val="DefaultParagraphFont"/>
    <w:uiPriority w:val="99"/>
    <w:semiHidden/>
    <w:unhideWhenUsed/>
    <w:rsid w:val="00C04AE2"/>
    <w:rPr>
      <w:color w:val="605E5C"/>
      <w:shd w:val="clear" w:color="auto" w:fill="E1DFDD"/>
    </w:rPr>
  </w:style>
  <w:style w:type="character" w:customStyle="1" w:styleId="eop">
    <w:name w:val="eop"/>
    <w:basedOn w:val="DefaultParagraphFont"/>
    <w:rsid w:val="00CD5F64"/>
  </w:style>
  <w:style w:type="paragraph" w:styleId="Revision">
    <w:name w:val="Revision"/>
    <w:hidden/>
    <w:uiPriority w:val="99"/>
    <w:semiHidden/>
    <w:rsid w:val="001F2E23"/>
    <w:pPr>
      <w:spacing w:after="0" w:line="240" w:lineRule="auto"/>
    </w:pPr>
    <w:rPr>
      <w:rFonts w:eastAsia="ヒラギノ角ゴ Pro W3" w:cs="Times New Roman"/>
      <w:iCs/>
      <w:szCs w:val="24"/>
      <w:lang w:val="en-GB"/>
    </w:rPr>
  </w:style>
  <w:style w:type="character" w:styleId="FollowedHyperlink">
    <w:name w:val="FollowedHyperlink"/>
    <w:basedOn w:val="DefaultParagraphFont"/>
    <w:uiPriority w:val="99"/>
    <w:semiHidden/>
    <w:unhideWhenUsed/>
    <w:rsid w:val="0029700F"/>
    <w:rPr>
      <w:color w:val="954F72" w:themeColor="followedHyperlink"/>
      <w:u w:val="single"/>
    </w:rPr>
  </w:style>
  <w:style w:type="paragraph" w:styleId="Bibliography">
    <w:name w:val="Bibliography"/>
    <w:basedOn w:val="Normal"/>
    <w:next w:val="Normal"/>
    <w:uiPriority w:val="37"/>
    <w:unhideWhenUsed/>
    <w:rsid w:val="00150094"/>
  </w:style>
  <w:style w:type="paragraph" w:customStyle="1" w:styleId="paragraph">
    <w:name w:val="paragraph"/>
    <w:basedOn w:val="Normal"/>
    <w:rsid w:val="00B6070D"/>
    <w:pPr>
      <w:spacing w:before="100" w:beforeAutospacing="1" w:after="100" w:afterAutospacing="1"/>
      <w:jc w:val="left"/>
    </w:pPr>
    <w:rPr>
      <w:rFonts w:ascii="Times New Roman" w:eastAsia="Times New Roman" w:hAnsi="Times New Roman"/>
      <w:iCs w:val="0"/>
      <w:sz w:val="24"/>
      <w:lang w:val="en-IE" w:eastAsia="en-IE"/>
    </w:rPr>
  </w:style>
  <w:style w:type="character" w:customStyle="1" w:styleId="findhit">
    <w:name w:val="findhit"/>
    <w:basedOn w:val="DefaultParagraphFont"/>
    <w:rsid w:val="00D4203B"/>
  </w:style>
  <w:style w:type="paragraph" w:customStyle="1" w:styleId="Normal1">
    <w:name w:val="Normal1"/>
    <w:basedOn w:val="Normal"/>
    <w:rsid w:val="007E0CCF"/>
    <w:pPr>
      <w:spacing w:before="100" w:beforeAutospacing="1" w:after="100" w:afterAutospacing="1"/>
      <w:jc w:val="left"/>
    </w:pPr>
    <w:rPr>
      <w:rFonts w:ascii="Times New Roman" w:eastAsia="Times New Roman" w:hAnsi="Times New Roman"/>
      <w:iCs w:val="0"/>
      <w:sz w:val="24"/>
      <w:lang w:val="en-IE" w:eastAsia="en-IE"/>
    </w:rPr>
  </w:style>
  <w:style w:type="character" w:customStyle="1" w:styleId="bold">
    <w:name w:val="bold"/>
    <w:basedOn w:val="DefaultParagraphFont"/>
    <w:rsid w:val="007E0CCF"/>
  </w:style>
  <w:style w:type="character" w:styleId="Mention">
    <w:name w:val="Mention"/>
    <w:basedOn w:val="DefaultParagraphFont"/>
    <w:uiPriority w:val="99"/>
    <w:unhideWhenUsed/>
    <w:rsid w:val="007619D8"/>
    <w:rPr>
      <w:color w:val="2B579A"/>
      <w:shd w:val="clear" w:color="auto" w:fill="E1DFDD"/>
    </w:rPr>
  </w:style>
  <w:style w:type="character" w:customStyle="1" w:styleId="cf01">
    <w:name w:val="cf01"/>
    <w:basedOn w:val="DefaultParagraphFont"/>
    <w:rsid w:val="00BA018B"/>
    <w:rPr>
      <w:rFonts w:ascii="Segoe UI" w:hAnsi="Segoe UI" w:cs="Segoe UI" w:hint="default"/>
      <w:b/>
      <w:bCs/>
      <w:color w:val="141624"/>
      <w:sz w:val="18"/>
      <w:szCs w:val="18"/>
      <w:shd w:val="clear" w:color="auto" w:fill="FFFFFF"/>
    </w:rPr>
  </w:style>
  <w:style w:type="character" w:customStyle="1" w:styleId="ui-provider">
    <w:name w:val="ui-provider"/>
    <w:basedOn w:val="DefaultParagraphFont"/>
    <w:rsid w:val="00B40D8C"/>
  </w:style>
  <w:style w:type="character" w:customStyle="1" w:styleId="A21">
    <w:name w:val="A2+1"/>
    <w:uiPriority w:val="99"/>
    <w:rsid w:val="00736310"/>
    <w:rPr>
      <w:rFonts w:cs="HelveticaNeueLT Std Lt Cn"/>
      <w:color w:val="000000"/>
      <w:sz w:val="18"/>
      <w:szCs w:val="18"/>
    </w:rPr>
  </w:style>
  <w:style w:type="character" w:styleId="EndnoteReference">
    <w:name w:val="endnote reference"/>
    <w:basedOn w:val="DefaultParagraphFont"/>
    <w:uiPriority w:val="99"/>
    <w:semiHidden/>
    <w:unhideWhenUsed/>
    <w:rsid w:val="0069052A"/>
    <w:rPr>
      <w:vertAlign w:val="superscript"/>
    </w:rPr>
  </w:style>
  <w:style w:type="character" w:customStyle="1" w:styleId="UnresolvedMention1">
    <w:name w:val="Unresolved Mention1"/>
    <w:basedOn w:val="DefaultParagraphFont"/>
    <w:uiPriority w:val="99"/>
    <w:semiHidden/>
    <w:unhideWhenUsed/>
    <w:rsid w:val="002F142A"/>
    <w:rPr>
      <w:color w:val="605E5C"/>
      <w:shd w:val="clear" w:color="auto" w:fill="E1DFDD"/>
    </w:rPr>
  </w:style>
  <w:style w:type="character" w:customStyle="1" w:styleId="Mention1">
    <w:name w:val="Mention1"/>
    <w:basedOn w:val="DefaultParagraphFont"/>
    <w:uiPriority w:val="99"/>
    <w:unhideWhenUsed/>
    <w:rsid w:val="002F142A"/>
    <w:rPr>
      <w:color w:val="2B579A"/>
      <w:shd w:val="clear" w:color="auto" w:fill="E1DFDD"/>
    </w:rPr>
  </w:style>
  <w:style w:type="paragraph" w:styleId="PlainText">
    <w:name w:val="Plain Text"/>
    <w:basedOn w:val="Normal"/>
    <w:link w:val="PlainTextChar"/>
    <w:uiPriority w:val="99"/>
    <w:unhideWhenUsed/>
    <w:rsid w:val="002F142A"/>
    <w:pPr>
      <w:spacing w:before="0" w:after="0"/>
      <w:jc w:val="left"/>
    </w:pPr>
    <w:rPr>
      <w:rFonts w:ascii="Calibri" w:eastAsiaTheme="minorHAnsi" w:hAnsi="Calibri" w:cstheme="minorBidi"/>
      <w:iCs w:val="0"/>
      <w:szCs w:val="21"/>
      <w:lang w:val="de-DE"/>
    </w:rPr>
  </w:style>
  <w:style w:type="character" w:customStyle="1" w:styleId="PlainTextChar">
    <w:name w:val="Plain Text Char"/>
    <w:basedOn w:val="DefaultParagraphFont"/>
    <w:link w:val="PlainText"/>
    <w:uiPriority w:val="99"/>
    <w:rsid w:val="002F142A"/>
    <w:rPr>
      <w:rFonts w:ascii="Calibri" w:eastAsiaTheme="minorHAnsi" w:hAnsi="Calibri"/>
      <w:szCs w:val="21"/>
      <w:lang w:val="de-DE"/>
    </w:rPr>
  </w:style>
  <w:style w:type="paragraph" w:customStyle="1" w:styleId="CharCharChar1">
    <w:name w:val="Char Char Char1"/>
    <w:basedOn w:val="Normal"/>
    <w:link w:val="FootnoteReference"/>
    <w:uiPriority w:val="99"/>
    <w:rsid w:val="001E1710"/>
    <w:pPr>
      <w:spacing w:before="0" w:after="160" w:line="240" w:lineRule="exact"/>
    </w:pPr>
    <w:rPr>
      <w:rFonts w:eastAsia="Times New Roman" w:cstheme="minorBidi"/>
      <w:iCs w:val="0"/>
      <w:szCs w:val="22"/>
      <w:vertAlign w:val="superscript"/>
      <w:lang w:val="es-ES"/>
    </w:rPr>
  </w:style>
  <w:style w:type="character" w:customStyle="1" w:styleId="UnresolvedMention2">
    <w:name w:val="Unresolved Mention2"/>
    <w:basedOn w:val="DefaultParagraphFont"/>
    <w:uiPriority w:val="99"/>
    <w:semiHidden/>
    <w:unhideWhenUsed/>
    <w:rsid w:val="00A45615"/>
    <w:rPr>
      <w:color w:val="605E5C"/>
      <w:shd w:val="clear" w:color="auto" w:fill="E1DFDD"/>
    </w:rPr>
  </w:style>
  <w:style w:type="character" w:customStyle="1" w:styleId="cf11">
    <w:name w:val="cf11"/>
    <w:basedOn w:val="DefaultParagraphFont"/>
    <w:rsid w:val="00215D84"/>
    <w:rPr>
      <w:rFonts w:ascii="Segoe UI" w:hAnsi="Segoe UI" w:cs="Segoe UI" w:hint="default"/>
      <w:sz w:val="18"/>
      <w:szCs w:val="18"/>
    </w:rPr>
  </w:style>
  <w:style w:type="character" w:customStyle="1" w:styleId="superscript">
    <w:name w:val="superscript"/>
    <w:basedOn w:val="DefaultParagraphFont"/>
    <w:rsid w:val="00B377CF"/>
  </w:style>
  <w:style w:type="character" w:styleId="LineNumber">
    <w:name w:val="line number"/>
    <w:basedOn w:val="DefaultParagraphFont"/>
    <w:uiPriority w:val="99"/>
    <w:semiHidden/>
    <w:unhideWhenUsed/>
    <w:rsid w:val="00F22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41186">
      <w:bodyDiv w:val="1"/>
      <w:marLeft w:val="0"/>
      <w:marRight w:val="0"/>
      <w:marTop w:val="0"/>
      <w:marBottom w:val="0"/>
      <w:divBdr>
        <w:top w:val="none" w:sz="0" w:space="0" w:color="auto"/>
        <w:left w:val="none" w:sz="0" w:space="0" w:color="auto"/>
        <w:bottom w:val="none" w:sz="0" w:space="0" w:color="auto"/>
        <w:right w:val="none" w:sz="0" w:space="0" w:color="auto"/>
      </w:divBdr>
    </w:div>
    <w:div w:id="87505300">
      <w:bodyDiv w:val="1"/>
      <w:marLeft w:val="0"/>
      <w:marRight w:val="0"/>
      <w:marTop w:val="0"/>
      <w:marBottom w:val="0"/>
      <w:divBdr>
        <w:top w:val="none" w:sz="0" w:space="0" w:color="auto"/>
        <w:left w:val="none" w:sz="0" w:space="0" w:color="auto"/>
        <w:bottom w:val="none" w:sz="0" w:space="0" w:color="auto"/>
        <w:right w:val="none" w:sz="0" w:space="0" w:color="auto"/>
      </w:divBdr>
    </w:div>
    <w:div w:id="106127029">
      <w:bodyDiv w:val="1"/>
      <w:marLeft w:val="0"/>
      <w:marRight w:val="0"/>
      <w:marTop w:val="0"/>
      <w:marBottom w:val="0"/>
      <w:divBdr>
        <w:top w:val="none" w:sz="0" w:space="0" w:color="auto"/>
        <w:left w:val="none" w:sz="0" w:space="0" w:color="auto"/>
        <w:bottom w:val="none" w:sz="0" w:space="0" w:color="auto"/>
        <w:right w:val="none" w:sz="0" w:space="0" w:color="auto"/>
      </w:divBdr>
      <w:divsChild>
        <w:div w:id="544562986">
          <w:marLeft w:val="0"/>
          <w:marRight w:val="0"/>
          <w:marTop w:val="0"/>
          <w:marBottom w:val="0"/>
          <w:divBdr>
            <w:top w:val="none" w:sz="0" w:space="0" w:color="auto"/>
            <w:left w:val="none" w:sz="0" w:space="0" w:color="auto"/>
            <w:bottom w:val="none" w:sz="0" w:space="0" w:color="auto"/>
            <w:right w:val="none" w:sz="0" w:space="0" w:color="auto"/>
          </w:divBdr>
          <w:divsChild>
            <w:div w:id="736054532">
              <w:marLeft w:val="0"/>
              <w:marRight w:val="0"/>
              <w:marTop w:val="0"/>
              <w:marBottom w:val="0"/>
              <w:divBdr>
                <w:top w:val="none" w:sz="0" w:space="0" w:color="auto"/>
                <w:left w:val="none" w:sz="0" w:space="0" w:color="auto"/>
                <w:bottom w:val="none" w:sz="0" w:space="0" w:color="auto"/>
                <w:right w:val="none" w:sz="0" w:space="0" w:color="auto"/>
              </w:divBdr>
              <w:divsChild>
                <w:div w:id="1697193857">
                  <w:marLeft w:val="0"/>
                  <w:marRight w:val="0"/>
                  <w:marTop w:val="0"/>
                  <w:marBottom w:val="0"/>
                  <w:divBdr>
                    <w:top w:val="none" w:sz="0" w:space="0" w:color="auto"/>
                    <w:left w:val="none" w:sz="0" w:space="0" w:color="auto"/>
                    <w:bottom w:val="none" w:sz="0" w:space="0" w:color="auto"/>
                    <w:right w:val="none" w:sz="0" w:space="0" w:color="auto"/>
                  </w:divBdr>
                  <w:divsChild>
                    <w:div w:id="148369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293897">
          <w:marLeft w:val="0"/>
          <w:marRight w:val="0"/>
          <w:marTop w:val="0"/>
          <w:marBottom w:val="0"/>
          <w:divBdr>
            <w:top w:val="none" w:sz="0" w:space="0" w:color="auto"/>
            <w:left w:val="none" w:sz="0" w:space="0" w:color="auto"/>
            <w:bottom w:val="none" w:sz="0" w:space="0" w:color="auto"/>
            <w:right w:val="none" w:sz="0" w:space="0" w:color="auto"/>
          </w:divBdr>
          <w:divsChild>
            <w:div w:id="1588341865">
              <w:marLeft w:val="0"/>
              <w:marRight w:val="0"/>
              <w:marTop w:val="0"/>
              <w:marBottom w:val="0"/>
              <w:divBdr>
                <w:top w:val="none" w:sz="0" w:space="0" w:color="auto"/>
                <w:left w:val="none" w:sz="0" w:space="0" w:color="auto"/>
                <w:bottom w:val="none" w:sz="0" w:space="0" w:color="auto"/>
                <w:right w:val="none" w:sz="0" w:space="0" w:color="auto"/>
              </w:divBdr>
              <w:divsChild>
                <w:div w:id="286589097">
                  <w:marLeft w:val="0"/>
                  <w:marRight w:val="0"/>
                  <w:marTop w:val="0"/>
                  <w:marBottom w:val="0"/>
                  <w:divBdr>
                    <w:top w:val="none" w:sz="0" w:space="0" w:color="auto"/>
                    <w:left w:val="none" w:sz="0" w:space="0" w:color="auto"/>
                    <w:bottom w:val="none" w:sz="0" w:space="0" w:color="auto"/>
                    <w:right w:val="none" w:sz="0" w:space="0" w:color="auto"/>
                  </w:divBdr>
                  <w:divsChild>
                    <w:div w:id="165093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27271">
      <w:bodyDiv w:val="1"/>
      <w:marLeft w:val="0"/>
      <w:marRight w:val="0"/>
      <w:marTop w:val="0"/>
      <w:marBottom w:val="0"/>
      <w:divBdr>
        <w:top w:val="none" w:sz="0" w:space="0" w:color="auto"/>
        <w:left w:val="none" w:sz="0" w:space="0" w:color="auto"/>
        <w:bottom w:val="none" w:sz="0" w:space="0" w:color="auto"/>
        <w:right w:val="none" w:sz="0" w:space="0" w:color="auto"/>
      </w:divBdr>
    </w:div>
    <w:div w:id="147670206">
      <w:bodyDiv w:val="1"/>
      <w:marLeft w:val="0"/>
      <w:marRight w:val="0"/>
      <w:marTop w:val="0"/>
      <w:marBottom w:val="0"/>
      <w:divBdr>
        <w:top w:val="none" w:sz="0" w:space="0" w:color="auto"/>
        <w:left w:val="none" w:sz="0" w:space="0" w:color="auto"/>
        <w:bottom w:val="none" w:sz="0" w:space="0" w:color="auto"/>
        <w:right w:val="none" w:sz="0" w:space="0" w:color="auto"/>
      </w:divBdr>
    </w:div>
    <w:div w:id="163672744">
      <w:bodyDiv w:val="1"/>
      <w:marLeft w:val="0"/>
      <w:marRight w:val="0"/>
      <w:marTop w:val="0"/>
      <w:marBottom w:val="0"/>
      <w:divBdr>
        <w:top w:val="none" w:sz="0" w:space="0" w:color="auto"/>
        <w:left w:val="none" w:sz="0" w:space="0" w:color="auto"/>
        <w:bottom w:val="none" w:sz="0" w:space="0" w:color="auto"/>
        <w:right w:val="none" w:sz="0" w:space="0" w:color="auto"/>
      </w:divBdr>
    </w:div>
    <w:div w:id="205457477">
      <w:bodyDiv w:val="1"/>
      <w:marLeft w:val="0"/>
      <w:marRight w:val="0"/>
      <w:marTop w:val="0"/>
      <w:marBottom w:val="0"/>
      <w:divBdr>
        <w:top w:val="none" w:sz="0" w:space="0" w:color="auto"/>
        <w:left w:val="none" w:sz="0" w:space="0" w:color="auto"/>
        <w:bottom w:val="none" w:sz="0" w:space="0" w:color="auto"/>
        <w:right w:val="none" w:sz="0" w:space="0" w:color="auto"/>
      </w:divBdr>
    </w:div>
    <w:div w:id="221717049">
      <w:bodyDiv w:val="1"/>
      <w:marLeft w:val="0"/>
      <w:marRight w:val="0"/>
      <w:marTop w:val="0"/>
      <w:marBottom w:val="0"/>
      <w:divBdr>
        <w:top w:val="none" w:sz="0" w:space="0" w:color="auto"/>
        <w:left w:val="none" w:sz="0" w:space="0" w:color="auto"/>
        <w:bottom w:val="none" w:sz="0" w:space="0" w:color="auto"/>
        <w:right w:val="none" w:sz="0" w:space="0" w:color="auto"/>
      </w:divBdr>
    </w:div>
    <w:div w:id="241375215">
      <w:bodyDiv w:val="1"/>
      <w:marLeft w:val="0"/>
      <w:marRight w:val="0"/>
      <w:marTop w:val="0"/>
      <w:marBottom w:val="0"/>
      <w:divBdr>
        <w:top w:val="none" w:sz="0" w:space="0" w:color="auto"/>
        <w:left w:val="none" w:sz="0" w:space="0" w:color="auto"/>
        <w:bottom w:val="none" w:sz="0" w:space="0" w:color="auto"/>
        <w:right w:val="none" w:sz="0" w:space="0" w:color="auto"/>
      </w:divBdr>
      <w:divsChild>
        <w:div w:id="87385809">
          <w:marLeft w:val="0"/>
          <w:marRight w:val="0"/>
          <w:marTop w:val="0"/>
          <w:marBottom w:val="0"/>
          <w:divBdr>
            <w:top w:val="none" w:sz="0" w:space="0" w:color="auto"/>
            <w:left w:val="none" w:sz="0" w:space="0" w:color="auto"/>
            <w:bottom w:val="none" w:sz="0" w:space="0" w:color="auto"/>
            <w:right w:val="none" w:sz="0" w:space="0" w:color="auto"/>
          </w:divBdr>
        </w:div>
        <w:div w:id="116029569">
          <w:marLeft w:val="0"/>
          <w:marRight w:val="0"/>
          <w:marTop w:val="0"/>
          <w:marBottom w:val="0"/>
          <w:divBdr>
            <w:top w:val="none" w:sz="0" w:space="0" w:color="auto"/>
            <w:left w:val="none" w:sz="0" w:space="0" w:color="auto"/>
            <w:bottom w:val="none" w:sz="0" w:space="0" w:color="auto"/>
            <w:right w:val="none" w:sz="0" w:space="0" w:color="auto"/>
          </w:divBdr>
        </w:div>
        <w:div w:id="214315740">
          <w:marLeft w:val="0"/>
          <w:marRight w:val="0"/>
          <w:marTop w:val="0"/>
          <w:marBottom w:val="0"/>
          <w:divBdr>
            <w:top w:val="none" w:sz="0" w:space="0" w:color="auto"/>
            <w:left w:val="none" w:sz="0" w:space="0" w:color="auto"/>
            <w:bottom w:val="none" w:sz="0" w:space="0" w:color="auto"/>
            <w:right w:val="none" w:sz="0" w:space="0" w:color="auto"/>
          </w:divBdr>
        </w:div>
        <w:div w:id="397869566">
          <w:marLeft w:val="0"/>
          <w:marRight w:val="0"/>
          <w:marTop w:val="0"/>
          <w:marBottom w:val="0"/>
          <w:divBdr>
            <w:top w:val="none" w:sz="0" w:space="0" w:color="auto"/>
            <w:left w:val="none" w:sz="0" w:space="0" w:color="auto"/>
            <w:bottom w:val="none" w:sz="0" w:space="0" w:color="auto"/>
            <w:right w:val="none" w:sz="0" w:space="0" w:color="auto"/>
          </w:divBdr>
        </w:div>
        <w:div w:id="415900290">
          <w:marLeft w:val="0"/>
          <w:marRight w:val="0"/>
          <w:marTop w:val="0"/>
          <w:marBottom w:val="0"/>
          <w:divBdr>
            <w:top w:val="none" w:sz="0" w:space="0" w:color="auto"/>
            <w:left w:val="none" w:sz="0" w:space="0" w:color="auto"/>
            <w:bottom w:val="none" w:sz="0" w:space="0" w:color="auto"/>
            <w:right w:val="none" w:sz="0" w:space="0" w:color="auto"/>
          </w:divBdr>
        </w:div>
        <w:div w:id="428621699">
          <w:marLeft w:val="0"/>
          <w:marRight w:val="0"/>
          <w:marTop w:val="0"/>
          <w:marBottom w:val="0"/>
          <w:divBdr>
            <w:top w:val="none" w:sz="0" w:space="0" w:color="auto"/>
            <w:left w:val="none" w:sz="0" w:space="0" w:color="auto"/>
            <w:bottom w:val="none" w:sz="0" w:space="0" w:color="auto"/>
            <w:right w:val="none" w:sz="0" w:space="0" w:color="auto"/>
          </w:divBdr>
        </w:div>
        <w:div w:id="574052690">
          <w:marLeft w:val="0"/>
          <w:marRight w:val="0"/>
          <w:marTop w:val="0"/>
          <w:marBottom w:val="0"/>
          <w:divBdr>
            <w:top w:val="none" w:sz="0" w:space="0" w:color="auto"/>
            <w:left w:val="none" w:sz="0" w:space="0" w:color="auto"/>
            <w:bottom w:val="none" w:sz="0" w:space="0" w:color="auto"/>
            <w:right w:val="none" w:sz="0" w:space="0" w:color="auto"/>
          </w:divBdr>
        </w:div>
        <w:div w:id="806093687">
          <w:marLeft w:val="0"/>
          <w:marRight w:val="0"/>
          <w:marTop w:val="0"/>
          <w:marBottom w:val="0"/>
          <w:divBdr>
            <w:top w:val="none" w:sz="0" w:space="0" w:color="auto"/>
            <w:left w:val="none" w:sz="0" w:space="0" w:color="auto"/>
            <w:bottom w:val="none" w:sz="0" w:space="0" w:color="auto"/>
            <w:right w:val="none" w:sz="0" w:space="0" w:color="auto"/>
          </w:divBdr>
        </w:div>
        <w:div w:id="879394641">
          <w:marLeft w:val="0"/>
          <w:marRight w:val="0"/>
          <w:marTop w:val="0"/>
          <w:marBottom w:val="0"/>
          <w:divBdr>
            <w:top w:val="none" w:sz="0" w:space="0" w:color="auto"/>
            <w:left w:val="none" w:sz="0" w:space="0" w:color="auto"/>
            <w:bottom w:val="none" w:sz="0" w:space="0" w:color="auto"/>
            <w:right w:val="none" w:sz="0" w:space="0" w:color="auto"/>
          </w:divBdr>
        </w:div>
        <w:div w:id="885872690">
          <w:marLeft w:val="0"/>
          <w:marRight w:val="0"/>
          <w:marTop w:val="0"/>
          <w:marBottom w:val="0"/>
          <w:divBdr>
            <w:top w:val="none" w:sz="0" w:space="0" w:color="auto"/>
            <w:left w:val="none" w:sz="0" w:space="0" w:color="auto"/>
            <w:bottom w:val="none" w:sz="0" w:space="0" w:color="auto"/>
            <w:right w:val="none" w:sz="0" w:space="0" w:color="auto"/>
          </w:divBdr>
        </w:div>
        <w:div w:id="1754351542">
          <w:marLeft w:val="0"/>
          <w:marRight w:val="0"/>
          <w:marTop w:val="0"/>
          <w:marBottom w:val="0"/>
          <w:divBdr>
            <w:top w:val="none" w:sz="0" w:space="0" w:color="auto"/>
            <w:left w:val="none" w:sz="0" w:space="0" w:color="auto"/>
            <w:bottom w:val="none" w:sz="0" w:space="0" w:color="auto"/>
            <w:right w:val="none" w:sz="0" w:space="0" w:color="auto"/>
          </w:divBdr>
        </w:div>
        <w:div w:id="1850749919">
          <w:marLeft w:val="0"/>
          <w:marRight w:val="0"/>
          <w:marTop w:val="0"/>
          <w:marBottom w:val="0"/>
          <w:divBdr>
            <w:top w:val="none" w:sz="0" w:space="0" w:color="auto"/>
            <w:left w:val="none" w:sz="0" w:space="0" w:color="auto"/>
            <w:bottom w:val="none" w:sz="0" w:space="0" w:color="auto"/>
            <w:right w:val="none" w:sz="0" w:space="0" w:color="auto"/>
          </w:divBdr>
        </w:div>
        <w:div w:id="2040547290">
          <w:marLeft w:val="0"/>
          <w:marRight w:val="0"/>
          <w:marTop w:val="0"/>
          <w:marBottom w:val="0"/>
          <w:divBdr>
            <w:top w:val="none" w:sz="0" w:space="0" w:color="auto"/>
            <w:left w:val="none" w:sz="0" w:space="0" w:color="auto"/>
            <w:bottom w:val="none" w:sz="0" w:space="0" w:color="auto"/>
            <w:right w:val="none" w:sz="0" w:space="0" w:color="auto"/>
          </w:divBdr>
        </w:div>
      </w:divsChild>
    </w:div>
    <w:div w:id="312490941">
      <w:bodyDiv w:val="1"/>
      <w:marLeft w:val="0"/>
      <w:marRight w:val="0"/>
      <w:marTop w:val="0"/>
      <w:marBottom w:val="0"/>
      <w:divBdr>
        <w:top w:val="none" w:sz="0" w:space="0" w:color="auto"/>
        <w:left w:val="none" w:sz="0" w:space="0" w:color="auto"/>
        <w:bottom w:val="none" w:sz="0" w:space="0" w:color="auto"/>
        <w:right w:val="none" w:sz="0" w:space="0" w:color="auto"/>
      </w:divBdr>
      <w:divsChild>
        <w:div w:id="87503064">
          <w:marLeft w:val="0"/>
          <w:marRight w:val="0"/>
          <w:marTop w:val="0"/>
          <w:marBottom w:val="0"/>
          <w:divBdr>
            <w:top w:val="none" w:sz="0" w:space="0" w:color="auto"/>
            <w:left w:val="none" w:sz="0" w:space="0" w:color="auto"/>
            <w:bottom w:val="none" w:sz="0" w:space="0" w:color="auto"/>
            <w:right w:val="none" w:sz="0" w:space="0" w:color="auto"/>
          </w:divBdr>
        </w:div>
        <w:div w:id="92633721">
          <w:marLeft w:val="0"/>
          <w:marRight w:val="0"/>
          <w:marTop w:val="0"/>
          <w:marBottom w:val="0"/>
          <w:divBdr>
            <w:top w:val="none" w:sz="0" w:space="0" w:color="auto"/>
            <w:left w:val="none" w:sz="0" w:space="0" w:color="auto"/>
            <w:bottom w:val="none" w:sz="0" w:space="0" w:color="auto"/>
            <w:right w:val="none" w:sz="0" w:space="0" w:color="auto"/>
          </w:divBdr>
        </w:div>
        <w:div w:id="111561599">
          <w:marLeft w:val="0"/>
          <w:marRight w:val="0"/>
          <w:marTop w:val="0"/>
          <w:marBottom w:val="0"/>
          <w:divBdr>
            <w:top w:val="none" w:sz="0" w:space="0" w:color="auto"/>
            <w:left w:val="none" w:sz="0" w:space="0" w:color="auto"/>
            <w:bottom w:val="none" w:sz="0" w:space="0" w:color="auto"/>
            <w:right w:val="none" w:sz="0" w:space="0" w:color="auto"/>
          </w:divBdr>
        </w:div>
        <w:div w:id="536162944">
          <w:marLeft w:val="0"/>
          <w:marRight w:val="0"/>
          <w:marTop w:val="0"/>
          <w:marBottom w:val="0"/>
          <w:divBdr>
            <w:top w:val="none" w:sz="0" w:space="0" w:color="auto"/>
            <w:left w:val="none" w:sz="0" w:space="0" w:color="auto"/>
            <w:bottom w:val="none" w:sz="0" w:space="0" w:color="auto"/>
            <w:right w:val="none" w:sz="0" w:space="0" w:color="auto"/>
          </w:divBdr>
        </w:div>
        <w:div w:id="579293791">
          <w:marLeft w:val="0"/>
          <w:marRight w:val="0"/>
          <w:marTop w:val="0"/>
          <w:marBottom w:val="0"/>
          <w:divBdr>
            <w:top w:val="none" w:sz="0" w:space="0" w:color="auto"/>
            <w:left w:val="none" w:sz="0" w:space="0" w:color="auto"/>
            <w:bottom w:val="none" w:sz="0" w:space="0" w:color="auto"/>
            <w:right w:val="none" w:sz="0" w:space="0" w:color="auto"/>
          </w:divBdr>
        </w:div>
        <w:div w:id="729230259">
          <w:marLeft w:val="0"/>
          <w:marRight w:val="0"/>
          <w:marTop w:val="0"/>
          <w:marBottom w:val="0"/>
          <w:divBdr>
            <w:top w:val="none" w:sz="0" w:space="0" w:color="auto"/>
            <w:left w:val="none" w:sz="0" w:space="0" w:color="auto"/>
            <w:bottom w:val="none" w:sz="0" w:space="0" w:color="auto"/>
            <w:right w:val="none" w:sz="0" w:space="0" w:color="auto"/>
          </w:divBdr>
        </w:div>
        <w:div w:id="778137466">
          <w:marLeft w:val="0"/>
          <w:marRight w:val="0"/>
          <w:marTop w:val="0"/>
          <w:marBottom w:val="0"/>
          <w:divBdr>
            <w:top w:val="none" w:sz="0" w:space="0" w:color="auto"/>
            <w:left w:val="none" w:sz="0" w:space="0" w:color="auto"/>
            <w:bottom w:val="none" w:sz="0" w:space="0" w:color="auto"/>
            <w:right w:val="none" w:sz="0" w:space="0" w:color="auto"/>
          </w:divBdr>
        </w:div>
        <w:div w:id="779032477">
          <w:marLeft w:val="0"/>
          <w:marRight w:val="0"/>
          <w:marTop w:val="0"/>
          <w:marBottom w:val="0"/>
          <w:divBdr>
            <w:top w:val="none" w:sz="0" w:space="0" w:color="auto"/>
            <w:left w:val="none" w:sz="0" w:space="0" w:color="auto"/>
            <w:bottom w:val="none" w:sz="0" w:space="0" w:color="auto"/>
            <w:right w:val="none" w:sz="0" w:space="0" w:color="auto"/>
          </w:divBdr>
        </w:div>
        <w:div w:id="860048434">
          <w:marLeft w:val="0"/>
          <w:marRight w:val="0"/>
          <w:marTop w:val="0"/>
          <w:marBottom w:val="0"/>
          <w:divBdr>
            <w:top w:val="none" w:sz="0" w:space="0" w:color="auto"/>
            <w:left w:val="none" w:sz="0" w:space="0" w:color="auto"/>
            <w:bottom w:val="none" w:sz="0" w:space="0" w:color="auto"/>
            <w:right w:val="none" w:sz="0" w:space="0" w:color="auto"/>
          </w:divBdr>
        </w:div>
        <w:div w:id="940722504">
          <w:marLeft w:val="0"/>
          <w:marRight w:val="0"/>
          <w:marTop w:val="0"/>
          <w:marBottom w:val="0"/>
          <w:divBdr>
            <w:top w:val="none" w:sz="0" w:space="0" w:color="auto"/>
            <w:left w:val="none" w:sz="0" w:space="0" w:color="auto"/>
            <w:bottom w:val="none" w:sz="0" w:space="0" w:color="auto"/>
            <w:right w:val="none" w:sz="0" w:space="0" w:color="auto"/>
          </w:divBdr>
        </w:div>
        <w:div w:id="979962277">
          <w:marLeft w:val="0"/>
          <w:marRight w:val="0"/>
          <w:marTop w:val="0"/>
          <w:marBottom w:val="0"/>
          <w:divBdr>
            <w:top w:val="none" w:sz="0" w:space="0" w:color="auto"/>
            <w:left w:val="none" w:sz="0" w:space="0" w:color="auto"/>
            <w:bottom w:val="none" w:sz="0" w:space="0" w:color="auto"/>
            <w:right w:val="none" w:sz="0" w:space="0" w:color="auto"/>
          </w:divBdr>
        </w:div>
        <w:div w:id="1357148988">
          <w:marLeft w:val="0"/>
          <w:marRight w:val="0"/>
          <w:marTop w:val="0"/>
          <w:marBottom w:val="0"/>
          <w:divBdr>
            <w:top w:val="none" w:sz="0" w:space="0" w:color="auto"/>
            <w:left w:val="none" w:sz="0" w:space="0" w:color="auto"/>
            <w:bottom w:val="none" w:sz="0" w:space="0" w:color="auto"/>
            <w:right w:val="none" w:sz="0" w:space="0" w:color="auto"/>
          </w:divBdr>
        </w:div>
        <w:div w:id="1699160254">
          <w:marLeft w:val="0"/>
          <w:marRight w:val="0"/>
          <w:marTop w:val="0"/>
          <w:marBottom w:val="0"/>
          <w:divBdr>
            <w:top w:val="none" w:sz="0" w:space="0" w:color="auto"/>
            <w:left w:val="none" w:sz="0" w:space="0" w:color="auto"/>
            <w:bottom w:val="none" w:sz="0" w:space="0" w:color="auto"/>
            <w:right w:val="none" w:sz="0" w:space="0" w:color="auto"/>
          </w:divBdr>
        </w:div>
        <w:div w:id="1820878622">
          <w:marLeft w:val="0"/>
          <w:marRight w:val="0"/>
          <w:marTop w:val="0"/>
          <w:marBottom w:val="0"/>
          <w:divBdr>
            <w:top w:val="none" w:sz="0" w:space="0" w:color="auto"/>
            <w:left w:val="none" w:sz="0" w:space="0" w:color="auto"/>
            <w:bottom w:val="none" w:sz="0" w:space="0" w:color="auto"/>
            <w:right w:val="none" w:sz="0" w:space="0" w:color="auto"/>
          </w:divBdr>
        </w:div>
        <w:div w:id="1919631185">
          <w:marLeft w:val="0"/>
          <w:marRight w:val="0"/>
          <w:marTop w:val="0"/>
          <w:marBottom w:val="0"/>
          <w:divBdr>
            <w:top w:val="none" w:sz="0" w:space="0" w:color="auto"/>
            <w:left w:val="none" w:sz="0" w:space="0" w:color="auto"/>
            <w:bottom w:val="none" w:sz="0" w:space="0" w:color="auto"/>
            <w:right w:val="none" w:sz="0" w:space="0" w:color="auto"/>
          </w:divBdr>
        </w:div>
        <w:div w:id="2005891782">
          <w:marLeft w:val="0"/>
          <w:marRight w:val="0"/>
          <w:marTop w:val="0"/>
          <w:marBottom w:val="0"/>
          <w:divBdr>
            <w:top w:val="none" w:sz="0" w:space="0" w:color="auto"/>
            <w:left w:val="none" w:sz="0" w:space="0" w:color="auto"/>
            <w:bottom w:val="none" w:sz="0" w:space="0" w:color="auto"/>
            <w:right w:val="none" w:sz="0" w:space="0" w:color="auto"/>
          </w:divBdr>
        </w:div>
        <w:div w:id="2016569043">
          <w:marLeft w:val="0"/>
          <w:marRight w:val="0"/>
          <w:marTop w:val="0"/>
          <w:marBottom w:val="0"/>
          <w:divBdr>
            <w:top w:val="none" w:sz="0" w:space="0" w:color="auto"/>
            <w:left w:val="none" w:sz="0" w:space="0" w:color="auto"/>
            <w:bottom w:val="none" w:sz="0" w:space="0" w:color="auto"/>
            <w:right w:val="none" w:sz="0" w:space="0" w:color="auto"/>
          </w:divBdr>
        </w:div>
        <w:div w:id="2041977488">
          <w:marLeft w:val="0"/>
          <w:marRight w:val="0"/>
          <w:marTop w:val="0"/>
          <w:marBottom w:val="0"/>
          <w:divBdr>
            <w:top w:val="none" w:sz="0" w:space="0" w:color="auto"/>
            <w:left w:val="none" w:sz="0" w:space="0" w:color="auto"/>
            <w:bottom w:val="none" w:sz="0" w:space="0" w:color="auto"/>
            <w:right w:val="none" w:sz="0" w:space="0" w:color="auto"/>
          </w:divBdr>
        </w:div>
        <w:div w:id="2058165046">
          <w:marLeft w:val="0"/>
          <w:marRight w:val="0"/>
          <w:marTop w:val="0"/>
          <w:marBottom w:val="0"/>
          <w:divBdr>
            <w:top w:val="none" w:sz="0" w:space="0" w:color="auto"/>
            <w:left w:val="none" w:sz="0" w:space="0" w:color="auto"/>
            <w:bottom w:val="none" w:sz="0" w:space="0" w:color="auto"/>
            <w:right w:val="none" w:sz="0" w:space="0" w:color="auto"/>
          </w:divBdr>
        </w:div>
        <w:div w:id="2091417030">
          <w:marLeft w:val="0"/>
          <w:marRight w:val="0"/>
          <w:marTop w:val="0"/>
          <w:marBottom w:val="0"/>
          <w:divBdr>
            <w:top w:val="none" w:sz="0" w:space="0" w:color="auto"/>
            <w:left w:val="none" w:sz="0" w:space="0" w:color="auto"/>
            <w:bottom w:val="none" w:sz="0" w:space="0" w:color="auto"/>
            <w:right w:val="none" w:sz="0" w:space="0" w:color="auto"/>
          </w:divBdr>
        </w:div>
      </w:divsChild>
    </w:div>
    <w:div w:id="326178477">
      <w:bodyDiv w:val="1"/>
      <w:marLeft w:val="0"/>
      <w:marRight w:val="0"/>
      <w:marTop w:val="0"/>
      <w:marBottom w:val="0"/>
      <w:divBdr>
        <w:top w:val="none" w:sz="0" w:space="0" w:color="auto"/>
        <w:left w:val="none" w:sz="0" w:space="0" w:color="auto"/>
        <w:bottom w:val="none" w:sz="0" w:space="0" w:color="auto"/>
        <w:right w:val="none" w:sz="0" w:space="0" w:color="auto"/>
      </w:divBdr>
    </w:div>
    <w:div w:id="337466381">
      <w:bodyDiv w:val="1"/>
      <w:marLeft w:val="0"/>
      <w:marRight w:val="0"/>
      <w:marTop w:val="0"/>
      <w:marBottom w:val="0"/>
      <w:divBdr>
        <w:top w:val="none" w:sz="0" w:space="0" w:color="auto"/>
        <w:left w:val="none" w:sz="0" w:space="0" w:color="auto"/>
        <w:bottom w:val="none" w:sz="0" w:space="0" w:color="auto"/>
        <w:right w:val="none" w:sz="0" w:space="0" w:color="auto"/>
      </w:divBdr>
    </w:div>
    <w:div w:id="338042964">
      <w:bodyDiv w:val="1"/>
      <w:marLeft w:val="0"/>
      <w:marRight w:val="0"/>
      <w:marTop w:val="0"/>
      <w:marBottom w:val="0"/>
      <w:divBdr>
        <w:top w:val="none" w:sz="0" w:space="0" w:color="auto"/>
        <w:left w:val="none" w:sz="0" w:space="0" w:color="auto"/>
        <w:bottom w:val="none" w:sz="0" w:space="0" w:color="auto"/>
        <w:right w:val="none" w:sz="0" w:space="0" w:color="auto"/>
      </w:divBdr>
    </w:div>
    <w:div w:id="412043661">
      <w:bodyDiv w:val="1"/>
      <w:marLeft w:val="0"/>
      <w:marRight w:val="0"/>
      <w:marTop w:val="0"/>
      <w:marBottom w:val="0"/>
      <w:divBdr>
        <w:top w:val="none" w:sz="0" w:space="0" w:color="auto"/>
        <w:left w:val="none" w:sz="0" w:space="0" w:color="auto"/>
        <w:bottom w:val="none" w:sz="0" w:space="0" w:color="auto"/>
        <w:right w:val="none" w:sz="0" w:space="0" w:color="auto"/>
      </w:divBdr>
      <w:divsChild>
        <w:div w:id="272515240">
          <w:marLeft w:val="0"/>
          <w:marRight w:val="0"/>
          <w:marTop w:val="0"/>
          <w:marBottom w:val="0"/>
          <w:divBdr>
            <w:top w:val="none" w:sz="0" w:space="0" w:color="auto"/>
            <w:left w:val="none" w:sz="0" w:space="0" w:color="auto"/>
            <w:bottom w:val="none" w:sz="0" w:space="0" w:color="auto"/>
            <w:right w:val="none" w:sz="0" w:space="0" w:color="auto"/>
          </w:divBdr>
          <w:divsChild>
            <w:div w:id="1386248404">
              <w:marLeft w:val="0"/>
              <w:marRight w:val="0"/>
              <w:marTop w:val="0"/>
              <w:marBottom w:val="0"/>
              <w:divBdr>
                <w:top w:val="none" w:sz="0" w:space="0" w:color="auto"/>
                <w:left w:val="none" w:sz="0" w:space="0" w:color="auto"/>
                <w:bottom w:val="none" w:sz="0" w:space="0" w:color="auto"/>
                <w:right w:val="none" w:sz="0" w:space="0" w:color="auto"/>
              </w:divBdr>
              <w:divsChild>
                <w:div w:id="314532506">
                  <w:marLeft w:val="0"/>
                  <w:marRight w:val="0"/>
                  <w:marTop w:val="0"/>
                  <w:marBottom w:val="0"/>
                  <w:divBdr>
                    <w:top w:val="none" w:sz="0" w:space="0" w:color="auto"/>
                    <w:left w:val="none" w:sz="0" w:space="0" w:color="auto"/>
                    <w:bottom w:val="none" w:sz="0" w:space="0" w:color="auto"/>
                    <w:right w:val="none" w:sz="0" w:space="0" w:color="auto"/>
                  </w:divBdr>
                  <w:divsChild>
                    <w:div w:id="105450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792952">
      <w:bodyDiv w:val="1"/>
      <w:marLeft w:val="0"/>
      <w:marRight w:val="0"/>
      <w:marTop w:val="0"/>
      <w:marBottom w:val="0"/>
      <w:divBdr>
        <w:top w:val="none" w:sz="0" w:space="0" w:color="auto"/>
        <w:left w:val="none" w:sz="0" w:space="0" w:color="auto"/>
        <w:bottom w:val="none" w:sz="0" w:space="0" w:color="auto"/>
        <w:right w:val="none" w:sz="0" w:space="0" w:color="auto"/>
      </w:divBdr>
    </w:div>
    <w:div w:id="462887069">
      <w:bodyDiv w:val="1"/>
      <w:marLeft w:val="0"/>
      <w:marRight w:val="0"/>
      <w:marTop w:val="0"/>
      <w:marBottom w:val="0"/>
      <w:divBdr>
        <w:top w:val="none" w:sz="0" w:space="0" w:color="auto"/>
        <w:left w:val="none" w:sz="0" w:space="0" w:color="auto"/>
        <w:bottom w:val="none" w:sz="0" w:space="0" w:color="auto"/>
        <w:right w:val="none" w:sz="0" w:space="0" w:color="auto"/>
      </w:divBdr>
    </w:div>
    <w:div w:id="465777638">
      <w:bodyDiv w:val="1"/>
      <w:marLeft w:val="0"/>
      <w:marRight w:val="0"/>
      <w:marTop w:val="0"/>
      <w:marBottom w:val="0"/>
      <w:divBdr>
        <w:top w:val="none" w:sz="0" w:space="0" w:color="auto"/>
        <w:left w:val="none" w:sz="0" w:space="0" w:color="auto"/>
        <w:bottom w:val="none" w:sz="0" w:space="0" w:color="auto"/>
        <w:right w:val="none" w:sz="0" w:space="0" w:color="auto"/>
      </w:divBdr>
    </w:div>
    <w:div w:id="504520443">
      <w:bodyDiv w:val="1"/>
      <w:marLeft w:val="0"/>
      <w:marRight w:val="0"/>
      <w:marTop w:val="0"/>
      <w:marBottom w:val="0"/>
      <w:divBdr>
        <w:top w:val="none" w:sz="0" w:space="0" w:color="auto"/>
        <w:left w:val="none" w:sz="0" w:space="0" w:color="auto"/>
        <w:bottom w:val="none" w:sz="0" w:space="0" w:color="auto"/>
        <w:right w:val="none" w:sz="0" w:space="0" w:color="auto"/>
      </w:divBdr>
    </w:div>
    <w:div w:id="531186222">
      <w:bodyDiv w:val="1"/>
      <w:marLeft w:val="0"/>
      <w:marRight w:val="0"/>
      <w:marTop w:val="0"/>
      <w:marBottom w:val="0"/>
      <w:divBdr>
        <w:top w:val="none" w:sz="0" w:space="0" w:color="auto"/>
        <w:left w:val="none" w:sz="0" w:space="0" w:color="auto"/>
        <w:bottom w:val="none" w:sz="0" w:space="0" w:color="auto"/>
        <w:right w:val="none" w:sz="0" w:space="0" w:color="auto"/>
      </w:divBdr>
    </w:div>
    <w:div w:id="547843129">
      <w:bodyDiv w:val="1"/>
      <w:marLeft w:val="0"/>
      <w:marRight w:val="0"/>
      <w:marTop w:val="0"/>
      <w:marBottom w:val="0"/>
      <w:divBdr>
        <w:top w:val="none" w:sz="0" w:space="0" w:color="auto"/>
        <w:left w:val="none" w:sz="0" w:space="0" w:color="auto"/>
        <w:bottom w:val="none" w:sz="0" w:space="0" w:color="auto"/>
        <w:right w:val="none" w:sz="0" w:space="0" w:color="auto"/>
      </w:divBdr>
    </w:div>
    <w:div w:id="579674450">
      <w:bodyDiv w:val="1"/>
      <w:marLeft w:val="0"/>
      <w:marRight w:val="0"/>
      <w:marTop w:val="0"/>
      <w:marBottom w:val="0"/>
      <w:divBdr>
        <w:top w:val="none" w:sz="0" w:space="0" w:color="auto"/>
        <w:left w:val="none" w:sz="0" w:space="0" w:color="auto"/>
        <w:bottom w:val="none" w:sz="0" w:space="0" w:color="auto"/>
        <w:right w:val="none" w:sz="0" w:space="0" w:color="auto"/>
      </w:divBdr>
    </w:div>
    <w:div w:id="593977156">
      <w:bodyDiv w:val="1"/>
      <w:marLeft w:val="0"/>
      <w:marRight w:val="0"/>
      <w:marTop w:val="0"/>
      <w:marBottom w:val="0"/>
      <w:divBdr>
        <w:top w:val="none" w:sz="0" w:space="0" w:color="auto"/>
        <w:left w:val="none" w:sz="0" w:space="0" w:color="auto"/>
        <w:bottom w:val="none" w:sz="0" w:space="0" w:color="auto"/>
        <w:right w:val="none" w:sz="0" w:space="0" w:color="auto"/>
      </w:divBdr>
    </w:div>
    <w:div w:id="596671949">
      <w:bodyDiv w:val="1"/>
      <w:marLeft w:val="0"/>
      <w:marRight w:val="0"/>
      <w:marTop w:val="0"/>
      <w:marBottom w:val="0"/>
      <w:divBdr>
        <w:top w:val="none" w:sz="0" w:space="0" w:color="auto"/>
        <w:left w:val="none" w:sz="0" w:space="0" w:color="auto"/>
        <w:bottom w:val="none" w:sz="0" w:space="0" w:color="auto"/>
        <w:right w:val="none" w:sz="0" w:space="0" w:color="auto"/>
      </w:divBdr>
      <w:divsChild>
        <w:div w:id="812600625">
          <w:marLeft w:val="0"/>
          <w:marRight w:val="0"/>
          <w:marTop w:val="0"/>
          <w:marBottom w:val="0"/>
          <w:divBdr>
            <w:top w:val="none" w:sz="0" w:space="0" w:color="auto"/>
            <w:left w:val="none" w:sz="0" w:space="0" w:color="auto"/>
            <w:bottom w:val="none" w:sz="0" w:space="0" w:color="auto"/>
            <w:right w:val="none" w:sz="0" w:space="0" w:color="auto"/>
          </w:divBdr>
          <w:divsChild>
            <w:div w:id="1746603587">
              <w:marLeft w:val="0"/>
              <w:marRight w:val="0"/>
              <w:marTop w:val="0"/>
              <w:marBottom w:val="0"/>
              <w:divBdr>
                <w:top w:val="none" w:sz="0" w:space="0" w:color="auto"/>
                <w:left w:val="none" w:sz="0" w:space="0" w:color="auto"/>
                <w:bottom w:val="none" w:sz="0" w:space="0" w:color="auto"/>
                <w:right w:val="none" w:sz="0" w:space="0" w:color="auto"/>
              </w:divBdr>
              <w:divsChild>
                <w:div w:id="1609923375">
                  <w:marLeft w:val="0"/>
                  <w:marRight w:val="0"/>
                  <w:marTop w:val="0"/>
                  <w:marBottom w:val="0"/>
                  <w:divBdr>
                    <w:top w:val="none" w:sz="0" w:space="0" w:color="auto"/>
                    <w:left w:val="none" w:sz="0" w:space="0" w:color="auto"/>
                    <w:bottom w:val="none" w:sz="0" w:space="0" w:color="auto"/>
                    <w:right w:val="none" w:sz="0" w:space="0" w:color="auto"/>
                  </w:divBdr>
                  <w:divsChild>
                    <w:div w:id="36794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741958">
          <w:marLeft w:val="0"/>
          <w:marRight w:val="0"/>
          <w:marTop w:val="0"/>
          <w:marBottom w:val="0"/>
          <w:divBdr>
            <w:top w:val="none" w:sz="0" w:space="0" w:color="auto"/>
            <w:left w:val="none" w:sz="0" w:space="0" w:color="auto"/>
            <w:bottom w:val="none" w:sz="0" w:space="0" w:color="auto"/>
            <w:right w:val="none" w:sz="0" w:space="0" w:color="auto"/>
          </w:divBdr>
          <w:divsChild>
            <w:div w:id="1495534786">
              <w:marLeft w:val="0"/>
              <w:marRight w:val="0"/>
              <w:marTop w:val="0"/>
              <w:marBottom w:val="0"/>
              <w:divBdr>
                <w:top w:val="none" w:sz="0" w:space="0" w:color="auto"/>
                <w:left w:val="none" w:sz="0" w:space="0" w:color="auto"/>
                <w:bottom w:val="none" w:sz="0" w:space="0" w:color="auto"/>
                <w:right w:val="none" w:sz="0" w:space="0" w:color="auto"/>
              </w:divBdr>
              <w:divsChild>
                <w:div w:id="2022463503">
                  <w:marLeft w:val="0"/>
                  <w:marRight w:val="0"/>
                  <w:marTop w:val="0"/>
                  <w:marBottom w:val="0"/>
                  <w:divBdr>
                    <w:top w:val="none" w:sz="0" w:space="0" w:color="auto"/>
                    <w:left w:val="none" w:sz="0" w:space="0" w:color="auto"/>
                    <w:bottom w:val="none" w:sz="0" w:space="0" w:color="auto"/>
                    <w:right w:val="none" w:sz="0" w:space="0" w:color="auto"/>
                  </w:divBdr>
                  <w:divsChild>
                    <w:div w:id="195305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58260">
      <w:bodyDiv w:val="1"/>
      <w:marLeft w:val="0"/>
      <w:marRight w:val="0"/>
      <w:marTop w:val="0"/>
      <w:marBottom w:val="0"/>
      <w:divBdr>
        <w:top w:val="none" w:sz="0" w:space="0" w:color="auto"/>
        <w:left w:val="none" w:sz="0" w:space="0" w:color="auto"/>
        <w:bottom w:val="none" w:sz="0" w:space="0" w:color="auto"/>
        <w:right w:val="none" w:sz="0" w:space="0" w:color="auto"/>
      </w:divBdr>
    </w:div>
    <w:div w:id="614680494">
      <w:bodyDiv w:val="1"/>
      <w:marLeft w:val="0"/>
      <w:marRight w:val="0"/>
      <w:marTop w:val="0"/>
      <w:marBottom w:val="0"/>
      <w:divBdr>
        <w:top w:val="none" w:sz="0" w:space="0" w:color="auto"/>
        <w:left w:val="none" w:sz="0" w:space="0" w:color="auto"/>
        <w:bottom w:val="none" w:sz="0" w:space="0" w:color="auto"/>
        <w:right w:val="none" w:sz="0" w:space="0" w:color="auto"/>
      </w:divBdr>
    </w:div>
    <w:div w:id="627706861">
      <w:bodyDiv w:val="1"/>
      <w:marLeft w:val="0"/>
      <w:marRight w:val="0"/>
      <w:marTop w:val="0"/>
      <w:marBottom w:val="0"/>
      <w:divBdr>
        <w:top w:val="none" w:sz="0" w:space="0" w:color="auto"/>
        <w:left w:val="none" w:sz="0" w:space="0" w:color="auto"/>
        <w:bottom w:val="none" w:sz="0" w:space="0" w:color="auto"/>
        <w:right w:val="none" w:sz="0" w:space="0" w:color="auto"/>
      </w:divBdr>
      <w:divsChild>
        <w:div w:id="16277570">
          <w:marLeft w:val="0"/>
          <w:marRight w:val="0"/>
          <w:marTop w:val="0"/>
          <w:marBottom w:val="0"/>
          <w:divBdr>
            <w:top w:val="none" w:sz="0" w:space="0" w:color="auto"/>
            <w:left w:val="none" w:sz="0" w:space="0" w:color="auto"/>
            <w:bottom w:val="none" w:sz="0" w:space="0" w:color="auto"/>
            <w:right w:val="none" w:sz="0" w:space="0" w:color="auto"/>
          </w:divBdr>
          <w:divsChild>
            <w:div w:id="976178118">
              <w:marLeft w:val="0"/>
              <w:marRight w:val="0"/>
              <w:marTop w:val="0"/>
              <w:marBottom w:val="0"/>
              <w:divBdr>
                <w:top w:val="none" w:sz="0" w:space="0" w:color="auto"/>
                <w:left w:val="none" w:sz="0" w:space="0" w:color="auto"/>
                <w:bottom w:val="none" w:sz="0" w:space="0" w:color="auto"/>
                <w:right w:val="none" w:sz="0" w:space="0" w:color="auto"/>
              </w:divBdr>
            </w:div>
          </w:divsChild>
        </w:div>
        <w:div w:id="207494693">
          <w:marLeft w:val="0"/>
          <w:marRight w:val="0"/>
          <w:marTop w:val="0"/>
          <w:marBottom w:val="0"/>
          <w:divBdr>
            <w:top w:val="none" w:sz="0" w:space="0" w:color="auto"/>
            <w:left w:val="none" w:sz="0" w:space="0" w:color="auto"/>
            <w:bottom w:val="none" w:sz="0" w:space="0" w:color="auto"/>
            <w:right w:val="none" w:sz="0" w:space="0" w:color="auto"/>
          </w:divBdr>
          <w:divsChild>
            <w:div w:id="1880629020">
              <w:marLeft w:val="0"/>
              <w:marRight w:val="0"/>
              <w:marTop w:val="0"/>
              <w:marBottom w:val="0"/>
              <w:divBdr>
                <w:top w:val="none" w:sz="0" w:space="0" w:color="auto"/>
                <w:left w:val="none" w:sz="0" w:space="0" w:color="auto"/>
                <w:bottom w:val="none" w:sz="0" w:space="0" w:color="auto"/>
                <w:right w:val="none" w:sz="0" w:space="0" w:color="auto"/>
              </w:divBdr>
            </w:div>
          </w:divsChild>
        </w:div>
        <w:div w:id="224222378">
          <w:marLeft w:val="0"/>
          <w:marRight w:val="0"/>
          <w:marTop w:val="0"/>
          <w:marBottom w:val="0"/>
          <w:divBdr>
            <w:top w:val="none" w:sz="0" w:space="0" w:color="auto"/>
            <w:left w:val="none" w:sz="0" w:space="0" w:color="auto"/>
            <w:bottom w:val="none" w:sz="0" w:space="0" w:color="auto"/>
            <w:right w:val="none" w:sz="0" w:space="0" w:color="auto"/>
          </w:divBdr>
          <w:divsChild>
            <w:div w:id="1977106593">
              <w:marLeft w:val="0"/>
              <w:marRight w:val="0"/>
              <w:marTop w:val="0"/>
              <w:marBottom w:val="0"/>
              <w:divBdr>
                <w:top w:val="none" w:sz="0" w:space="0" w:color="auto"/>
                <w:left w:val="none" w:sz="0" w:space="0" w:color="auto"/>
                <w:bottom w:val="none" w:sz="0" w:space="0" w:color="auto"/>
                <w:right w:val="none" w:sz="0" w:space="0" w:color="auto"/>
              </w:divBdr>
            </w:div>
          </w:divsChild>
        </w:div>
        <w:div w:id="237831820">
          <w:marLeft w:val="0"/>
          <w:marRight w:val="0"/>
          <w:marTop w:val="0"/>
          <w:marBottom w:val="0"/>
          <w:divBdr>
            <w:top w:val="none" w:sz="0" w:space="0" w:color="auto"/>
            <w:left w:val="none" w:sz="0" w:space="0" w:color="auto"/>
            <w:bottom w:val="none" w:sz="0" w:space="0" w:color="auto"/>
            <w:right w:val="none" w:sz="0" w:space="0" w:color="auto"/>
          </w:divBdr>
          <w:divsChild>
            <w:div w:id="217399434">
              <w:marLeft w:val="0"/>
              <w:marRight w:val="0"/>
              <w:marTop w:val="0"/>
              <w:marBottom w:val="0"/>
              <w:divBdr>
                <w:top w:val="none" w:sz="0" w:space="0" w:color="auto"/>
                <w:left w:val="none" w:sz="0" w:space="0" w:color="auto"/>
                <w:bottom w:val="none" w:sz="0" w:space="0" w:color="auto"/>
                <w:right w:val="none" w:sz="0" w:space="0" w:color="auto"/>
              </w:divBdr>
            </w:div>
            <w:div w:id="538591616">
              <w:marLeft w:val="0"/>
              <w:marRight w:val="0"/>
              <w:marTop w:val="0"/>
              <w:marBottom w:val="0"/>
              <w:divBdr>
                <w:top w:val="none" w:sz="0" w:space="0" w:color="auto"/>
                <w:left w:val="none" w:sz="0" w:space="0" w:color="auto"/>
                <w:bottom w:val="none" w:sz="0" w:space="0" w:color="auto"/>
                <w:right w:val="none" w:sz="0" w:space="0" w:color="auto"/>
              </w:divBdr>
            </w:div>
            <w:div w:id="1079133410">
              <w:marLeft w:val="0"/>
              <w:marRight w:val="0"/>
              <w:marTop w:val="0"/>
              <w:marBottom w:val="0"/>
              <w:divBdr>
                <w:top w:val="none" w:sz="0" w:space="0" w:color="auto"/>
                <w:left w:val="none" w:sz="0" w:space="0" w:color="auto"/>
                <w:bottom w:val="none" w:sz="0" w:space="0" w:color="auto"/>
                <w:right w:val="none" w:sz="0" w:space="0" w:color="auto"/>
              </w:divBdr>
            </w:div>
            <w:div w:id="1915695832">
              <w:marLeft w:val="0"/>
              <w:marRight w:val="0"/>
              <w:marTop w:val="0"/>
              <w:marBottom w:val="0"/>
              <w:divBdr>
                <w:top w:val="none" w:sz="0" w:space="0" w:color="auto"/>
                <w:left w:val="none" w:sz="0" w:space="0" w:color="auto"/>
                <w:bottom w:val="none" w:sz="0" w:space="0" w:color="auto"/>
                <w:right w:val="none" w:sz="0" w:space="0" w:color="auto"/>
              </w:divBdr>
            </w:div>
          </w:divsChild>
        </w:div>
        <w:div w:id="313145042">
          <w:marLeft w:val="0"/>
          <w:marRight w:val="0"/>
          <w:marTop w:val="0"/>
          <w:marBottom w:val="0"/>
          <w:divBdr>
            <w:top w:val="none" w:sz="0" w:space="0" w:color="auto"/>
            <w:left w:val="none" w:sz="0" w:space="0" w:color="auto"/>
            <w:bottom w:val="none" w:sz="0" w:space="0" w:color="auto"/>
            <w:right w:val="none" w:sz="0" w:space="0" w:color="auto"/>
          </w:divBdr>
          <w:divsChild>
            <w:div w:id="1212612638">
              <w:marLeft w:val="0"/>
              <w:marRight w:val="0"/>
              <w:marTop w:val="0"/>
              <w:marBottom w:val="0"/>
              <w:divBdr>
                <w:top w:val="none" w:sz="0" w:space="0" w:color="auto"/>
                <w:left w:val="none" w:sz="0" w:space="0" w:color="auto"/>
                <w:bottom w:val="none" w:sz="0" w:space="0" w:color="auto"/>
                <w:right w:val="none" w:sz="0" w:space="0" w:color="auto"/>
              </w:divBdr>
            </w:div>
          </w:divsChild>
        </w:div>
        <w:div w:id="329908976">
          <w:marLeft w:val="0"/>
          <w:marRight w:val="0"/>
          <w:marTop w:val="0"/>
          <w:marBottom w:val="0"/>
          <w:divBdr>
            <w:top w:val="none" w:sz="0" w:space="0" w:color="auto"/>
            <w:left w:val="none" w:sz="0" w:space="0" w:color="auto"/>
            <w:bottom w:val="none" w:sz="0" w:space="0" w:color="auto"/>
            <w:right w:val="none" w:sz="0" w:space="0" w:color="auto"/>
          </w:divBdr>
          <w:divsChild>
            <w:div w:id="1767843623">
              <w:marLeft w:val="0"/>
              <w:marRight w:val="0"/>
              <w:marTop w:val="0"/>
              <w:marBottom w:val="0"/>
              <w:divBdr>
                <w:top w:val="none" w:sz="0" w:space="0" w:color="auto"/>
                <w:left w:val="none" w:sz="0" w:space="0" w:color="auto"/>
                <w:bottom w:val="none" w:sz="0" w:space="0" w:color="auto"/>
                <w:right w:val="none" w:sz="0" w:space="0" w:color="auto"/>
              </w:divBdr>
            </w:div>
          </w:divsChild>
        </w:div>
        <w:div w:id="331110385">
          <w:marLeft w:val="0"/>
          <w:marRight w:val="0"/>
          <w:marTop w:val="0"/>
          <w:marBottom w:val="0"/>
          <w:divBdr>
            <w:top w:val="none" w:sz="0" w:space="0" w:color="auto"/>
            <w:left w:val="none" w:sz="0" w:space="0" w:color="auto"/>
            <w:bottom w:val="none" w:sz="0" w:space="0" w:color="auto"/>
            <w:right w:val="none" w:sz="0" w:space="0" w:color="auto"/>
          </w:divBdr>
          <w:divsChild>
            <w:div w:id="311176512">
              <w:marLeft w:val="0"/>
              <w:marRight w:val="0"/>
              <w:marTop w:val="0"/>
              <w:marBottom w:val="0"/>
              <w:divBdr>
                <w:top w:val="none" w:sz="0" w:space="0" w:color="auto"/>
                <w:left w:val="none" w:sz="0" w:space="0" w:color="auto"/>
                <w:bottom w:val="none" w:sz="0" w:space="0" w:color="auto"/>
                <w:right w:val="none" w:sz="0" w:space="0" w:color="auto"/>
              </w:divBdr>
            </w:div>
          </w:divsChild>
        </w:div>
        <w:div w:id="355081329">
          <w:marLeft w:val="0"/>
          <w:marRight w:val="0"/>
          <w:marTop w:val="0"/>
          <w:marBottom w:val="0"/>
          <w:divBdr>
            <w:top w:val="none" w:sz="0" w:space="0" w:color="auto"/>
            <w:left w:val="none" w:sz="0" w:space="0" w:color="auto"/>
            <w:bottom w:val="none" w:sz="0" w:space="0" w:color="auto"/>
            <w:right w:val="none" w:sz="0" w:space="0" w:color="auto"/>
          </w:divBdr>
          <w:divsChild>
            <w:div w:id="551844303">
              <w:marLeft w:val="0"/>
              <w:marRight w:val="0"/>
              <w:marTop w:val="0"/>
              <w:marBottom w:val="0"/>
              <w:divBdr>
                <w:top w:val="none" w:sz="0" w:space="0" w:color="auto"/>
                <w:left w:val="none" w:sz="0" w:space="0" w:color="auto"/>
                <w:bottom w:val="none" w:sz="0" w:space="0" w:color="auto"/>
                <w:right w:val="none" w:sz="0" w:space="0" w:color="auto"/>
              </w:divBdr>
            </w:div>
            <w:div w:id="629750093">
              <w:marLeft w:val="0"/>
              <w:marRight w:val="0"/>
              <w:marTop w:val="0"/>
              <w:marBottom w:val="0"/>
              <w:divBdr>
                <w:top w:val="none" w:sz="0" w:space="0" w:color="auto"/>
                <w:left w:val="none" w:sz="0" w:space="0" w:color="auto"/>
                <w:bottom w:val="none" w:sz="0" w:space="0" w:color="auto"/>
                <w:right w:val="none" w:sz="0" w:space="0" w:color="auto"/>
              </w:divBdr>
            </w:div>
            <w:div w:id="1190071197">
              <w:marLeft w:val="0"/>
              <w:marRight w:val="0"/>
              <w:marTop w:val="0"/>
              <w:marBottom w:val="0"/>
              <w:divBdr>
                <w:top w:val="none" w:sz="0" w:space="0" w:color="auto"/>
                <w:left w:val="none" w:sz="0" w:space="0" w:color="auto"/>
                <w:bottom w:val="none" w:sz="0" w:space="0" w:color="auto"/>
                <w:right w:val="none" w:sz="0" w:space="0" w:color="auto"/>
              </w:divBdr>
            </w:div>
            <w:div w:id="1218590224">
              <w:marLeft w:val="0"/>
              <w:marRight w:val="0"/>
              <w:marTop w:val="0"/>
              <w:marBottom w:val="0"/>
              <w:divBdr>
                <w:top w:val="none" w:sz="0" w:space="0" w:color="auto"/>
                <w:left w:val="none" w:sz="0" w:space="0" w:color="auto"/>
                <w:bottom w:val="none" w:sz="0" w:space="0" w:color="auto"/>
                <w:right w:val="none" w:sz="0" w:space="0" w:color="auto"/>
              </w:divBdr>
            </w:div>
          </w:divsChild>
        </w:div>
        <w:div w:id="383258702">
          <w:marLeft w:val="0"/>
          <w:marRight w:val="0"/>
          <w:marTop w:val="0"/>
          <w:marBottom w:val="0"/>
          <w:divBdr>
            <w:top w:val="none" w:sz="0" w:space="0" w:color="auto"/>
            <w:left w:val="none" w:sz="0" w:space="0" w:color="auto"/>
            <w:bottom w:val="none" w:sz="0" w:space="0" w:color="auto"/>
            <w:right w:val="none" w:sz="0" w:space="0" w:color="auto"/>
          </w:divBdr>
          <w:divsChild>
            <w:div w:id="809858063">
              <w:marLeft w:val="0"/>
              <w:marRight w:val="0"/>
              <w:marTop w:val="0"/>
              <w:marBottom w:val="0"/>
              <w:divBdr>
                <w:top w:val="none" w:sz="0" w:space="0" w:color="auto"/>
                <w:left w:val="none" w:sz="0" w:space="0" w:color="auto"/>
                <w:bottom w:val="none" w:sz="0" w:space="0" w:color="auto"/>
                <w:right w:val="none" w:sz="0" w:space="0" w:color="auto"/>
              </w:divBdr>
            </w:div>
          </w:divsChild>
        </w:div>
        <w:div w:id="471600506">
          <w:marLeft w:val="0"/>
          <w:marRight w:val="0"/>
          <w:marTop w:val="0"/>
          <w:marBottom w:val="0"/>
          <w:divBdr>
            <w:top w:val="none" w:sz="0" w:space="0" w:color="auto"/>
            <w:left w:val="none" w:sz="0" w:space="0" w:color="auto"/>
            <w:bottom w:val="none" w:sz="0" w:space="0" w:color="auto"/>
            <w:right w:val="none" w:sz="0" w:space="0" w:color="auto"/>
          </w:divBdr>
          <w:divsChild>
            <w:div w:id="193200599">
              <w:marLeft w:val="0"/>
              <w:marRight w:val="0"/>
              <w:marTop w:val="0"/>
              <w:marBottom w:val="0"/>
              <w:divBdr>
                <w:top w:val="none" w:sz="0" w:space="0" w:color="auto"/>
                <w:left w:val="none" w:sz="0" w:space="0" w:color="auto"/>
                <w:bottom w:val="none" w:sz="0" w:space="0" w:color="auto"/>
                <w:right w:val="none" w:sz="0" w:space="0" w:color="auto"/>
              </w:divBdr>
            </w:div>
          </w:divsChild>
        </w:div>
        <w:div w:id="623736529">
          <w:marLeft w:val="0"/>
          <w:marRight w:val="0"/>
          <w:marTop w:val="0"/>
          <w:marBottom w:val="0"/>
          <w:divBdr>
            <w:top w:val="none" w:sz="0" w:space="0" w:color="auto"/>
            <w:left w:val="none" w:sz="0" w:space="0" w:color="auto"/>
            <w:bottom w:val="none" w:sz="0" w:space="0" w:color="auto"/>
            <w:right w:val="none" w:sz="0" w:space="0" w:color="auto"/>
          </w:divBdr>
          <w:divsChild>
            <w:div w:id="1303540745">
              <w:marLeft w:val="0"/>
              <w:marRight w:val="0"/>
              <w:marTop w:val="0"/>
              <w:marBottom w:val="0"/>
              <w:divBdr>
                <w:top w:val="none" w:sz="0" w:space="0" w:color="auto"/>
                <w:left w:val="none" w:sz="0" w:space="0" w:color="auto"/>
                <w:bottom w:val="none" w:sz="0" w:space="0" w:color="auto"/>
                <w:right w:val="none" w:sz="0" w:space="0" w:color="auto"/>
              </w:divBdr>
            </w:div>
          </w:divsChild>
        </w:div>
        <w:div w:id="774060296">
          <w:marLeft w:val="0"/>
          <w:marRight w:val="0"/>
          <w:marTop w:val="0"/>
          <w:marBottom w:val="0"/>
          <w:divBdr>
            <w:top w:val="none" w:sz="0" w:space="0" w:color="auto"/>
            <w:left w:val="none" w:sz="0" w:space="0" w:color="auto"/>
            <w:bottom w:val="none" w:sz="0" w:space="0" w:color="auto"/>
            <w:right w:val="none" w:sz="0" w:space="0" w:color="auto"/>
          </w:divBdr>
          <w:divsChild>
            <w:div w:id="2081128134">
              <w:marLeft w:val="0"/>
              <w:marRight w:val="0"/>
              <w:marTop w:val="0"/>
              <w:marBottom w:val="0"/>
              <w:divBdr>
                <w:top w:val="none" w:sz="0" w:space="0" w:color="auto"/>
                <w:left w:val="none" w:sz="0" w:space="0" w:color="auto"/>
                <w:bottom w:val="none" w:sz="0" w:space="0" w:color="auto"/>
                <w:right w:val="none" w:sz="0" w:space="0" w:color="auto"/>
              </w:divBdr>
            </w:div>
          </w:divsChild>
        </w:div>
        <w:div w:id="934290679">
          <w:marLeft w:val="0"/>
          <w:marRight w:val="0"/>
          <w:marTop w:val="0"/>
          <w:marBottom w:val="0"/>
          <w:divBdr>
            <w:top w:val="none" w:sz="0" w:space="0" w:color="auto"/>
            <w:left w:val="none" w:sz="0" w:space="0" w:color="auto"/>
            <w:bottom w:val="none" w:sz="0" w:space="0" w:color="auto"/>
            <w:right w:val="none" w:sz="0" w:space="0" w:color="auto"/>
          </w:divBdr>
          <w:divsChild>
            <w:div w:id="1499803763">
              <w:marLeft w:val="0"/>
              <w:marRight w:val="0"/>
              <w:marTop w:val="0"/>
              <w:marBottom w:val="0"/>
              <w:divBdr>
                <w:top w:val="none" w:sz="0" w:space="0" w:color="auto"/>
                <w:left w:val="none" w:sz="0" w:space="0" w:color="auto"/>
                <w:bottom w:val="none" w:sz="0" w:space="0" w:color="auto"/>
                <w:right w:val="none" w:sz="0" w:space="0" w:color="auto"/>
              </w:divBdr>
            </w:div>
          </w:divsChild>
        </w:div>
        <w:div w:id="937374035">
          <w:marLeft w:val="0"/>
          <w:marRight w:val="0"/>
          <w:marTop w:val="0"/>
          <w:marBottom w:val="0"/>
          <w:divBdr>
            <w:top w:val="none" w:sz="0" w:space="0" w:color="auto"/>
            <w:left w:val="none" w:sz="0" w:space="0" w:color="auto"/>
            <w:bottom w:val="none" w:sz="0" w:space="0" w:color="auto"/>
            <w:right w:val="none" w:sz="0" w:space="0" w:color="auto"/>
          </w:divBdr>
          <w:divsChild>
            <w:div w:id="702823920">
              <w:marLeft w:val="0"/>
              <w:marRight w:val="0"/>
              <w:marTop w:val="0"/>
              <w:marBottom w:val="0"/>
              <w:divBdr>
                <w:top w:val="none" w:sz="0" w:space="0" w:color="auto"/>
                <w:left w:val="none" w:sz="0" w:space="0" w:color="auto"/>
                <w:bottom w:val="none" w:sz="0" w:space="0" w:color="auto"/>
                <w:right w:val="none" w:sz="0" w:space="0" w:color="auto"/>
              </w:divBdr>
            </w:div>
          </w:divsChild>
        </w:div>
        <w:div w:id="1000741744">
          <w:marLeft w:val="0"/>
          <w:marRight w:val="0"/>
          <w:marTop w:val="0"/>
          <w:marBottom w:val="0"/>
          <w:divBdr>
            <w:top w:val="none" w:sz="0" w:space="0" w:color="auto"/>
            <w:left w:val="none" w:sz="0" w:space="0" w:color="auto"/>
            <w:bottom w:val="none" w:sz="0" w:space="0" w:color="auto"/>
            <w:right w:val="none" w:sz="0" w:space="0" w:color="auto"/>
          </w:divBdr>
          <w:divsChild>
            <w:div w:id="1479420485">
              <w:marLeft w:val="0"/>
              <w:marRight w:val="0"/>
              <w:marTop w:val="0"/>
              <w:marBottom w:val="0"/>
              <w:divBdr>
                <w:top w:val="none" w:sz="0" w:space="0" w:color="auto"/>
                <w:left w:val="none" w:sz="0" w:space="0" w:color="auto"/>
                <w:bottom w:val="none" w:sz="0" w:space="0" w:color="auto"/>
                <w:right w:val="none" w:sz="0" w:space="0" w:color="auto"/>
              </w:divBdr>
            </w:div>
          </w:divsChild>
        </w:div>
        <w:div w:id="1067066966">
          <w:marLeft w:val="0"/>
          <w:marRight w:val="0"/>
          <w:marTop w:val="0"/>
          <w:marBottom w:val="0"/>
          <w:divBdr>
            <w:top w:val="none" w:sz="0" w:space="0" w:color="auto"/>
            <w:left w:val="none" w:sz="0" w:space="0" w:color="auto"/>
            <w:bottom w:val="none" w:sz="0" w:space="0" w:color="auto"/>
            <w:right w:val="none" w:sz="0" w:space="0" w:color="auto"/>
          </w:divBdr>
          <w:divsChild>
            <w:div w:id="1879272240">
              <w:marLeft w:val="0"/>
              <w:marRight w:val="0"/>
              <w:marTop w:val="0"/>
              <w:marBottom w:val="0"/>
              <w:divBdr>
                <w:top w:val="none" w:sz="0" w:space="0" w:color="auto"/>
                <w:left w:val="none" w:sz="0" w:space="0" w:color="auto"/>
                <w:bottom w:val="none" w:sz="0" w:space="0" w:color="auto"/>
                <w:right w:val="none" w:sz="0" w:space="0" w:color="auto"/>
              </w:divBdr>
            </w:div>
          </w:divsChild>
        </w:div>
        <w:div w:id="1073969222">
          <w:marLeft w:val="0"/>
          <w:marRight w:val="0"/>
          <w:marTop w:val="0"/>
          <w:marBottom w:val="0"/>
          <w:divBdr>
            <w:top w:val="none" w:sz="0" w:space="0" w:color="auto"/>
            <w:left w:val="none" w:sz="0" w:space="0" w:color="auto"/>
            <w:bottom w:val="none" w:sz="0" w:space="0" w:color="auto"/>
            <w:right w:val="none" w:sz="0" w:space="0" w:color="auto"/>
          </w:divBdr>
          <w:divsChild>
            <w:div w:id="160395283">
              <w:marLeft w:val="0"/>
              <w:marRight w:val="0"/>
              <w:marTop w:val="0"/>
              <w:marBottom w:val="0"/>
              <w:divBdr>
                <w:top w:val="none" w:sz="0" w:space="0" w:color="auto"/>
                <w:left w:val="none" w:sz="0" w:space="0" w:color="auto"/>
                <w:bottom w:val="none" w:sz="0" w:space="0" w:color="auto"/>
                <w:right w:val="none" w:sz="0" w:space="0" w:color="auto"/>
              </w:divBdr>
            </w:div>
            <w:div w:id="1149053143">
              <w:marLeft w:val="0"/>
              <w:marRight w:val="0"/>
              <w:marTop w:val="0"/>
              <w:marBottom w:val="0"/>
              <w:divBdr>
                <w:top w:val="none" w:sz="0" w:space="0" w:color="auto"/>
                <w:left w:val="none" w:sz="0" w:space="0" w:color="auto"/>
                <w:bottom w:val="none" w:sz="0" w:space="0" w:color="auto"/>
                <w:right w:val="none" w:sz="0" w:space="0" w:color="auto"/>
              </w:divBdr>
            </w:div>
            <w:div w:id="1244029235">
              <w:marLeft w:val="0"/>
              <w:marRight w:val="0"/>
              <w:marTop w:val="0"/>
              <w:marBottom w:val="0"/>
              <w:divBdr>
                <w:top w:val="none" w:sz="0" w:space="0" w:color="auto"/>
                <w:left w:val="none" w:sz="0" w:space="0" w:color="auto"/>
                <w:bottom w:val="none" w:sz="0" w:space="0" w:color="auto"/>
                <w:right w:val="none" w:sz="0" w:space="0" w:color="auto"/>
              </w:divBdr>
            </w:div>
            <w:div w:id="2061979755">
              <w:marLeft w:val="0"/>
              <w:marRight w:val="0"/>
              <w:marTop w:val="0"/>
              <w:marBottom w:val="0"/>
              <w:divBdr>
                <w:top w:val="none" w:sz="0" w:space="0" w:color="auto"/>
                <w:left w:val="none" w:sz="0" w:space="0" w:color="auto"/>
                <w:bottom w:val="none" w:sz="0" w:space="0" w:color="auto"/>
                <w:right w:val="none" w:sz="0" w:space="0" w:color="auto"/>
              </w:divBdr>
            </w:div>
          </w:divsChild>
        </w:div>
        <w:div w:id="1141072679">
          <w:marLeft w:val="0"/>
          <w:marRight w:val="0"/>
          <w:marTop w:val="0"/>
          <w:marBottom w:val="0"/>
          <w:divBdr>
            <w:top w:val="none" w:sz="0" w:space="0" w:color="auto"/>
            <w:left w:val="none" w:sz="0" w:space="0" w:color="auto"/>
            <w:bottom w:val="none" w:sz="0" w:space="0" w:color="auto"/>
            <w:right w:val="none" w:sz="0" w:space="0" w:color="auto"/>
          </w:divBdr>
          <w:divsChild>
            <w:div w:id="1310941329">
              <w:marLeft w:val="0"/>
              <w:marRight w:val="0"/>
              <w:marTop w:val="0"/>
              <w:marBottom w:val="0"/>
              <w:divBdr>
                <w:top w:val="none" w:sz="0" w:space="0" w:color="auto"/>
                <w:left w:val="none" w:sz="0" w:space="0" w:color="auto"/>
                <w:bottom w:val="none" w:sz="0" w:space="0" w:color="auto"/>
                <w:right w:val="none" w:sz="0" w:space="0" w:color="auto"/>
              </w:divBdr>
            </w:div>
          </w:divsChild>
        </w:div>
        <w:div w:id="1295984685">
          <w:marLeft w:val="0"/>
          <w:marRight w:val="0"/>
          <w:marTop w:val="0"/>
          <w:marBottom w:val="0"/>
          <w:divBdr>
            <w:top w:val="none" w:sz="0" w:space="0" w:color="auto"/>
            <w:left w:val="none" w:sz="0" w:space="0" w:color="auto"/>
            <w:bottom w:val="none" w:sz="0" w:space="0" w:color="auto"/>
            <w:right w:val="none" w:sz="0" w:space="0" w:color="auto"/>
          </w:divBdr>
          <w:divsChild>
            <w:div w:id="663514605">
              <w:marLeft w:val="0"/>
              <w:marRight w:val="0"/>
              <w:marTop w:val="0"/>
              <w:marBottom w:val="0"/>
              <w:divBdr>
                <w:top w:val="none" w:sz="0" w:space="0" w:color="auto"/>
                <w:left w:val="none" w:sz="0" w:space="0" w:color="auto"/>
                <w:bottom w:val="none" w:sz="0" w:space="0" w:color="auto"/>
                <w:right w:val="none" w:sz="0" w:space="0" w:color="auto"/>
              </w:divBdr>
            </w:div>
          </w:divsChild>
        </w:div>
        <w:div w:id="1317302424">
          <w:marLeft w:val="0"/>
          <w:marRight w:val="0"/>
          <w:marTop w:val="0"/>
          <w:marBottom w:val="0"/>
          <w:divBdr>
            <w:top w:val="none" w:sz="0" w:space="0" w:color="auto"/>
            <w:left w:val="none" w:sz="0" w:space="0" w:color="auto"/>
            <w:bottom w:val="none" w:sz="0" w:space="0" w:color="auto"/>
            <w:right w:val="none" w:sz="0" w:space="0" w:color="auto"/>
          </w:divBdr>
          <w:divsChild>
            <w:div w:id="1426225009">
              <w:marLeft w:val="0"/>
              <w:marRight w:val="0"/>
              <w:marTop w:val="0"/>
              <w:marBottom w:val="0"/>
              <w:divBdr>
                <w:top w:val="none" w:sz="0" w:space="0" w:color="auto"/>
                <w:left w:val="none" w:sz="0" w:space="0" w:color="auto"/>
                <w:bottom w:val="none" w:sz="0" w:space="0" w:color="auto"/>
                <w:right w:val="none" w:sz="0" w:space="0" w:color="auto"/>
              </w:divBdr>
            </w:div>
          </w:divsChild>
        </w:div>
        <w:div w:id="1435714310">
          <w:marLeft w:val="0"/>
          <w:marRight w:val="0"/>
          <w:marTop w:val="0"/>
          <w:marBottom w:val="0"/>
          <w:divBdr>
            <w:top w:val="none" w:sz="0" w:space="0" w:color="auto"/>
            <w:left w:val="none" w:sz="0" w:space="0" w:color="auto"/>
            <w:bottom w:val="none" w:sz="0" w:space="0" w:color="auto"/>
            <w:right w:val="none" w:sz="0" w:space="0" w:color="auto"/>
          </w:divBdr>
          <w:divsChild>
            <w:div w:id="514922553">
              <w:marLeft w:val="0"/>
              <w:marRight w:val="0"/>
              <w:marTop w:val="0"/>
              <w:marBottom w:val="0"/>
              <w:divBdr>
                <w:top w:val="none" w:sz="0" w:space="0" w:color="auto"/>
                <w:left w:val="none" w:sz="0" w:space="0" w:color="auto"/>
                <w:bottom w:val="none" w:sz="0" w:space="0" w:color="auto"/>
                <w:right w:val="none" w:sz="0" w:space="0" w:color="auto"/>
              </w:divBdr>
            </w:div>
          </w:divsChild>
        </w:div>
        <w:div w:id="1478106019">
          <w:marLeft w:val="0"/>
          <w:marRight w:val="0"/>
          <w:marTop w:val="0"/>
          <w:marBottom w:val="0"/>
          <w:divBdr>
            <w:top w:val="none" w:sz="0" w:space="0" w:color="auto"/>
            <w:left w:val="none" w:sz="0" w:space="0" w:color="auto"/>
            <w:bottom w:val="none" w:sz="0" w:space="0" w:color="auto"/>
            <w:right w:val="none" w:sz="0" w:space="0" w:color="auto"/>
          </w:divBdr>
          <w:divsChild>
            <w:div w:id="832913018">
              <w:marLeft w:val="0"/>
              <w:marRight w:val="0"/>
              <w:marTop w:val="0"/>
              <w:marBottom w:val="0"/>
              <w:divBdr>
                <w:top w:val="none" w:sz="0" w:space="0" w:color="auto"/>
                <w:left w:val="none" w:sz="0" w:space="0" w:color="auto"/>
                <w:bottom w:val="none" w:sz="0" w:space="0" w:color="auto"/>
                <w:right w:val="none" w:sz="0" w:space="0" w:color="auto"/>
              </w:divBdr>
            </w:div>
            <w:div w:id="1213225787">
              <w:marLeft w:val="0"/>
              <w:marRight w:val="0"/>
              <w:marTop w:val="0"/>
              <w:marBottom w:val="0"/>
              <w:divBdr>
                <w:top w:val="none" w:sz="0" w:space="0" w:color="auto"/>
                <w:left w:val="none" w:sz="0" w:space="0" w:color="auto"/>
                <w:bottom w:val="none" w:sz="0" w:space="0" w:color="auto"/>
                <w:right w:val="none" w:sz="0" w:space="0" w:color="auto"/>
              </w:divBdr>
            </w:div>
            <w:div w:id="1874028353">
              <w:marLeft w:val="0"/>
              <w:marRight w:val="0"/>
              <w:marTop w:val="0"/>
              <w:marBottom w:val="0"/>
              <w:divBdr>
                <w:top w:val="none" w:sz="0" w:space="0" w:color="auto"/>
                <w:left w:val="none" w:sz="0" w:space="0" w:color="auto"/>
                <w:bottom w:val="none" w:sz="0" w:space="0" w:color="auto"/>
                <w:right w:val="none" w:sz="0" w:space="0" w:color="auto"/>
              </w:divBdr>
            </w:div>
            <w:div w:id="2094349351">
              <w:marLeft w:val="0"/>
              <w:marRight w:val="0"/>
              <w:marTop w:val="0"/>
              <w:marBottom w:val="0"/>
              <w:divBdr>
                <w:top w:val="none" w:sz="0" w:space="0" w:color="auto"/>
                <w:left w:val="none" w:sz="0" w:space="0" w:color="auto"/>
                <w:bottom w:val="none" w:sz="0" w:space="0" w:color="auto"/>
                <w:right w:val="none" w:sz="0" w:space="0" w:color="auto"/>
              </w:divBdr>
            </w:div>
          </w:divsChild>
        </w:div>
        <w:div w:id="1713337180">
          <w:marLeft w:val="0"/>
          <w:marRight w:val="0"/>
          <w:marTop w:val="0"/>
          <w:marBottom w:val="0"/>
          <w:divBdr>
            <w:top w:val="none" w:sz="0" w:space="0" w:color="auto"/>
            <w:left w:val="none" w:sz="0" w:space="0" w:color="auto"/>
            <w:bottom w:val="none" w:sz="0" w:space="0" w:color="auto"/>
            <w:right w:val="none" w:sz="0" w:space="0" w:color="auto"/>
          </w:divBdr>
          <w:divsChild>
            <w:div w:id="1215048426">
              <w:marLeft w:val="0"/>
              <w:marRight w:val="0"/>
              <w:marTop w:val="0"/>
              <w:marBottom w:val="0"/>
              <w:divBdr>
                <w:top w:val="none" w:sz="0" w:space="0" w:color="auto"/>
                <w:left w:val="none" w:sz="0" w:space="0" w:color="auto"/>
                <w:bottom w:val="none" w:sz="0" w:space="0" w:color="auto"/>
                <w:right w:val="none" w:sz="0" w:space="0" w:color="auto"/>
              </w:divBdr>
            </w:div>
          </w:divsChild>
        </w:div>
        <w:div w:id="1785349001">
          <w:marLeft w:val="0"/>
          <w:marRight w:val="0"/>
          <w:marTop w:val="0"/>
          <w:marBottom w:val="0"/>
          <w:divBdr>
            <w:top w:val="none" w:sz="0" w:space="0" w:color="auto"/>
            <w:left w:val="none" w:sz="0" w:space="0" w:color="auto"/>
            <w:bottom w:val="none" w:sz="0" w:space="0" w:color="auto"/>
            <w:right w:val="none" w:sz="0" w:space="0" w:color="auto"/>
          </w:divBdr>
          <w:divsChild>
            <w:div w:id="1411580057">
              <w:marLeft w:val="0"/>
              <w:marRight w:val="0"/>
              <w:marTop w:val="0"/>
              <w:marBottom w:val="0"/>
              <w:divBdr>
                <w:top w:val="none" w:sz="0" w:space="0" w:color="auto"/>
                <w:left w:val="none" w:sz="0" w:space="0" w:color="auto"/>
                <w:bottom w:val="none" w:sz="0" w:space="0" w:color="auto"/>
                <w:right w:val="none" w:sz="0" w:space="0" w:color="auto"/>
              </w:divBdr>
            </w:div>
          </w:divsChild>
        </w:div>
        <w:div w:id="1811171993">
          <w:marLeft w:val="0"/>
          <w:marRight w:val="0"/>
          <w:marTop w:val="0"/>
          <w:marBottom w:val="0"/>
          <w:divBdr>
            <w:top w:val="none" w:sz="0" w:space="0" w:color="auto"/>
            <w:left w:val="none" w:sz="0" w:space="0" w:color="auto"/>
            <w:bottom w:val="none" w:sz="0" w:space="0" w:color="auto"/>
            <w:right w:val="none" w:sz="0" w:space="0" w:color="auto"/>
          </w:divBdr>
          <w:divsChild>
            <w:div w:id="601843015">
              <w:marLeft w:val="0"/>
              <w:marRight w:val="0"/>
              <w:marTop w:val="0"/>
              <w:marBottom w:val="0"/>
              <w:divBdr>
                <w:top w:val="none" w:sz="0" w:space="0" w:color="auto"/>
                <w:left w:val="none" w:sz="0" w:space="0" w:color="auto"/>
                <w:bottom w:val="none" w:sz="0" w:space="0" w:color="auto"/>
                <w:right w:val="none" w:sz="0" w:space="0" w:color="auto"/>
              </w:divBdr>
            </w:div>
          </w:divsChild>
        </w:div>
        <w:div w:id="1840385842">
          <w:marLeft w:val="0"/>
          <w:marRight w:val="0"/>
          <w:marTop w:val="0"/>
          <w:marBottom w:val="0"/>
          <w:divBdr>
            <w:top w:val="none" w:sz="0" w:space="0" w:color="auto"/>
            <w:left w:val="none" w:sz="0" w:space="0" w:color="auto"/>
            <w:bottom w:val="none" w:sz="0" w:space="0" w:color="auto"/>
            <w:right w:val="none" w:sz="0" w:space="0" w:color="auto"/>
          </w:divBdr>
          <w:divsChild>
            <w:div w:id="2030445370">
              <w:marLeft w:val="0"/>
              <w:marRight w:val="0"/>
              <w:marTop w:val="0"/>
              <w:marBottom w:val="0"/>
              <w:divBdr>
                <w:top w:val="none" w:sz="0" w:space="0" w:color="auto"/>
                <w:left w:val="none" w:sz="0" w:space="0" w:color="auto"/>
                <w:bottom w:val="none" w:sz="0" w:space="0" w:color="auto"/>
                <w:right w:val="none" w:sz="0" w:space="0" w:color="auto"/>
              </w:divBdr>
            </w:div>
          </w:divsChild>
        </w:div>
        <w:div w:id="1858302195">
          <w:marLeft w:val="0"/>
          <w:marRight w:val="0"/>
          <w:marTop w:val="0"/>
          <w:marBottom w:val="0"/>
          <w:divBdr>
            <w:top w:val="none" w:sz="0" w:space="0" w:color="auto"/>
            <w:left w:val="none" w:sz="0" w:space="0" w:color="auto"/>
            <w:bottom w:val="none" w:sz="0" w:space="0" w:color="auto"/>
            <w:right w:val="none" w:sz="0" w:space="0" w:color="auto"/>
          </w:divBdr>
          <w:divsChild>
            <w:div w:id="856312647">
              <w:marLeft w:val="0"/>
              <w:marRight w:val="0"/>
              <w:marTop w:val="0"/>
              <w:marBottom w:val="0"/>
              <w:divBdr>
                <w:top w:val="none" w:sz="0" w:space="0" w:color="auto"/>
                <w:left w:val="none" w:sz="0" w:space="0" w:color="auto"/>
                <w:bottom w:val="none" w:sz="0" w:space="0" w:color="auto"/>
                <w:right w:val="none" w:sz="0" w:space="0" w:color="auto"/>
              </w:divBdr>
            </w:div>
          </w:divsChild>
        </w:div>
        <w:div w:id="1880045467">
          <w:marLeft w:val="0"/>
          <w:marRight w:val="0"/>
          <w:marTop w:val="0"/>
          <w:marBottom w:val="0"/>
          <w:divBdr>
            <w:top w:val="none" w:sz="0" w:space="0" w:color="auto"/>
            <w:left w:val="none" w:sz="0" w:space="0" w:color="auto"/>
            <w:bottom w:val="none" w:sz="0" w:space="0" w:color="auto"/>
            <w:right w:val="none" w:sz="0" w:space="0" w:color="auto"/>
          </w:divBdr>
          <w:divsChild>
            <w:div w:id="363597524">
              <w:marLeft w:val="0"/>
              <w:marRight w:val="0"/>
              <w:marTop w:val="0"/>
              <w:marBottom w:val="0"/>
              <w:divBdr>
                <w:top w:val="none" w:sz="0" w:space="0" w:color="auto"/>
                <w:left w:val="none" w:sz="0" w:space="0" w:color="auto"/>
                <w:bottom w:val="none" w:sz="0" w:space="0" w:color="auto"/>
                <w:right w:val="none" w:sz="0" w:space="0" w:color="auto"/>
              </w:divBdr>
            </w:div>
          </w:divsChild>
        </w:div>
        <w:div w:id="1904412941">
          <w:marLeft w:val="0"/>
          <w:marRight w:val="0"/>
          <w:marTop w:val="0"/>
          <w:marBottom w:val="0"/>
          <w:divBdr>
            <w:top w:val="none" w:sz="0" w:space="0" w:color="auto"/>
            <w:left w:val="none" w:sz="0" w:space="0" w:color="auto"/>
            <w:bottom w:val="none" w:sz="0" w:space="0" w:color="auto"/>
            <w:right w:val="none" w:sz="0" w:space="0" w:color="auto"/>
          </w:divBdr>
          <w:divsChild>
            <w:div w:id="817185269">
              <w:marLeft w:val="0"/>
              <w:marRight w:val="0"/>
              <w:marTop w:val="0"/>
              <w:marBottom w:val="0"/>
              <w:divBdr>
                <w:top w:val="none" w:sz="0" w:space="0" w:color="auto"/>
                <w:left w:val="none" w:sz="0" w:space="0" w:color="auto"/>
                <w:bottom w:val="none" w:sz="0" w:space="0" w:color="auto"/>
                <w:right w:val="none" w:sz="0" w:space="0" w:color="auto"/>
              </w:divBdr>
            </w:div>
          </w:divsChild>
        </w:div>
        <w:div w:id="1994212245">
          <w:marLeft w:val="0"/>
          <w:marRight w:val="0"/>
          <w:marTop w:val="0"/>
          <w:marBottom w:val="0"/>
          <w:divBdr>
            <w:top w:val="none" w:sz="0" w:space="0" w:color="auto"/>
            <w:left w:val="none" w:sz="0" w:space="0" w:color="auto"/>
            <w:bottom w:val="none" w:sz="0" w:space="0" w:color="auto"/>
            <w:right w:val="none" w:sz="0" w:space="0" w:color="auto"/>
          </w:divBdr>
          <w:divsChild>
            <w:div w:id="2128043558">
              <w:marLeft w:val="0"/>
              <w:marRight w:val="0"/>
              <w:marTop w:val="0"/>
              <w:marBottom w:val="0"/>
              <w:divBdr>
                <w:top w:val="none" w:sz="0" w:space="0" w:color="auto"/>
                <w:left w:val="none" w:sz="0" w:space="0" w:color="auto"/>
                <w:bottom w:val="none" w:sz="0" w:space="0" w:color="auto"/>
                <w:right w:val="none" w:sz="0" w:space="0" w:color="auto"/>
              </w:divBdr>
            </w:div>
          </w:divsChild>
        </w:div>
        <w:div w:id="1995647284">
          <w:marLeft w:val="0"/>
          <w:marRight w:val="0"/>
          <w:marTop w:val="0"/>
          <w:marBottom w:val="0"/>
          <w:divBdr>
            <w:top w:val="none" w:sz="0" w:space="0" w:color="auto"/>
            <w:left w:val="none" w:sz="0" w:space="0" w:color="auto"/>
            <w:bottom w:val="none" w:sz="0" w:space="0" w:color="auto"/>
            <w:right w:val="none" w:sz="0" w:space="0" w:color="auto"/>
          </w:divBdr>
          <w:divsChild>
            <w:div w:id="853497942">
              <w:marLeft w:val="0"/>
              <w:marRight w:val="0"/>
              <w:marTop w:val="0"/>
              <w:marBottom w:val="0"/>
              <w:divBdr>
                <w:top w:val="none" w:sz="0" w:space="0" w:color="auto"/>
                <w:left w:val="none" w:sz="0" w:space="0" w:color="auto"/>
                <w:bottom w:val="none" w:sz="0" w:space="0" w:color="auto"/>
                <w:right w:val="none" w:sz="0" w:space="0" w:color="auto"/>
              </w:divBdr>
            </w:div>
          </w:divsChild>
        </w:div>
        <w:div w:id="2007856354">
          <w:marLeft w:val="0"/>
          <w:marRight w:val="0"/>
          <w:marTop w:val="0"/>
          <w:marBottom w:val="0"/>
          <w:divBdr>
            <w:top w:val="none" w:sz="0" w:space="0" w:color="auto"/>
            <w:left w:val="none" w:sz="0" w:space="0" w:color="auto"/>
            <w:bottom w:val="none" w:sz="0" w:space="0" w:color="auto"/>
            <w:right w:val="none" w:sz="0" w:space="0" w:color="auto"/>
          </w:divBdr>
          <w:divsChild>
            <w:div w:id="213079626">
              <w:marLeft w:val="0"/>
              <w:marRight w:val="0"/>
              <w:marTop w:val="0"/>
              <w:marBottom w:val="0"/>
              <w:divBdr>
                <w:top w:val="none" w:sz="0" w:space="0" w:color="auto"/>
                <w:left w:val="none" w:sz="0" w:space="0" w:color="auto"/>
                <w:bottom w:val="none" w:sz="0" w:space="0" w:color="auto"/>
                <w:right w:val="none" w:sz="0" w:space="0" w:color="auto"/>
              </w:divBdr>
            </w:div>
            <w:div w:id="1544057427">
              <w:marLeft w:val="0"/>
              <w:marRight w:val="0"/>
              <w:marTop w:val="0"/>
              <w:marBottom w:val="0"/>
              <w:divBdr>
                <w:top w:val="none" w:sz="0" w:space="0" w:color="auto"/>
                <w:left w:val="none" w:sz="0" w:space="0" w:color="auto"/>
                <w:bottom w:val="none" w:sz="0" w:space="0" w:color="auto"/>
                <w:right w:val="none" w:sz="0" w:space="0" w:color="auto"/>
              </w:divBdr>
            </w:div>
          </w:divsChild>
        </w:div>
        <w:div w:id="2080131049">
          <w:marLeft w:val="0"/>
          <w:marRight w:val="0"/>
          <w:marTop w:val="0"/>
          <w:marBottom w:val="0"/>
          <w:divBdr>
            <w:top w:val="none" w:sz="0" w:space="0" w:color="auto"/>
            <w:left w:val="none" w:sz="0" w:space="0" w:color="auto"/>
            <w:bottom w:val="none" w:sz="0" w:space="0" w:color="auto"/>
            <w:right w:val="none" w:sz="0" w:space="0" w:color="auto"/>
          </w:divBdr>
          <w:divsChild>
            <w:div w:id="273101517">
              <w:marLeft w:val="0"/>
              <w:marRight w:val="0"/>
              <w:marTop w:val="0"/>
              <w:marBottom w:val="0"/>
              <w:divBdr>
                <w:top w:val="none" w:sz="0" w:space="0" w:color="auto"/>
                <w:left w:val="none" w:sz="0" w:space="0" w:color="auto"/>
                <w:bottom w:val="none" w:sz="0" w:space="0" w:color="auto"/>
                <w:right w:val="none" w:sz="0" w:space="0" w:color="auto"/>
              </w:divBdr>
            </w:div>
          </w:divsChild>
        </w:div>
        <w:div w:id="2139951096">
          <w:marLeft w:val="0"/>
          <w:marRight w:val="0"/>
          <w:marTop w:val="0"/>
          <w:marBottom w:val="0"/>
          <w:divBdr>
            <w:top w:val="none" w:sz="0" w:space="0" w:color="auto"/>
            <w:left w:val="none" w:sz="0" w:space="0" w:color="auto"/>
            <w:bottom w:val="none" w:sz="0" w:space="0" w:color="auto"/>
            <w:right w:val="none" w:sz="0" w:space="0" w:color="auto"/>
          </w:divBdr>
          <w:divsChild>
            <w:div w:id="339701955">
              <w:marLeft w:val="0"/>
              <w:marRight w:val="0"/>
              <w:marTop w:val="0"/>
              <w:marBottom w:val="0"/>
              <w:divBdr>
                <w:top w:val="none" w:sz="0" w:space="0" w:color="auto"/>
                <w:left w:val="none" w:sz="0" w:space="0" w:color="auto"/>
                <w:bottom w:val="none" w:sz="0" w:space="0" w:color="auto"/>
                <w:right w:val="none" w:sz="0" w:space="0" w:color="auto"/>
              </w:divBdr>
            </w:div>
            <w:div w:id="1074082236">
              <w:marLeft w:val="0"/>
              <w:marRight w:val="0"/>
              <w:marTop w:val="0"/>
              <w:marBottom w:val="0"/>
              <w:divBdr>
                <w:top w:val="none" w:sz="0" w:space="0" w:color="auto"/>
                <w:left w:val="none" w:sz="0" w:space="0" w:color="auto"/>
                <w:bottom w:val="none" w:sz="0" w:space="0" w:color="auto"/>
                <w:right w:val="none" w:sz="0" w:space="0" w:color="auto"/>
              </w:divBdr>
            </w:div>
          </w:divsChild>
        </w:div>
        <w:div w:id="2141148001">
          <w:marLeft w:val="0"/>
          <w:marRight w:val="0"/>
          <w:marTop w:val="0"/>
          <w:marBottom w:val="0"/>
          <w:divBdr>
            <w:top w:val="none" w:sz="0" w:space="0" w:color="auto"/>
            <w:left w:val="none" w:sz="0" w:space="0" w:color="auto"/>
            <w:bottom w:val="none" w:sz="0" w:space="0" w:color="auto"/>
            <w:right w:val="none" w:sz="0" w:space="0" w:color="auto"/>
          </w:divBdr>
          <w:divsChild>
            <w:div w:id="10063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10178">
      <w:bodyDiv w:val="1"/>
      <w:marLeft w:val="0"/>
      <w:marRight w:val="0"/>
      <w:marTop w:val="0"/>
      <w:marBottom w:val="0"/>
      <w:divBdr>
        <w:top w:val="none" w:sz="0" w:space="0" w:color="auto"/>
        <w:left w:val="none" w:sz="0" w:space="0" w:color="auto"/>
        <w:bottom w:val="none" w:sz="0" w:space="0" w:color="auto"/>
        <w:right w:val="none" w:sz="0" w:space="0" w:color="auto"/>
      </w:divBdr>
    </w:div>
    <w:div w:id="686954779">
      <w:bodyDiv w:val="1"/>
      <w:marLeft w:val="0"/>
      <w:marRight w:val="0"/>
      <w:marTop w:val="0"/>
      <w:marBottom w:val="0"/>
      <w:divBdr>
        <w:top w:val="none" w:sz="0" w:space="0" w:color="auto"/>
        <w:left w:val="none" w:sz="0" w:space="0" w:color="auto"/>
        <w:bottom w:val="none" w:sz="0" w:space="0" w:color="auto"/>
        <w:right w:val="none" w:sz="0" w:space="0" w:color="auto"/>
      </w:divBdr>
    </w:div>
    <w:div w:id="705525864">
      <w:bodyDiv w:val="1"/>
      <w:marLeft w:val="0"/>
      <w:marRight w:val="0"/>
      <w:marTop w:val="0"/>
      <w:marBottom w:val="0"/>
      <w:divBdr>
        <w:top w:val="none" w:sz="0" w:space="0" w:color="auto"/>
        <w:left w:val="none" w:sz="0" w:space="0" w:color="auto"/>
        <w:bottom w:val="none" w:sz="0" w:space="0" w:color="auto"/>
        <w:right w:val="none" w:sz="0" w:space="0" w:color="auto"/>
      </w:divBdr>
    </w:div>
    <w:div w:id="712533385">
      <w:bodyDiv w:val="1"/>
      <w:marLeft w:val="0"/>
      <w:marRight w:val="0"/>
      <w:marTop w:val="0"/>
      <w:marBottom w:val="0"/>
      <w:divBdr>
        <w:top w:val="none" w:sz="0" w:space="0" w:color="auto"/>
        <w:left w:val="none" w:sz="0" w:space="0" w:color="auto"/>
        <w:bottom w:val="none" w:sz="0" w:space="0" w:color="auto"/>
        <w:right w:val="none" w:sz="0" w:space="0" w:color="auto"/>
      </w:divBdr>
    </w:div>
    <w:div w:id="751509463">
      <w:bodyDiv w:val="1"/>
      <w:marLeft w:val="0"/>
      <w:marRight w:val="0"/>
      <w:marTop w:val="0"/>
      <w:marBottom w:val="0"/>
      <w:divBdr>
        <w:top w:val="none" w:sz="0" w:space="0" w:color="auto"/>
        <w:left w:val="none" w:sz="0" w:space="0" w:color="auto"/>
        <w:bottom w:val="none" w:sz="0" w:space="0" w:color="auto"/>
        <w:right w:val="none" w:sz="0" w:space="0" w:color="auto"/>
      </w:divBdr>
    </w:div>
    <w:div w:id="752705977">
      <w:bodyDiv w:val="1"/>
      <w:marLeft w:val="0"/>
      <w:marRight w:val="0"/>
      <w:marTop w:val="0"/>
      <w:marBottom w:val="0"/>
      <w:divBdr>
        <w:top w:val="none" w:sz="0" w:space="0" w:color="auto"/>
        <w:left w:val="none" w:sz="0" w:space="0" w:color="auto"/>
        <w:bottom w:val="none" w:sz="0" w:space="0" w:color="auto"/>
        <w:right w:val="none" w:sz="0" w:space="0" w:color="auto"/>
      </w:divBdr>
    </w:div>
    <w:div w:id="764766259">
      <w:bodyDiv w:val="1"/>
      <w:marLeft w:val="0"/>
      <w:marRight w:val="0"/>
      <w:marTop w:val="0"/>
      <w:marBottom w:val="0"/>
      <w:divBdr>
        <w:top w:val="none" w:sz="0" w:space="0" w:color="auto"/>
        <w:left w:val="none" w:sz="0" w:space="0" w:color="auto"/>
        <w:bottom w:val="none" w:sz="0" w:space="0" w:color="auto"/>
        <w:right w:val="none" w:sz="0" w:space="0" w:color="auto"/>
      </w:divBdr>
    </w:div>
    <w:div w:id="767892356">
      <w:bodyDiv w:val="1"/>
      <w:marLeft w:val="0"/>
      <w:marRight w:val="0"/>
      <w:marTop w:val="0"/>
      <w:marBottom w:val="0"/>
      <w:divBdr>
        <w:top w:val="none" w:sz="0" w:space="0" w:color="auto"/>
        <w:left w:val="none" w:sz="0" w:space="0" w:color="auto"/>
        <w:bottom w:val="none" w:sz="0" w:space="0" w:color="auto"/>
        <w:right w:val="none" w:sz="0" w:space="0" w:color="auto"/>
      </w:divBdr>
    </w:div>
    <w:div w:id="786394670">
      <w:bodyDiv w:val="1"/>
      <w:marLeft w:val="0"/>
      <w:marRight w:val="0"/>
      <w:marTop w:val="0"/>
      <w:marBottom w:val="0"/>
      <w:divBdr>
        <w:top w:val="none" w:sz="0" w:space="0" w:color="auto"/>
        <w:left w:val="none" w:sz="0" w:space="0" w:color="auto"/>
        <w:bottom w:val="none" w:sz="0" w:space="0" w:color="auto"/>
        <w:right w:val="none" w:sz="0" w:space="0" w:color="auto"/>
      </w:divBdr>
    </w:div>
    <w:div w:id="813258117">
      <w:bodyDiv w:val="1"/>
      <w:marLeft w:val="0"/>
      <w:marRight w:val="0"/>
      <w:marTop w:val="0"/>
      <w:marBottom w:val="0"/>
      <w:divBdr>
        <w:top w:val="none" w:sz="0" w:space="0" w:color="auto"/>
        <w:left w:val="none" w:sz="0" w:space="0" w:color="auto"/>
        <w:bottom w:val="none" w:sz="0" w:space="0" w:color="auto"/>
        <w:right w:val="none" w:sz="0" w:space="0" w:color="auto"/>
      </w:divBdr>
    </w:div>
    <w:div w:id="852184691">
      <w:bodyDiv w:val="1"/>
      <w:marLeft w:val="0"/>
      <w:marRight w:val="0"/>
      <w:marTop w:val="0"/>
      <w:marBottom w:val="0"/>
      <w:divBdr>
        <w:top w:val="none" w:sz="0" w:space="0" w:color="auto"/>
        <w:left w:val="none" w:sz="0" w:space="0" w:color="auto"/>
        <w:bottom w:val="none" w:sz="0" w:space="0" w:color="auto"/>
        <w:right w:val="none" w:sz="0" w:space="0" w:color="auto"/>
      </w:divBdr>
    </w:div>
    <w:div w:id="910193066">
      <w:bodyDiv w:val="1"/>
      <w:marLeft w:val="0"/>
      <w:marRight w:val="0"/>
      <w:marTop w:val="0"/>
      <w:marBottom w:val="0"/>
      <w:divBdr>
        <w:top w:val="none" w:sz="0" w:space="0" w:color="auto"/>
        <w:left w:val="none" w:sz="0" w:space="0" w:color="auto"/>
        <w:bottom w:val="none" w:sz="0" w:space="0" w:color="auto"/>
        <w:right w:val="none" w:sz="0" w:space="0" w:color="auto"/>
      </w:divBdr>
    </w:div>
    <w:div w:id="930435729">
      <w:bodyDiv w:val="1"/>
      <w:marLeft w:val="0"/>
      <w:marRight w:val="0"/>
      <w:marTop w:val="0"/>
      <w:marBottom w:val="0"/>
      <w:divBdr>
        <w:top w:val="none" w:sz="0" w:space="0" w:color="auto"/>
        <w:left w:val="none" w:sz="0" w:space="0" w:color="auto"/>
        <w:bottom w:val="none" w:sz="0" w:space="0" w:color="auto"/>
        <w:right w:val="none" w:sz="0" w:space="0" w:color="auto"/>
      </w:divBdr>
    </w:div>
    <w:div w:id="945581751">
      <w:bodyDiv w:val="1"/>
      <w:marLeft w:val="0"/>
      <w:marRight w:val="0"/>
      <w:marTop w:val="0"/>
      <w:marBottom w:val="0"/>
      <w:divBdr>
        <w:top w:val="none" w:sz="0" w:space="0" w:color="auto"/>
        <w:left w:val="none" w:sz="0" w:space="0" w:color="auto"/>
        <w:bottom w:val="none" w:sz="0" w:space="0" w:color="auto"/>
        <w:right w:val="none" w:sz="0" w:space="0" w:color="auto"/>
      </w:divBdr>
    </w:div>
    <w:div w:id="950746678">
      <w:bodyDiv w:val="1"/>
      <w:marLeft w:val="0"/>
      <w:marRight w:val="0"/>
      <w:marTop w:val="0"/>
      <w:marBottom w:val="0"/>
      <w:divBdr>
        <w:top w:val="none" w:sz="0" w:space="0" w:color="auto"/>
        <w:left w:val="none" w:sz="0" w:space="0" w:color="auto"/>
        <w:bottom w:val="none" w:sz="0" w:space="0" w:color="auto"/>
        <w:right w:val="none" w:sz="0" w:space="0" w:color="auto"/>
      </w:divBdr>
    </w:div>
    <w:div w:id="966469197">
      <w:bodyDiv w:val="1"/>
      <w:marLeft w:val="0"/>
      <w:marRight w:val="0"/>
      <w:marTop w:val="0"/>
      <w:marBottom w:val="0"/>
      <w:divBdr>
        <w:top w:val="none" w:sz="0" w:space="0" w:color="auto"/>
        <w:left w:val="none" w:sz="0" w:space="0" w:color="auto"/>
        <w:bottom w:val="none" w:sz="0" w:space="0" w:color="auto"/>
        <w:right w:val="none" w:sz="0" w:space="0" w:color="auto"/>
      </w:divBdr>
    </w:div>
    <w:div w:id="966812981">
      <w:bodyDiv w:val="1"/>
      <w:marLeft w:val="0"/>
      <w:marRight w:val="0"/>
      <w:marTop w:val="0"/>
      <w:marBottom w:val="0"/>
      <w:divBdr>
        <w:top w:val="none" w:sz="0" w:space="0" w:color="auto"/>
        <w:left w:val="none" w:sz="0" w:space="0" w:color="auto"/>
        <w:bottom w:val="none" w:sz="0" w:space="0" w:color="auto"/>
        <w:right w:val="none" w:sz="0" w:space="0" w:color="auto"/>
      </w:divBdr>
    </w:div>
    <w:div w:id="990255869">
      <w:bodyDiv w:val="1"/>
      <w:marLeft w:val="0"/>
      <w:marRight w:val="0"/>
      <w:marTop w:val="0"/>
      <w:marBottom w:val="0"/>
      <w:divBdr>
        <w:top w:val="none" w:sz="0" w:space="0" w:color="auto"/>
        <w:left w:val="none" w:sz="0" w:space="0" w:color="auto"/>
        <w:bottom w:val="none" w:sz="0" w:space="0" w:color="auto"/>
        <w:right w:val="none" w:sz="0" w:space="0" w:color="auto"/>
      </w:divBdr>
      <w:divsChild>
        <w:div w:id="13847119">
          <w:marLeft w:val="0"/>
          <w:marRight w:val="0"/>
          <w:marTop w:val="0"/>
          <w:marBottom w:val="0"/>
          <w:divBdr>
            <w:top w:val="none" w:sz="0" w:space="0" w:color="auto"/>
            <w:left w:val="none" w:sz="0" w:space="0" w:color="auto"/>
            <w:bottom w:val="none" w:sz="0" w:space="0" w:color="auto"/>
            <w:right w:val="none" w:sz="0" w:space="0" w:color="auto"/>
          </w:divBdr>
        </w:div>
        <w:div w:id="73204142">
          <w:marLeft w:val="0"/>
          <w:marRight w:val="0"/>
          <w:marTop w:val="0"/>
          <w:marBottom w:val="0"/>
          <w:divBdr>
            <w:top w:val="none" w:sz="0" w:space="0" w:color="auto"/>
            <w:left w:val="none" w:sz="0" w:space="0" w:color="auto"/>
            <w:bottom w:val="none" w:sz="0" w:space="0" w:color="auto"/>
            <w:right w:val="none" w:sz="0" w:space="0" w:color="auto"/>
          </w:divBdr>
        </w:div>
        <w:div w:id="219563916">
          <w:marLeft w:val="0"/>
          <w:marRight w:val="0"/>
          <w:marTop w:val="0"/>
          <w:marBottom w:val="0"/>
          <w:divBdr>
            <w:top w:val="none" w:sz="0" w:space="0" w:color="auto"/>
            <w:left w:val="none" w:sz="0" w:space="0" w:color="auto"/>
            <w:bottom w:val="none" w:sz="0" w:space="0" w:color="auto"/>
            <w:right w:val="none" w:sz="0" w:space="0" w:color="auto"/>
          </w:divBdr>
        </w:div>
        <w:div w:id="1228295813">
          <w:marLeft w:val="0"/>
          <w:marRight w:val="0"/>
          <w:marTop w:val="0"/>
          <w:marBottom w:val="0"/>
          <w:divBdr>
            <w:top w:val="none" w:sz="0" w:space="0" w:color="auto"/>
            <w:left w:val="none" w:sz="0" w:space="0" w:color="auto"/>
            <w:bottom w:val="none" w:sz="0" w:space="0" w:color="auto"/>
            <w:right w:val="none" w:sz="0" w:space="0" w:color="auto"/>
          </w:divBdr>
        </w:div>
        <w:div w:id="1668702492">
          <w:marLeft w:val="0"/>
          <w:marRight w:val="0"/>
          <w:marTop w:val="0"/>
          <w:marBottom w:val="0"/>
          <w:divBdr>
            <w:top w:val="none" w:sz="0" w:space="0" w:color="auto"/>
            <w:left w:val="none" w:sz="0" w:space="0" w:color="auto"/>
            <w:bottom w:val="none" w:sz="0" w:space="0" w:color="auto"/>
            <w:right w:val="none" w:sz="0" w:space="0" w:color="auto"/>
          </w:divBdr>
        </w:div>
        <w:div w:id="1902785761">
          <w:marLeft w:val="0"/>
          <w:marRight w:val="0"/>
          <w:marTop w:val="0"/>
          <w:marBottom w:val="0"/>
          <w:divBdr>
            <w:top w:val="none" w:sz="0" w:space="0" w:color="auto"/>
            <w:left w:val="none" w:sz="0" w:space="0" w:color="auto"/>
            <w:bottom w:val="none" w:sz="0" w:space="0" w:color="auto"/>
            <w:right w:val="none" w:sz="0" w:space="0" w:color="auto"/>
          </w:divBdr>
        </w:div>
        <w:div w:id="1976255372">
          <w:marLeft w:val="0"/>
          <w:marRight w:val="0"/>
          <w:marTop w:val="0"/>
          <w:marBottom w:val="0"/>
          <w:divBdr>
            <w:top w:val="none" w:sz="0" w:space="0" w:color="auto"/>
            <w:left w:val="none" w:sz="0" w:space="0" w:color="auto"/>
            <w:bottom w:val="none" w:sz="0" w:space="0" w:color="auto"/>
            <w:right w:val="none" w:sz="0" w:space="0" w:color="auto"/>
          </w:divBdr>
        </w:div>
      </w:divsChild>
    </w:div>
    <w:div w:id="995302796">
      <w:bodyDiv w:val="1"/>
      <w:marLeft w:val="0"/>
      <w:marRight w:val="0"/>
      <w:marTop w:val="0"/>
      <w:marBottom w:val="0"/>
      <w:divBdr>
        <w:top w:val="none" w:sz="0" w:space="0" w:color="auto"/>
        <w:left w:val="none" w:sz="0" w:space="0" w:color="auto"/>
        <w:bottom w:val="none" w:sz="0" w:space="0" w:color="auto"/>
        <w:right w:val="none" w:sz="0" w:space="0" w:color="auto"/>
      </w:divBdr>
    </w:div>
    <w:div w:id="1030060667">
      <w:bodyDiv w:val="1"/>
      <w:marLeft w:val="0"/>
      <w:marRight w:val="0"/>
      <w:marTop w:val="0"/>
      <w:marBottom w:val="0"/>
      <w:divBdr>
        <w:top w:val="none" w:sz="0" w:space="0" w:color="auto"/>
        <w:left w:val="none" w:sz="0" w:space="0" w:color="auto"/>
        <w:bottom w:val="none" w:sz="0" w:space="0" w:color="auto"/>
        <w:right w:val="none" w:sz="0" w:space="0" w:color="auto"/>
      </w:divBdr>
      <w:divsChild>
        <w:div w:id="2016030985">
          <w:marLeft w:val="0"/>
          <w:marRight w:val="0"/>
          <w:marTop w:val="0"/>
          <w:marBottom w:val="0"/>
          <w:divBdr>
            <w:top w:val="none" w:sz="0" w:space="0" w:color="auto"/>
            <w:left w:val="none" w:sz="0" w:space="0" w:color="auto"/>
            <w:bottom w:val="none" w:sz="0" w:space="0" w:color="auto"/>
            <w:right w:val="none" w:sz="0" w:space="0" w:color="auto"/>
          </w:divBdr>
        </w:div>
      </w:divsChild>
    </w:div>
    <w:div w:id="1047297838">
      <w:bodyDiv w:val="1"/>
      <w:marLeft w:val="0"/>
      <w:marRight w:val="0"/>
      <w:marTop w:val="0"/>
      <w:marBottom w:val="0"/>
      <w:divBdr>
        <w:top w:val="none" w:sz="0" w:space="0" w:color="auto"/>
        <w:left w:val="none" w:sz="0" w:space="0" w:color="auto"/>
        <w:bottom w:val="none" w:sz="0" w:space="0" w:color="auto"/>
        <w:right w:val="none" w:sz="0" w:space="0" w:color="auto"/>
      </w:divBdr>
    </w:div>
    <w:div w:id="1056321622">
      <w:bodyDiv w:val="1"/>
      <w:marLeft w:val="0"/>
      <w:marRight w:val="0"/>
      <w:marTop w:val="0"/>
      <w:marBottom w:val="0"/>
      <w:divBdr>
        <w:top w:val="none" w:sz="0" w:space="0" w:color="auto"/>
        <w:left w:val="none" w:sz="0" w:space="0" w:color="auto"/>
        <w:bottom w:val="none" w:sz="0" w:space="0" w:color="auto"/>
        <w:right w:val="none" w:sz="0" w:space="0" w:color="auto"/>
      </w:divBdr>
    </w:div>
    <w:div w:id="1059862829">
      <w:bodyDiv w:val="1"/>
      <w:marLeft w:val="0"/>
      <w:marRight w:val="0"/>
      <w:marTop w:val="0"/>
      <w:marBottom w:val="0"/>
      <w:divBdr>
        <w:top w:val="none" w:sz="0" w:space="0" w:color="auto"/>
        <w:left w:val="none" w:sz="0" w:space="0" w:color="auto"/>
        <w:bottom w:val="none" w:sz="0" w:space="0" w:color="auto"/>
        <w:right w:val="none" w:sz="0" w:space="0" w:color="auto"/>
      </w:divBdr>
    </w:div>
    <w:div w:id="1073505195">
      <w:bodyDiv w:val="1"/>
      <w:marLeft w:val="0"/>
      <w:marRight w:val="0"/>
      <w:marTop w:val="0"/>
      <w:marBottom w:val="0"/>
      <w:divBdr>
        <w:top w:val="none" w:sz="0" w:space="0" w:color="auto"/>
        <w:left w:val="none" w:sz="0" w:space="0" w:color="auto"/>
        <w:bottom w:val="none" w:sz="0" w:space="0" w:color="auto"/>
        <w:right w:val="none" w:sz="0" w:space="0" w:color="auto"/>
      </w:divBdr>
      <w:divsChild>
        <w:div w:id="52777660">
          <w:marLeft w:val="0"/>
          <w:marRight w:val="0"/>
          <w:marTop w:val="0"/>
          <w:marBottom w:val="0"/>
          <w:divBdr>
            <w:top w:val="none" w:sz="0" w:space="0" w:color="auto"/>
            <w:left w:val="none" w:sz="0" w:space="0" w:color="auto"/>
            <w:bottom w:val="none" w:sz="0" w:space="0" w:color="auto"/>
            <w:right w:val="none" w:sz="0" w:space="0" w:color="auto"/>
          </w:divBdr>
          <w:divsChild>
            <w:div w:id="560867451">
              <w:marLeft w:val="0"/>
              <w:marRight w:val="0"/>
              <w:marTop w:val="0"/>
              <w:marBottom w:val="0"/>
              <w:divBdr>
                <w:top w:val="none" w:sz="0" w:space="0" w:color="auto"/>
                <w:left w:val="none" w:sz="0" w:space="0" w:color="auto"/>
                <w:bottom w:val="none" w:sz="0" w:space="0" w:color="auto"/>
                <w:right w:val="none" w:sz="0" w:space="0" w:color="auto"/>
              </w:divBdr>
              <w:divsChild>
                <w:div w:id="1150748209">
                  <w:marLeft w:val="0"/>
                  <w:marRight w:val="0"/>
                  <w:marTop w:val="0"/>
                  <w:marBottom w:val="0"/>
                  <w:divBdr>
                    <w:top w:val="none" w:sz="0" w:space="0" w:color="auto"/>
                    <w:left w:val="none" w:sz="0" w:space="0" w:color="auto"/>
                    <w:bottom w:val="none" w:sz="0" w:space="0" w:color="auto"/>
                    <w:right w:val="none" w:sz="0" w:space="0" w:color="auto"/>
                  </w:divBdr>
                  <w:divsChild>
                    <w:div w:id="62200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502029">
          <w:marLeft w:val="0"/>
          <w:marRight w:val="0"/>
          <w:marTop w:val="0"/>
          <w:marBottom w:val="0"/>
          <w:divBdr>
            <w:top w:val="none" w:sz="0" w:space="0" w:color="auto"/>
            <w:left w:val="none" w:sz="0" w:space="0" w:color="auto"/>
            <w:bottom w:val="none" w:sz="0" w:space="0" w:color="auto"/>
            <w:right w:val="none" w:sz="0" w:space="0" w:color="auto"/>
          </w:divBdr>
          <w:divsChild>
            <w:div w:id="736585765">
              <w:marLeft w:val="0"/>
              <w:marRight w:val="0"/>
              <w:marTop w:val="0"/>
              <w:marBottom w:val="0"/>
              <w:divBdr>
                <w:top w:val="none" w:sz="0" w:space="0" w:color="auto"/>
                <w:left w:val="none" w:sz="0" w:space="0" w:color="auto"/>
                <w:bottom w:val="none" w:sz="0" w:space="0" w:color="auto"/>
                <w:right w:val="none" w:sz="0" w:space="0" w:color="auto"/>
              </w:divBdr>
              <w:divsChild>
                <w:div w:id="357779285">
                  <w:marLeft w:val="0"/>
                  <w:marRight w:val="0"/>
                  <w:marTop w:val="0"/>
                  <w:marBottom w:val="0"/>
                  <w:divBdr>
                    <w:top w:val="none" w:sz="0" w:space="0" w:color="auto"/>
                    <w:left w:val="none" w:sz="0" w:space="0" w:color="auto"/>
                    <w:bottom w:val="none" w:sz="0" w:space="0" w:color="auto"/>
                    <w:right w:val="none" w:sz="0" w:space="0" w:color="auto"/>
                  </w:divBdr>
                  <w:divsChild>
                    <w:div w:id="5321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38902">
      <w:bodyDiv w:val="1"/>
      <w:marLeft w:val="0"/>
      <w:marRight w:val="0"/>
      <w:marTop w:val="0"/>
      <w:marBottom w:val="0"/>
      <w:divBdr>
        <w:top w:val="none" w:sz="0" w:space="0" w:color="auto"/>
        <w:left w:val="none" w:sz="0" w:space="0" w:color="auto"/>
        <w:bottom w:val="none" w:sz="0" w:space="0" w:color="auto"/>
        <w:right w:val="none" w:sz="0" w:space="0" w:color="auto"/>
      </w:divBdr>
      <w:divsChild>
        <w:div w:id="2136408179">
          <w:marLeft w:val="0"/>
          <w:marRight w:val="0"/>
          <w:marTop w:val="0"/>
          <w:marBottom w:val="0"/>
          <w:divBdr>
            <w:top w:val="none" w:sz="0" w:space="0" w:color="auto"/>
            <w:left w:val="none" w:sz="0" w:space="0" w:color="auto"/>
            <w:bottom w:val="none" w:sz="0" w:space="0" w:color="auto"/>
            <w:right w:val="none" w:sz="0" w:space="0" w:color="auto"/>
          </w:divBdr>
        </w:div>
      </w:divsChild>
    </w:div>
    <w:div w:id="1085538666">
      <w:bodyDiv w:val="1"/>
      <w:marLeft w:val="0"/>
      <w:marRight w:val="0"/>
      <w:marTop w:val="0"/>
      <w:marBottom w:val="0"/>
      <w:divBdr>
        <w:top w:val="none" w:sz="0" w:space="0" w:color="auto"/>
        <w:left w:val="none" w:sz="0" w:space="0" w:color="auto"/>
        <w:bottom w:val="none" w:sz="0" w:space="0" w:color="auto"/>
        <w:right w:val="none" w:sz="0" w:space="0" w:color="auto"/>
      </w:divBdr>
      <w:divsChild>
        <w:div w:id="1688168687">
          <w:marLeft w:val="0"/>
          <w:marRight w:val="0"/>
          <w:marTop w:val="0"/>
          <w:marBottom w:val="0"/>
          <w:divBdr>
            <w:top w:val="none" w:sz="0" w:space="0" w:color="auto"/>
            <w:left w:val="none" w:sz="0" w:space="0" w:color="auto"/>
            <w:bottom w:val="none" w:sz="0" w:space="0" w:color="auto"/>
            <w:right w:val="none" w:sz="0" w:space="0" w:color="auto"/>
          </w:divBdr>
        </w:div>
      </w:divsChild>
    </w:div>
    <w:div w:id="1169758565">
      <w:bodyDiv w:val="1"/>
      <w:marLeft w:val="0"/>
      <w:marRight w:val="0"/>
      <w:marTop w:val="0"/>
      <w:marBottom w:val="0"/>
      <w:divBdr>
        <w:top w:val="none" w:sz="0" w:space="0" w:color="auto"/>
        <w:left w:val="none" w:sz="0" w:space="0" w:color="auto"/>
        <w:bottom w:val="none" w:sz="0" w:space="0" w:color="auto"/>
        <w:right w:val="none" w:sz="0" w:space="0" w:color="auto"/>
      </w:divBdr>
    </w:div>
    <w:div w:id="1190217190">
      <w:bodyDiv w:val="1"/>
      <w:marLeft w:val="0"/>
      <w:marRight w:val="0"/>
      <w:marTop w:val="0"/>
      <w:marBottom w:val="0"/>
      <w:divBdr>
        <w:top w:val="none" w:sz="0" w:space="0" w:color="auto"/>
        <w:left w:val="none" w:sz="0" w:space="0" w:color="auto"/>
        <w:bottom w:val="none" w:sz="0" w:space="0" w:color="auto"/>
        <w:right w:val="none" w:sz="0" w:space="0" w:color="auto"/>
      </w:divBdr>
    </w:div>
    <w:div w:id="1206717167">
      <w:bodyDiv w:val="1"/>
      <w:marLeft w:val="0"/>
      <w:marRight w:val="0"/>
      <w:marTop w:val="0"/>
      <w:marBottom w:val="0"/>
      <w:divBdr>
        <w:top w:val="none" w:sz="0" w:space="0" w:color="auto"/>
        <w:left w:val="none" w:sz="0" w:space="0" w:color="auto"/>
        <w:bottom w:val="none" w:sz="0" w:space="0" w:color="auto"/>
        <w:right w:val="none" w:sz="0" w:space="0" w:color="auto"/>
      </w:divBdr>
      <w:divsChild>
        <w:div w:id="110054189">
          <w:marLeft w:val="0"/>
          <w:marRight w:val="0"/>
          <w:marTop w:val="0"/>
          <w:marBottom w:val="0"/>
          <w:divBdr>
            <w:top w:val="none" w:sz="0" w:space="0" w:color="auto"/>
            <w:left w:val="none" w:sz="0" w:space="0" w:color="auto"/>
            <w:bottom w:val="none" w:sz="0" w:space="0" w:color="auto"/>
            <w:right w:val="none" w:sz="0" w:space="0" w:color="auto"/>
          </w:divBdr>
        </w:div>
        <w:div w:id="172377288">
          <w:marLeft w:val="0"/>
          <w:marRight w:val="0"/>
          <w:marTop w:val="0"/>
          <w:marBottom w:val="0"/>
          <w:divBdr>
            <w:top w:val="none" w:sz="0" w:space="0" w:color="auto"/>
            <w:left w:val="none" w:sz="0" w:space="0" w:color="auto"/>
            <w:bottom w:val="none" w:sz="0" w:space="0" w:color="auto"/>
            <w:right w:val="none" w:sz="0" w:space="0" w:color="auto"/>
          </w:divBdr>
        </w:div>
        <w:div w:id="215548244">
          <w:marLeft w:val="0"/>
          <w:marRight w:val="0"/>
          <w:marTop w:val="0"/>
          <w:marBottom w:val="0"/>
          <w:divBdr>
            <w:top w:val="none" w:sz="0" w:space="0" w:color="auto"/>
            <w:left w:val="none" w:sz="0" w:space="0" w:color="auto"/>
            <w:bottom w:val="none" w:sz="0" w:space="0" w:color="auto"/>
            <w:right w:val="none" w:sz="0" w:space="0" w:color="auto"/>
          </w:divBdr>
        </w:div>
        <w:div w:id="255017314">
          <w:marLeft w:val="0"/>
          <w:marRight w:val="0"/>
          <w:marTop w:val="0"/>
          <w:marBottom w:val="0"/>
          <w:divBdr>
            <w:top w:val="none" w:sz="0" w:space="0" w:color="auto"/>
            <w:left w:val="none" w:sz="0" w:space="0" w:color="auto"/>
            <w:bottom w:val="none" w:sz="0" w:space="0" w:color="auto"/>
            <w:right w:val="none" w:sz="0" w:space="0" w:color="auto"/>
          </w:divBdr>
        </w:div>
        <w:div w:id="283194702">
          <w:marLeft w:val="0"/>
          <w:marRight w:val="0"/>
          <w:marTop w:val="0"/>
          <w:marBottom w:val="0"/>
          <w:divBdr>
            <w:top w:val="none" w:sz="0" w:space="0" w:color="auto"/>
            <w:left w:val="none" w:sz="0" w:space="0" w:color="auto"/>
            <w:bottom w:val="none" w:sz="0" w:space="0" w:color="auto"/>
            <w:right w:val="none" w:sz="0" w:space="0" w:color="auto"/>
          </w:divBdr>
        </w:div>
        <w:div w:id="332490503">
          <w:marLeft w:val="0"/>
          <w:marRight w:val="0"/>
          <w:marTop w:val="0"/>
          <w:marBottom w:val="0"/>
          <w:divBdr>
            <w:top w:val="none" w:sz="0" w:space="0" w:color="auto"/>
            <w:left w:val="none" w:sz="0" w:space="0" w:color="auto"/>
            <w:bottom w:val="none" w:sz="0" w:space="0" w:color="auto"/>
            <w:right w:val="none" w:sz="0" w:space="0" w:color="auto"/>
          </w:divBdr>
        </w:div>
        <w:div w:id="801463966">
          <w:marLeft w:val="0"/>
          <w:marRight w:val="0"/>
          <w:marTop w:val="0"/>
          <w:marBottom w:val="0"/>
          <w:divBdr>
            <w:top w:val="none" w:sz="0" w:space="0" w:color="auto"/>
            <w:left w:val="none" w:sz="0" w:space="0" w:color="auto"/>
            <w:bottom w:val="none" w:sz="0" w:space="0" w:color="auto"/>
            <w:right w:val="none" w:sz="0" w:space="0" w:color="auto"/>
          </w:divBdr>
        </w:div>
        <w:div w:id="930354611">
          <w:marLeft w:val="0"/>
          <w:marRight w:val="0"/>
          <w:marTop w:val="0"/>
          <w:marBottom w:val="0"/>
          <w:divBdr>
            <w:top w:val="none" w:sz="0" w:space="0" w:color="auto"/>
            <w:left w:val="none" w:sz="0" w:space="0" w:color="auto"/>
            <w:bottom w:val="none" w:sz="0" w:space="0" w:color="auto"/>
            <w:right w:val="none" w:sz="0" w:space="0" w:color="auto"/>
          </w:divBdr>
        </w:div>
        <w:div w:id="990406392">
          <w:marLeft w:val="0"/>
          <w:marRight w:val="0"/>
          <w:marTop w:val="0"/>
          <w:marBottom w:val="0"/>
          <w:divBdr>
            <w:top w:val="none" w:sz="0" w:space="0" w:color="auto"/>
            <w:left w:val="none" w:sz="0" w:space="0" w:color="auto"/>
            <w:bottom w:val="none" w:sz="0" w:space="0" w:color="auto"/>
            <w:right w:val="none" w:sz="0" w:space="0" w:color="auto"/>
          </w:divBdr>
        </w:div>
        <w:div w:id="1013655383">
          <w:marLeft w:val="0"/>
          <w:marRight w:val="0"/>
          <w:marTop w:val="0"/>
          <w:marBottom w:val="0"/>
          <w:divBdr>
            <w:top w:val="none" w:sz="0" w:space="0" w:color="auto"/>
            <w:left w:val="none" w:sz="0" w:space="0" w:color="auto"/>
            <w:bottom w:val="none" w:sz="0" w:space="0" w:color="auto"/>
            <w:right w:val="none" w:sz="0" w:space="0" w:color="auto"/>
          </w:divBdr>
        </w:div>
        <w:div w:id="1071268170">
          <w:marLeft w:val="0"/>
          <w:marRight w:val="0"/>
          <w:marTop w:val="0"/>
          <w:marBottom w:val="0"/>
          <w:divBdr>
            <w:top w:val="none" w:sz="0" w:space="0" w:color="auto"/>
            <w:left w:val="none" w:sz="0" w:space="0" w:color="auto"/>
            <w:bottom w:val="none" w:sz="0" w:space="0" w:color="auto"/>
            <w:right w:val="none" w:sz="0" w:space="0" w:color="auto"/>
          </w:divBdr>
        </w:div>
        <w:div w:id="1117679883">
          <w:marLeft w:val="0"/>
          <w:marRight w:val="0"/>
          <w:marTop w:val="0"/>
          <w:marBottom w:val="0"/>
          <w:divBdr>
            <w:top w:val="none" w:sz="0" w:space="0" w:color="auto"/>
            <w:left w:val="none" w:sz="0" w:space="0" w:color="auto"/>
            <w:bottom w:val="none" w:sz="0" w:space="0" w:color="auto"/>
            <w:right w:val="none" w:sz="0" w:space="0" w:color="auto"/>
          </w:divBdr>
        </w:div>
        <w:div w:id="1295214344">
          <w:marLeft w:val="0"/>
          <w:marRight w:val="0"/>
          <w:marTop w:val="0"/>
          <w:marBottom w:val="0"/>
          <w:divBdr>
            <w:top w:val="none" w:sz="0" w:space="0" w:color="auto"/>
            <w:left w:val="none" w:sz="0" w:space="0" w:color="auto"/>
            <w:bottom w:val="none" w:sz="0" w:space="0" w:color="auto"/>
            <w:right w:val="none" w:sz="0" w:space="0" w:color="auto"/>
          </w:divBdr>
        </w:div>
        <w:div w:id="1300301595">
          <w:marLeft w:val="0"/>
          <w:marRight w:val="0"/>
          <w:marTop w:val="0"/>
          <w:marBottom w:val="0"/>
          <w:divBdr>
            <w:top w:val="none" w:sz="0" w:space="0" w:color="auto"/>
            <w:left w:val="none" w:sz="0" w:space="0" w:color="auto"/>
            <w:bottom w:val="none" w:sz="0" w:space="0" w:color="auto"/>
            <w:right w:val="none" w:sz="0" w:space="0" w:color="auto"/>
          </w:divBdr>
        </w:div>
        <w:div w:id="1426684858">
          <w:marLeft w:val="0"/>
          <w:marRight w:val="0"/>
          <w:marTop w:val="0"/>
          <w:marBottom w:val="0"/>
          <w:divBdr>
            <w:top w:val="none" w:sz="0" w:space="0" w:color="auto"/>
            <w:left w:val="none" w:sz="0" w:space="0" w:color="auto"/>
            <w:bottom w:val="none" w:sz="0" w:space="0" w:color="auto"/>
            <w:right w:val="none" w:sz="0" w:space="0" w:color="auto"/>
          </w:divBdr>
        </w:div>
        <w:div w:id="1684742795">
          <w:marLeft w:val="0"/>
          <w:marRight w:val="0"/>
          <w:marTop w:val="0"/>
          <w:marBottom w:val="0"/>
          <w:divBdr>
            <w:top w:val="none" w:sz="0" w:space="0" w:color="auto"/>
            <w:left w:val="none" w:sz="0" w:space="0" w:color="auto"/>
            <w:bottom w:val="none" w:sz="0" w:space="0" w:color="auto"/>
            <w:right w:val="none" w:sz="0" w:space="0" w:color="auto"/>
          </w:divBdr>
        </w:div>
        <w:div w:id="1790203894">
          <w:marLeft w:val="0"/>
          <w:marRight w:val="0"/>
          <w:marTop w:val="0"/>
          <w:marBottom w:val="0"/>
          <w:divBdr>
            <w:top w:val="none" w:sz="0" w:space="0" w:color="auto"/>
            <w:left w:val="none" w:sz="0" w:space="0" w:color="auto"/>
            <w:bottom w:val="none" w:sz="0" w:space="0" w:color="auto"/>
            <w:right w:val="none" w:sz="0" w:space="0" w:color="auto"/>
          </w:divBdr>
        </w:div>
        <w:div w:id="2074502239">
          <w:marLeft w:val="0"/>
          <w:marRight w:val="0"/>
          <w:marTop w:val="0"/>
          <w:marBottom w:val="0"/>
          <w:divBdr>
            <w:top w:val="none" w:sz="0" w:space="0" w:color="auto"/>
            <w:left w:val="none" w:sz="0" w:space="0" w:color="auto"/>
            <w:bottom w:val="none" w:sz="0" w:space="0" w:color="auto"/>
            <w:right w:val="none" w:sz="0" w:space="0" w:color="auto"/>
          </w:divBdr>
        </w:div>
        <w:div w:id="2106611204">
          <w:marLeft w:val="0"/>
          <w:marRight w:val="0"/>
          <w:marTop w:val="0"/>
          <w:marBottom w:val="0"/>
          <w:divBdr>
            <w:top w:val="none" w:sz="0" w:space="0" w:color="auto"/>
            <w:left w:val="none" w:sz="0" w:space="0" w:color="auto"/>
            <w:bottom w:val="none" w:sz="0" w:space="0" w:color="auto"/>
            <w:right w:val="none" w:sz="0" w:space="0" w:color="auto"/>
          </w:divBdr>
        </w:div>
        <w:div w:id="2147237409">
          <w:marLeft w:val="0"/>
          <w:marRight w:val="0"/>
          <w:marTop w:val="0"/>
          <w:marBottom w:val="0"/>
          <w:divBdr>
            <w:top w:val="none" w:sz="0" w:space="0" w:color="auto"/>
            <w:left w:val="none" w:sz="0" w:space="0" w:color="auto"/>
            <w:bottom w:val="none" w:sz="0" w:space="0" w:color="auto"/>
            <w:right w:val="none" w:sz="0" w:space="0" w:color="auto"/>
          </w:divBdr>
        </w:div>
      </w:divsChild>
    </w:div>
    <w:div w:id="1212032286">
      <w:bodyDiv w:val="1"/>
      <w:marLeft w:val="0"/>
      <w:marRight w:val="0"/>
      <w:marTop w:val="0"/>
      <w:marBottom w:val="0"/>
      <w:divBdr>
        <w:top w:val="none" w:sz="0" w:space="0" w:color="auto"/>
        <w:left w:val="none" w:sz="0" w:space="0" w:color="auto"/>
        <w:bottom w:val="none" w:sz="0" w:space="0" w:color="auto"/>
        <w:right w:val="none" w:sz="0" w:space="0" w:color="auto"/>
      </w:divBdr>
    </w:div>
    <w:div w:id="1248533956">
      <w:bodyDiv w:val="1"/>
      <w:marLeft w:val="0"/>
      <w:marRight w:val="0"/>
      <w:marTop w:val="0"/>
      <w:marBottom w:val="0"/>
      <w:divBdr>
        <w:top w:val="none" w:sz="0" w:space="0" w:color="auto"/>
        <w:left w:val="none" w:sz="0" w:space="0" w:color="auto"/>
        <w:bottom w:val="none" w:sz="0" w:space="0" w:color="auto"/>
        <w:right w:val="none" w:sz="0" w:space="0" w:color="auto"/>
      </w:divBdr>
    </w:div>
    <w:div w:id="1260334642">
      <w:bodyDiv w:val="1"/>
      <w:marLeft w:val="0"/>
      <w:marRight w:val="0"/>
      <w:marTop w:val="0"/>
      <w:marBottom w:val="0"/>
      <w:divBdr>
        <w:top w:val="none" w:sz="0" w:space="0" w:color="auto"/>
        <w:left w:val="none" w:sz="0" w:space="0" w:color="auto"/>
        <w:bottom w:val="none" w:sz="0" w:space="0" w:color="auto"/>
        <w:right w:val="none" w:sz="0" w:space="0" w:color="auto"/>
      </w:divBdr>
    </w:div>
    <w:div w:id="1264220960">
      <w:bodyDiv w:val="1"/>
      <w:marLeft w:val="0"/>
      <w:marRight w:val="0"/>
      <w:marTop w:val="0"/>
      <w:marBottom w:val="0"/>
      <w:divBdr>
        <w:top w:val="none" w:sz="0" w:space="0" w:color="auto"/>
        <w:left w:val="none" w:sz="0" w:space="0" w:color="auto"/>
        <w:bottom w:val="none" w:sz="0" w:space="0" w:color="auto"/>
        <w:right w:val="none" w:sz="0" w:space="0" w:color="auto"/>
      </w:divBdr>
    </w:div>
    <w:div w:id="1265922971">
      <w:bodyDiv w:val="1"/>
      <w:marLeft w:val="0"/>
      <w:marRight w:val="0"/>
      <w:marTop w:val="0"/>
      <w:marBottom w:val="0"/>
      <w:divBdr>
        <w:top w:val="none" w:sz="0" w:space="0" w:color="auto"/>
        <w:left w:val="none" w:sz="0" w:space="0" w:color="auto"/>
        <w:bottom w:val="none" w:sz="0" w:space="0" w:color="auto"/>
        <w:right w:val="none" w:sz="0" w:space="0" w:color="auto"/>
      </w:divBdr>
    </w:div>
    <w:div w:id="1273980459">
      <w:bodyDiv w:val="1"/>
      <w:marLeft w:val="0"/>
      <w:marRight w:val="0"/>
      <w:marTop w:val="0"/>
      <w:marBottom w:val="0"/>
      <w:divBdr>
        <w:top w:val="none" w:sz="0" w:space="0" w:color="auto"/>
        <w:left w:val="none" w:sz="0" w:space="0" w:color="auto"/>
        <w:bottom w:val="none" w:sz="0" w:space="0" w:color="auto"/>
        <w:right w:val="none" w:sz="0" w:space="0" w:color="auto"/>
      </w:divBdr>
    </w:div>
    <w:div w:id="1307050130">
      <w:bodyDiv w:val="1"/>
      <w:marLeft w:val="0"/>
      <w:marRight w:val="0"/>
      <w:marTop w:val="0"/>
      <w:marBottom w:val="0"/>
      <w:divBdr>
        <w:top w:val="none" w:sz="0" w:space="0" w:color="auto"/>
        <w:left w:val="none" w:sz="0" w:space="0" w:color="auto"/>
        <w:bottom w:val="none" w:sz="0" w:space="0" w:color="auto"/>
        <w:right w:val="none" w:sz="0" w:space="0" w:color="auto"/>
      </w:divBdr>
    </w:div>
    <w:div w:id="1352218534">
      <w:bodyDiv w:val="1"/>
      <w:marLeft w:val="0"/>
      <w:marRight w:val="0"/>
      <w:marTop w:val="0"/>
      <w:marBottom w:val="0"/>
      <w:divBdr>
        <w:top w:val="none" w:sz="0" w:space="0" w:color="auto"/>
        <w:left w:val="none" w:sz="0" w:space="0" w:color="auto"/>
        <w:bottom w:val="none" w:sz="0" w:space="0" w:color="auto"/>
        <w:right w:val="none" w:sz="0" w:space="0" w:color="auto"/>
      </w:divBdr>
    </w:div>
    <w:div w:id="1361516244">
      <w:bodyDiv w:val="1"/>
      <w:marLeft w:val="0"/>
      <w:marRight w:val="0"/>
      <w:marTop w:val="0"/>
      <w:marBottom w:val="0"/>
      <w:divBdr>
        <w:top w:val="none" w:sz="0" w:space="0" w:color="auto"/>
        <w:left w:val="none" w:sz="0" w:space="0" w:color="auto"/>
        <w:bottom w:val="none" w:sz="0" w:space="0" w:color="auto"/>
        <w:right w:val="none" w:sz="0" w:space="0" w:color="auto"/>
      </w:divBdr>
    </w:div>
    <w:div w:id="1366637226">
      <w:bodyDiv w:val="1"/>
      <w:marLeft w:val="0"/>
      <w:marRight w:val="0"/>
      <w:marTop w:val="0"/>
      <w:marBottom w:val="0"/>
      <w:divBdr>
        <w:top w:val="none" w:sz="0" w:space="0" w:color="auto"/>
        <w:left w:val="none" w:sz="0" w:space="0" w:color="auto"/>
        <w:bottom w:val="none" w:sz="0" w:space="0" w:color="auto"/>
        <w:right w:val="none" w:sz="0" w:space="0" w:color="auto"/>
      </w:divBdr>
    </w:div>
    <w:div w:id="1367176413">
      <w:bodyDiv w:val="1"/>
      <w:marLeft w:val="0"/>
      <w:marRight w:val="0"/>
      <w:marTop w:val="0"/>
      <w:marBottom w:val="0"/>
      <w:divBdr>
        <w:top w:val="none" w:sz="0" w:space="0" w:color="auto"/>
        <w:left w:val="none" w:sz="0" w:space="0" w:color="auto"/>
        <w:bottom w:val="none" w:sz="0" w:space="0" w:color="auto"/>
        <w:right w:val="none" w:sz="0" w:space="0" w:color="auto"/>
      </w:divBdr>
      <w:divsChild>
        <w:div w:id="1199857022">
          <w:marLeft w:val="0"/>
          <w:marRight w:val="0"/>
          <w:marTop w:val="0"/>
          <w:marBottom w:val="0"/>
          <w:divBdr>
            <w:top w:val="none" w:sz="0" w:space="0" w:color="auto"/>
            <w:left w:val="none" w:sz="0" w:space="0" w:color="auto"/>
            <w:bottom w:val="none" w:sz="0" w:space="0" w:color="auto"/>
            <w:right w:val="none" w:sz="0" w:space="0" w:color="auto"/>
          </w:divBdr>
          <w:divsChild>
            <w:div w:id="1847280069">
              <w:marLeft w:val="0"/>
              <w:marRight w:val="0"/>
              <w:marTop w:val="0"/>
              <w:marBottom w:val="0"/>
              <w:divBdr>
                <w:top w:val="none" w:sz="0" w:space="0" w:color="auto"/>
                <w:left w:val="none" w:sz="0" w:space="0" w:color="auto"/>
                <w:bottom w:val="none" w:sz="0" w:space="0" w:color="auto"/>
                <w:right w:val="none" w:sz="0" w:space="0" w:color="auto"/>
              </w:divBdr>
              <w:divsChild>
                <w:div w:id="487288853">
                  <w:marLeft w:val="0"/>
                  <w:marRight w:val="0"/>
                  <w:marTop w:val="0"/>
                  <w:marBottom w:val="0"/>
                  <w:divBdr>
                    <w:top w:val="none" w:sz="0" w:space="0" w:color="auto"/>
                    <w:left w:val="none" w:sz="0" w:space="0" w:color="auto"/>
                    <w:bottom w:val="none" w:sz="0" w:space="0" w:color="auto"/>
                    <w:right w:val="none" w:sz="0" w:space="0" w:color="auto"/>
                  </w:divBdr>
                  <w:divsChild>
                    <w:div w:id="6090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275239">
      <w:bodyDiv w:val="1"/>
      <w:marLeft w:val="0"/>
      <w:marRight w:val="0"/>
      <w:marTop w:val="0"/>
      <w:marBottom w:val="0"/>
      <w:divBdr>
        <w:top w:val="none" w:sz="0" w:space="0" w:color="auto"/>
        <w:left w:val="none" w:sz="0" w:space="0" w:color="auto"/>
        <w:bottom w:val="none" w:sz="0" w:space="0" w:color="auto"/>
        <w:right w:val="none" w:sz="0" w:space="0" w:color="auto"/>
      </w:divBdr>
      <w:divsChild>
        <w:div w:id="125398302">
          <w:marLeft w:val="0"/>
          <w:marRight w:val="0"/>
          <w:marTop w:val="0"/>
          <w:marBottom w:val="0"/>
          <w:divBdr>
            <w:top w:val="none" w:sz="0" w:space="0" w:color="auto"/>
            <w:left w:val="none" w:sz="0" w:space="0" w:color="auto"/>
            <w:bottom w:val="none" w:sz="0" w:space="0" w:color="auto"/>
            <w:right w:val="none" w:sz="0" w:space="0" w:color="auto"/>
          </w:divBdr>
        </w:div>
        <w:div w:id="759108260">
          <w:marLeft w:val="0"/>
          <w:marRight w:val="0"/>
          <w:marTop w:val="0"/>
          <w:marBottom w:val="0"/>
          <w:divBdr>
            <w:top w:val="none" w:sz="0" w:space="0" w:color="auto"/>
            <w:left w:val="none" w:sz="0" w:space="0" w:color="auto"/>
            <w:bottom w:val="none" w:sz="0" w:space="0" w:color="auto"/>
            <w:right w:val="none" w:sz="0" w:space="0" w:color="auto"/>
          </w:divBdr>
        </w:div>
        <w:div w:id="910389603">
          <w:marLeft w:val="0"/>
          <w:marRight w:val="0"/>
          <w:marTop w:val="0"/>
          <w:marBottom w:val="0"/>
          <w:divBdr>
            <w:top w:val="none" w:sz="0" w:space="0" w:color="auto"/>
            <w:left w:val="none" w:sz="0" w:space="0" w:color="auto"/>
            <w:bottom w:val="none" w:sz="0" w:space="0" w:color="auto"/>
            <w:right w:val="none" w:sz="0" w:space="0" w:color="auto"/>
          </w:divBdr>
        </w:div>
      </w:divsChild>
    </w:div>
    <w:div w:id="1380133081">
      <w:bodyDiv w:val="1"/>
      <w:marLeft w:val="0"/>
      <w:marRight w:val="0"/>
      <w:marTop w:val="0"/>
      <w:marBottom w:val="0"/>
      <w:divBdr>
        <w:top w:val="none" w:sz="0" w:space="0" w:color="auto"/>
        <w:left w:val="none" w:sz="0" w:space="0" w:color="auto"/>
        <w:bottom w:val="none" w:sz="0" w:space="0" w:color="auto"/>
        <w:right w:val="none" w:sz="0" w:space="0" w:color="auto"/>
      </w:divBdr>
    </w:div>
    <w:div w:id="1433624405">
      <w:bodyDiv w:val="1"/>
      <w:marLeft w:val="0"/>
      <w:marRight w:val="0"/>
      <w:marTop w:val="0"/>
      <w:marBottom w:val="0"/>
      <w:divBdr>
        <w:top w:val="none" w:sz="0" w:space="0" w:color="auto"/>
        <w:left w:val="none" w:sz="0" w:space="0" w:color="auto"/>
        <w:bottom w:val="none" w:sz="0" w:space="0" w:color="auto"/>
        <w:right w:val="none" w:sz="0" w:space="0" w:color="auto"/>
      </w:divBdr>
    </w:div>
    <w:div w:id="1435244919">
      <w:bodyDiv w:val="1"/>
      <w:marLeft w:val="0"/>
      <w:marRight w:val="0"/>
      <w:marTop w:val="0"/>
      <w:marBottom w:val="0"/>
      <w:divBdr>
        <w:top w:val="none" w:sz="0" w:space="0" w:color="auto"/>
        <w:left w:val="none" w:sz="0" w:space="0" w:color="auto"/>
        <w:bottom w:val="none" w:sz="0" w:space="0" w:color="auto"/>
        <w:right w:val="none" w:sz="0" w:space="0" w:color="auto"/>
      </w:divBdr>
    </w:div>
    <w:div w:id="1436753261">
      <w:bodyDiv w:val="1"/>
      <w:marLeft w:val="0"/>
      <w:marRight w:val="0"/>
      <w:marTop w:val="0"/>
      <w:marBottom w:val="0"/>
      <w:divBdr>
        <w:top w:val="none" w:sz="0" w:space="0" w:color="auto"/>
        <w:left w:val="none" w:sz="0" w:space="0" w:color="auto"/>
        <w:bottom w:val="none" w:sz="0" w:space="0" w:color="auto"/>
        <w:right w:val="none" w:sz="0" w:space="0" w:color="auto"/>
      </w:divBdr>
    </w:div>
    <w:div w:id="1441685194">
      <w:bodyDiv w:val="1"/>
      <w:marLeft w:val="0"/>
      <w:marRight w:val="0"/>
      <w:marTop w:val="0"/>
      <w:marBottom w:val="0"/>
      <w:divBdr>
        <w:top w:val="none" w:sz="0" w:space="0" w:color="auto"/>
        <w:left w:val="none" w:sz="0" w:space="0" w:color="auto"/>
        <w:bottom w:val="none" w:sz="0" w:space="0" w:color="auto"/>
        <w:right w:val="none" w:sz="0" w:space="0" w:color="auto"/>
      </w:divBdr>
      <w:divsChild>
        <w:div w:id="225267947">
          <w:marLeft w:val="0"/>
          <w:marRight w:val="0"/>
          <w:marTop w:val="0"/>
          <w:marBottom w:val="0"/>
          <w:divBdr>
            <w:top w:val="none" w:sz="0" w:space="0" w:color="auto"/>
            <w:left w:val="none" w:sz="0" w:space="0" w:color="auto"/>
            <w:bottom w:val="none" w:sz="0" w:space="0" w:color="auto"/>
            <w:right w:val="none" w:sz="0" w:space="0" w:color="auto"/>
          </w:divBdr>
        </w:div>
        <w:div w:id="384335793">
          <w:marLeft w:val="0"/>
          <w:marRight w:val="0"/>
          <w:marTop w:val="0"/>
          <w:marBottom w:val="0"/>
          <w:divBdr>
            <w:top w:val="none" w:sz="0" w:space="0" w:color="auto"/>
            <w:left w:val="none" w:sz="0" w:space="0" w:color="auto"/>
            <w:bottom w:val="none" w:sz="0" w:space="0" w:color="auto"/>
            <w:right w:val="none" w:sz="0" w:space="0" w:color="auto"/>
          </w:divBdr>
        </w:div>
        <w:div w:id="653724563">
          <w:marLeft w:val="0"/>
          <w:marRight w:val="0"/>
          <w:marTop w:val="0"/>
          <w:marBottom w:val="0"/>
          <w:divBdr>
            <w:top w:val="none" w:sz="0" w:space="0" w:color="auto"/>
            <w:left w:val="none" w:sz="0" w:space="0" w:color="auto"/>
            <w:bottom w:val="none" w:sz="0" w:space="0" w:color="auto"/>
            <w:right w:val="none" w:sz="0" w:space="0" w:color="auto"/>
          </w:divBdr>
        </w:div>
        <w:div w:id="743651482">
          <w:marLeft w:val="0"/>
          <w:marRight w:val="0"/>
          <w:marTop w:val="0"/>
          <w:marBottom w:val="0"/>
          <w:divBdr>
            <w:top w:val="none" w:sz="0" w:space="0" w:color="auto"/>
            <w:left w:val="none" w:sz="0" w:space="0" w:color="auto"/>
            <w:bottom w:val="none" w:sz="0" w:space="0" w:color="auto"/>
            <w:right w:val="none" w:sz="0" w:space="0" w:color="auto"/>
          </w:divBdr>
        </w:div>
        <w:div w:id="745497530">
          <w:marLeft w:val="0"/>
          <w:marRight w:val="0"/>
          <w:marTop w:val="0"/>
          <w:marBottom w:val="0"/>
          <w:divBdr>
            <w:top w:val="none" w:sz="0" w:space="0" w:color="auto"/>
            <w:left w:val="none" w:sz="0" w:space="0" w:color="auto"/>
            <w:bottom w:val="none" w:sz="0" w:space="0" w:color="auto"/>
            <w:right w:val="none" w:sz="0" w:space="0" w:color="auto"/>
          </w:divBdr>
        </w:div>
        <w:div w:id="985403238">
          <w:marLeft w:val="0"/>
          <w:marRight w:val="0"/>
          <w:marTop w:val="0"/>
          <w:marBottom w:val="0"/>
          <w:divBdr>
            <w:top w:val="none" w:sz="0" w:space="0" w:color="auto"/>
            <w:left w:val="none" w:sz="0" w:space="0" w:color="auto"/>
            <w:bottom w:val="none" w:sz="0" w:space="0" w:color="auto"/>
            <w:right w:val="none" w:sz="0" w:space="0" w:color="auto"/>
          </w:divBdr>
        </w:div>
        <w:div w:id="1410925432">
          <w:marLeft w:val="0"/>
          <w:marRight w:val="0"/>
          <w:marTop w:val="0"/>
          <w:marBottom w:val="0"/>
          <w:divBdr>
            <w:top w:val="none" w:sz="0" w:space="0" w:color="auto"/>
            <w:left w:val="none" w:sz="0" w:space="0" w:color="auto"/>
            <w:bottom w:val="none" w:sz="0" w:space="0" w:color="auto"/>
            <w:right w:val="none" w:sz="0" w:space="0" w:color="auto"/>
          </w:divBdr>
        </w:div>
        <w:div w:id="1436945056">
          <w:marLeft w:val="0"/>
          <w:marRight w:val="0"/>
          <w:marTop w:val="0"/>
          <w:marBottom w:val="0"/>
          <w:divBdr>
            <w:top w:val="none" w:sz="0" w:space="0" w:color="auto"/>
            <w:left w:val="none" w:sz="0" w:space="0" w:color="auto"/>
            <w:bottom w:val="none" w:sz="0" w:space="0" w:color="auto"/>
            <w:right w:val="none" w:sz="0" w:space="0" w:color="auto"/>
          </w:divBdr>
        </w:div>
        <w:div w:id="1497112963">
          <w:marLeft w:val="0"/>
          <w:marRight w:val="0"/>
          <w:marTop w:val="0"/>
          <w:marBottom w:val="0"/>
          <w:divBdr>
            <w:top w:val="none" w:sz="0" w:space="0" w:color="auto"/>
            <w:left w:val="none" w:sz="0" w:space="0" w:color="auto"/>
            <w:bottom w:val="none" w:sz="0" w:space="0" w:color="auto"/>
            <w:right w:val="none" w:sz="0" w:space="0" w:color="auto"/>
          </w:divBdr>
        </w:div>
        <w:div w:id="1656912148">
          <w:marLeft w:val="0"/>
          <w:marRight w:val="0"/>
          <w:marTop w:val="0"/>
          <w:marBottom w:val="0"/>
          <w:divBdr>
            <w:top w:val="none" w:sz="0" w:space="0" w:color="auto"/>
            <w:left w:val="none" w:sz="0" w:space="0" w:color="auto"/>
            <w:bottom w:val="none" w:sz="0" w:space="0" w:color="auto"/>
            <w:right w:val="none" w:sz="0" w:space="0" w:color="auto"/>
          </w:divBdr>
        </w:div>
        <w:div w:id="1835998158">
          <w:marLeft w:val="0"/>
          <w:marRight w:val="0"/>
          <w:marTop w:val="0"/>
          <w:marBottom w:val="0"/>
          <w:divBdr>
            <w:top w:val="none" w:sz="0" w:space="0" w:color="auto"/>
            <w:left w:val="none" w:sz="0" w:space="0" w:color="auto"/>
            <w:bottom w:val="none" w:sz="0" w:space="0" w:color="auto"/>
            <w:right w:val="none" w:sz="0" w:space="0" w:color="auto"/>
          </w:divBdr>
        </w:div>
        <w:div w:id="1882092981">
          <w:marLeft w:val="0"/>
          <w:marRight w:val="0"/>
          <w:marTop w:val="0"/>
          <w:marBottom w:val="0"/>
          <w:divBdr>
            <w:top w:val="none" w:sz="0" w:space="0" w:color="auto"/>
            <w:left w:val="none" w:sz="0" w:space="0" w:color="auto"/>
            <w:bottom w:val="none" w:sz="0" w:space="0" w:color="auto"/>
            <w:right w:val="none" w:sz="0" w:space="0" w:color="auto"/>
          </w:divBdr>
        </w:div>
        <w:div w:id="1980646531">
          <w:marLeft w:val="0"/>
          <w:marRight w:val="0"/>
          <w:marTop w:val="0"/>
          <w:marBottom w:val="0"/>
          <w:divBdr>
            <w:top w:val="none" w:sz="0" w:space="0" w:color="auto"/>
            <w:left w:val="none" w:sz="0" w:space="0" w:color="auto"/>
            <w:bottom w:val="none" w:sz="0" w:space="0" w:color="auto"/>
            <w:right w:val="none" w:sz="0" w:space="0" w:color="auto"/>
          </w:divBdr>
        </w:div>
        <w:div w:id="2113623643">
          <w:marLeft w:val="0"/>
          <w:marRight w:val="0"/>
          <w:marTop w:val="0"/>
          <w:marBottom w:val="0"/>
          <w:divBdr>
            <w:top w:val="none" w:sz="0" w:space="0" w:color="auto"/>
            <w:left w:val="none" w:sz="0" w:space="0" w:color="auto"/>
            <w:bottom w:val="none" w:sz="0" w:space="0" w:color="auto"/>
            <w:right w:val="none" w:sz="0" w:space="0" w:color="auto"/>
          </w:divBdr>
        </w:div>
        <w:div w:id="2134671159">
          <w:marLeft w:val="0"/>
          <w:marRight w:val="0"/>
          <w:marTop w:val="0"/>
          <w:marBottom w:val="0"/>
          <w:divBdr>
            <w:top w:val="none" w:sz="0" w:space="0" w:color="auto"/>
            <w:left w:val="none" w:sz="0" w:space="0" w:color="auto"/>
            <w:bottom w:val="none" w:sz="0" w:space="0" w:color="auto"/>
            <w:right w:val="none" w:sz="0" w:space="0" w:color="auto"/>
          </w:divBdr>
        </w:div>
      </w:divsChild>
    </w:div>
    <w:div w:id="1441754174">
      <w:bodyDiv w:val="1"/>
      <w:marLeft w:val="0"/>
      <w:marRight w:val="0"/>
      <w:marTop w:val="0"/>
      <w:marBottom w:val="0"/>
      <w:divBdr>
        <w:top w:val="none" w:sz="0" w:space="0" w:color="auto"/>
        <w:left w:val="none" w:sz="0" w:space="0" w:color="auto"/>
        <w:bottom w:val="none" w:sz="0" w:space="0" w:color="auto"/>
        <w:right w:val="none" w:sz="0" w:space="0" w:color="auto"/>
      </w:divBdr>
    </w:div>
    <w:div w:id="1446000277">
      <w:bodyDiv w:val="1"/>
      <w:marLeft w:val="0"/>
      <w:marRight w:val="0"/>
      <w:marTop w:val="0"/>
      <w:marBottom w:val="0"/>
      <w:divBdr>
        <w:top w:val="none" w:sz="0" w:space="0" w:color="auto"/>
        <w:left w:val="none" w:sz="0" w:space="0" w:color="auto"/>
        <w:bottom w:val="none" w:sz="0" w:space="0" w:color="auto"/>
        <w:right w:val="none" w:sz="0" w:space="0" w:color="auto"/>
      </w:divBdr>
      <w:divsChild>
        <w:div w:id="1297641796">
          <w:marLeft w:val="0"/>
          <w:marRight w:val="0"/>
          <w:marTop w:val="0"/>
          <w:marBottom w:val="0"/>
          <w:divBdr>
            <w:top w:val="none" w:sz="0" w:space="0" w:color="auto"/>
            <w:left w:val="none" w:sz="0" w:space="0" w:color="auto"/>
            <w:bottom w:val="none" w:sz="0" w:space="0" w:color="auto"/>
            <w:right w:val="none" w:sz="0" w:space="0" w:color="auto"/>
          </w:divBdr>
          <w:divsChild>
            <w:div w:id="658384183">
              <w:marLeft w:val="0"/>
              <w:marRight w:val="0"/>
              <w:marTop w:val="0"/>
              <w:marBottom w:val="0"/>
              <w:divBdr>
                <w:top w:val="none" w:sz="0" w:space="0" w:color="auto"/>
                <w:left w:val="none" w:sz="0" w:space="0" w:color="auto"/>
                <w:bottom w:val="none" w:sz="0" w:space="0" w:color="auto"/>
                <w:right w:val="none" w:sz="0" w:space="0" w:color="auto"/>
              </w:divBdr>
              <w:divsChild>
                <w:div w:id="68575109">
                  <w:marLeft w:val="0"/>
                  <w:marRight w:val="0"/>
                  <w:marTop w:val="0"/>
                  <w:marBottom w:val="0"/>
                  <w:divBdr>
                    <w:top w:val="none" w:sz="0" w:space="0" w:color="auto"/>
                    <w:left w:val="none" w:sz="0" w:space="0" w:color="auto"/>
                    <w:bottom w:val="none" w:sz="0" w:space="0" w:color="auto"/>
                    <w:right w:val="none" w:sz="0" w:space="0" w:color="auto"/>
                  </w:divBdr>
                  <w:divsChild>
                    <w:div w:id="142541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720651">
          <w:marLeft w:val="0"/>
          <w:marRight w:val="0"/>
          <w:marTop w:val="0"/>
          <w:marBottom w:val="0"/>
          <w:divBdr>
            <w:top w:val="none" w:sz="0" w:space="0" w:color="auto"/>
            <w:left w:val="none" w:sz="0" w:space="0" w:color="auto"/>
            <w:bottom w:val="none" w:sz="0" w:space="0" w:color="auto"/>
            <w:right w:val="none" w:sz="0" w:space="0" w:color="auto"/>
          </w:divBdr>
          <w:divsChild>
            <w:div w:id="998969408">
              <w:marLeft w:val="0"/>
              <w:marRight w:val="0"/>
              <w:marTop w:val="0"/>
              <w:marBottom w:val="0"/>
              <w:divBdr>
                <w:top w:val="none" w:sz="0" w:space="0" w:color="auto"/>
                <w:left w:val="none" w:sz="0" w:space="0" w:color="auto"/>
                <w:bottom w:val="none" w:sz="0" w:space="0" w:color="auto"/>
                <w:right w:val="none" w:sz="0" w:space="0" w:color="auto"/>
              </w:divBdr>
              <w:divsChild>
                <w:div w:id="1455058122">
                  <w:marLeft w:val="0"/>
                  <w:marRight w:val="0"/>
                  <w:marTop w:val="0"/>
                  <w:marBottom w:val="0"/>
                  <w:divBdr>
                    <w:top w:val="none" w:sz="0" w:space="0" w:color="auto"/>
                    <w:left w:val="none" w:sz="0" w:space="0" w:color="auto"/>
                    <w:bottom w:val="none" w:sz="0" w:space="0" w:color="auto"/>
                    <w:right w:val="none" w:sz="0" w:space="0" w:color="auto"/>
                  </w:divBdr>
                  <w:divsChild>
                    <w:div w:id="26666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926341">
      <w:bodyDiv w:val="1"/>
      <w:marLeft w:val="0"/>
      <w:marRight w:val="0"/>
      <w:marTop w:val="0"/>
      <w:marBottom w:val="0"/>
      <w:divBdr>
        <w:top w:val="none" w:sz="0" w:space="0" w:color="auto"/>
        <w:left w:val="none" w:sz="0" w:space="0" w:color="auto"/>
        <w:bottom w:val="none" w:sz="0" w:space="0" w:color="auto"/>
        <w:right w:val="none" w:sz="0" w:space="0" w:color="auto"/>
      </w:divBdr>
    </w:div>
    <w:div w:id="1501195793">
      <w:bodyDiv w:val="1"/>
      <w:marLeft w:val="0"/>
      <w:marRight w:val="0"/>
      <w:marTop w:val="0"/>
      <w:marBottom w:val="0"/>
      <w:divBdr>
        <w:top w:val="none" w:sz="0" w:space="0" w:color="auto"/>
        <w:left w:val="none" w:sz="0" w:space="0" w:color="auto"/>
        <w:bottom w:val="none" w:sz="0" w:space="0" w:color="auto"/>
        <w:right w:val="none" w:sz="0" w:space="0" w:color="auto"/>
      </w:divBdr>
    </w:div>
    <w:div w:id="1552614969">
      <w:bodyDiv w:val="1"/>
      <w:marLeft w:val="0"/>
      <w:marRight w:val="0"/>
      <w:marTop w:val="0"/>
      <w:marBottom w:val="0"/>
      <w:divBdr>
        <w:top w:val="none" w:sz="0" w:space="0" w:color="auto"/>
        <w:left w:val="none" w:sz="0" w:space="0" w:color="auto"/>
        <w:bottom w:val="none" w:sz="0" w:space="0" w:color="auto"/>
        <w:right w:val="none" w:sz="0" w:space="0" w:color="auto"/>
      </w:divBdr>
    </w:div>
    <w:div w:id="1610579337">
      <w:bodyDiv w:val="1"/>
      <w:marLeft w:val="0"/>
      <w:marRight w:val="0"/>
      <w:marTop w:val="0"/>
      <w:marBottom w:val="0"/>
      <w:divBdr>
        <w:top w:val="none" w:sz="0" w:space="0" w:color="auto"/>
        <w:left w:val="none" w:sz="0" w:space="0" w:color="auto"/>
        <w:bottom w:val="none" w:sz="0" w:space="0" w:color="auto"/>
        <w:right w:val="none" w:sz="0" w:space="0" w:color="auto"/>
      </w:divBdr>
      <w:divsChild>
        <w:div w:id="205455470">
          <w:marLeft w:val="0"/>
          <w:marRight w:val="0"/>
          <w:marTop w:val="0"/>
          <w:marBottom w:val="0"/>
          <w:divBdr>
            <w:top w:val="none" w:sz="0" w:space="0" w:color="auto"/>
            <w:left w:val="none" w:sz="0" w:space="0" w:color="auto"/>
            <w:bottom w:val="none" w:sz="0" w:space="0" w:color="auto"/>
            <w:right w:val="none" w:sz="0" w:space="0" w:color="auto"/>
          </w:divBdr>
        </w:div>
        <w:div w:id="220407883">
          <w:marLeft w:val="0"/>
          <w:marRight w:val="0"/>
          <w:marTop w:val="0"/>
          <w:marBottom w:val="0"/>
          <w:divBdr>
            <w:top w:val="none" w:sz="0" w:space="0" w:color="auto"/>
            <w:left w:val="none" w:sz="0" w:space="0" w:color="auto"/>
            <w:bottom w:val="none" w:sz="0" w:space="0" w:color="auto"/>
            <w:right w:val="none" w:sz="0" w:space="0" w:color="auto"/>
          </w:divBdr>
        </w:div>
        <w:div w:id="278801609">
          <w:marLeft w:val="0"/>
          <w:marRight w:val="0"/>
          <w:marTop w:val="0"/>
          <w:marBottom w:val="0"/>
          <w:divBdr>
            <w:top w:val="none" w:sz="0" w:space="0" w:color="auto"/>
            <w:left w:val="none" w:sz="0" w:space="0" w:color="auto"/>
            <w:bottom w:val="none" w:sz="0" w:space="0" w:color="auto"/>
            <w:right w:val="none" w:sz="0" w:space="0" w:color="auto"/>
          </w:divBdr>
        </w:div>
        <w:div w:id="298069479">
          <w:marLeft w:val="0"/>
          <w:marRight w:val="0"/>
          <w:marTop w:val="0"/>
          <w:marBottom w:val="0"/>
          <w:divBdr>
            <w:top w:val="none" w:sz="0" w:space="0" w:color="auto"/>
            <w:left w:val="none" w:sz="0" w:space="0" w:color="auto"/>
            <w:bottom w:val="none" w:sz="0" w:space="0" w:color="auto"/>
            <w:right w:val="none" w:sz="0" w:space="0" w:color="auto"/>
          </w:divBdr>
        </w:div>
        <w:div w:id="337999364">
          <w:marLeft w:val="0"/>
          <w:marRight w:val="0"/>
          <w:marTop w:val="0"/>
          <w:marBottom w:val="0"/>
          <w:divBdr>
            <w:top w:val="none" w:sz="0" w:space="0" w:color="auto"/>
            <w:left w:val="none" w:sz="0" w:space="0" w:color="auto"/>
            <w:bottom w:val="none" w:sz="0" w:space="0" w:color="auto"/>
            <w:right w:val="none" w:sz="0" w:space="0" w:color="auto"/>
          </w:divBdr>
        </w:div>
        <w:div w:id="342246477">
          <w:marLeft w:val="0"/>
          <w:marRight w:val="0"/>
          <w:marTop w:val="0"/>
          <w:marBottom w:val="0"/>
          <w:divBdr>
            <w:top w:val="none" w:sz="0" w:space="0" w:color="auto"/>
            <w:left w:val="none" w:sz="0" w:space="0" w:color="auto"/>
            <w:bottom w:val="none" w:sz="0" w:space="0" w:color="auto"/>
            <w:right w:val="none" w:sz="0" w:space="0" w:color="auto"/>
          </w:divBdr>
        </w:div>
        <w:div w:id="372659286">
          <w:marLeft w:val="0"/>
          <w:marRight w:val="0"/>
          <w:marTop w:val="0"/>
          <w:marBottom w:val="0"/>
          <w:divBdr>
            <w:top w:val="none" w:sz="0" w:space="0" w:color="auto"/>
            <w:left w:val="none" w:sz="0" w:space="0" w:color="auto"/>
            <w:bottom w:val="none" w:sz="0" w:space="0" w:color="auto"/>
            <w:right w:val="none" w:sz="0" w:space="0" w:color="auto"/>
          </w:divBdr>
        </w:div>
        <w:div w:id="373585477">
          <w:marLeft w:val="0"/>
          <w:marRight w:val="0"/>
          <w:marTop w:val="0"/>
          <w:marBottom w:val="0"/>
          <w:divBdr>
            <w:top w:val="none" w:sz="0" w:space="0" w:color="auto"/>
            <w:left w:val="none" w:sz="0" w:space="0" w:color="auto"/>
            <w:bottom w:val="none" w:sz="0" w:space="0" w:color="auto"/>
            <w:right w:val="none" w:sz="0" w:space="0" w:color="auto"/>
          </w:divBdr>
        </w:div>
        <w:div w:id="394209109">
          <w:marLeft w:val="0"/>
          <w:marRight w:val="0"/>
          <w:marTop w:val="0"/>
          <w:marBottom w:val="0"/>
          <w:divBdr>
            <w:top w:val="none" w:sz="0" w:space="0" w:color="auto"/>
            <w:left w:val="none" w:sz="0" w:space="0" w:color="auto"/>
            <w:bottom w:val="none" w:sz="0" w:space="0" w:color="auto"/>
            <w:right w:val="none" w:sz="0" w:space="0" w:color="auto"/>
          </w:divBdr>
        </w:div>
        <w:div w:id="423186412">
          <w:marLeft w:val="0"/>
          <w:marRight w:val="0"/>
          <w:marTop w:val="0"/>
          <w:marBottom w:val="0"/>
          <w:divBdr>
            <w:top w:val="none" w:sz="0" w:space="0" w:color="auto"/>
            <w:left w:val="none" w:sz="0" w:space="0" w:color="auto"/>
            <w:bottom w:val="none" w:sz="0" w:space="0" w:color="auto"/>
            <w:right w:val="none" w:sz="0" w:space="0" w:color="auto"/>
          </w:divBdr>
        </w:div>
        <w:div w:id="647712606">
          <w:marLeft w:val="0"/>
          <w:marRight w:val="0"/>
          <w:marTop w:val="0"/>
          <w:marBottom w:val="0"/>
          <w:divBdr>
            <w:top w:val="none" w:sz="0" w:space="0" w:color="auto"/>
            <w:left w:val="none" w:sz="0" w:space="0" w:color="auto"/>
            <w:bottom w:val="none" w:sz="0" w:space="0" w:color="auto"/>
            <w:right w:val="none" w:sz="0" w:space="0" w:color="auto"/>
          </w:divBdr>
        </w:div>
        <w:div w:id="717557112">
          <w:marLeft w:val="0"/>
          <w:marRight w:val="0"/>
          <w:marTop w:val="0"/>
          <w:marBottom w:val="0"/>
          <w:divBdr>
            <w:top w:val="none" w:sz="0" w:space="0" w:color="auto"/>
            <w:left w:val="none" w:sz="0" w:space="0" w:color="auto"/>
            <w:bottom w:val="none" w:sz="0" w:space="0" w:color="auto"/>
            <w:right w:val="none" w:sz="0" w:space="0" w:color="auto"/>
          </w:divBdr>
        </w:div>
        <w:div w:id="738484682">
          <w:marLeft w:val="0"/>
          <w:marRight w:val="0"/>
          <w:marTop w:val="0"/>
          <w:marBottom w:val="0"/>
          <w:divBdr>
            <w:top w:val="none" w:sz="0" w:space="0" w:color="auto"/>
            <w:left w:val="none" w:sz="0" w:space="0" w:color="auto"/>
            <w:bottom w:val="none" w:sz="0" w:space="0" w:color="auto"/>
            <w:right w:val="none" w:sz="0" w:space="0" w:color="auto"/>
          </w:divBdr>
        </w:div>
        <w:div w:id="854611640">
          <w:marLeft w:val="0"/>
          <w:marRight w:val="0"/>
          <w:marTop w:val="0"/>
          <w:marBottom w:val="0"/>
          <w:divBdr>
            <w:top w:val="none" w:sz="0" w:space="0" w:color="auto"/>
            <w:left w:val="none" w:sz="0" w:space="0" w:color="auto"/>
            <w:bottom w:val="none" w:sz="0" w:space="0" w:color="auto"/>
            <w:right w:val="none" w:sz="0" w:space="0" w:color="auto"/>
          </w:divBdr>
        </w:div>
        <w:div w:id="878083523">
          <w:marLeft w:val="0"/>
          <w:marRight w:val="0"/>
          <w:marTop w:val="0"/>
          <w:marBottom w:val="0"/>
          <w:divBdr>
            <w:top w:val="none" w:sz="0" w:space="0" w:color="auto"/>
            <w:left w:val="none" w:sz="0" w:space="0" w:color="auto"/>
            <w:bottom w:val="none" w:sz="0" w:space="0" w:color="auto"/>
            <w:right w:val="none" w:sz="0" w:space="0" w:color="auto"/>
          </w:divBdr>
        </w:div>
        <w:div w:id="883559895">
          <w:marLeft w:val="0"/>
          <w:marRight w:val="0"/>
          <w:marTop w:val="0"/>
          <w:marBottom w:val="0"/>
          <w:divBdr>
            <w:top w:val="none" w:sz="0" w:space="0" w:color="auto"/>
            <w:left w:val="none" w:sz="0" w:space="0" w:color="auto"/>
            <w:bottom w:val="none" w:sz="0" w:space="0" w:color="auto"/>
            <w:right w:val="none" w:sz="0" w:space="0" w:color="auto"/>
          </w:divBdr>
        </w:div>
        <w:div w:id="1019505552">
          <w:marLeft w:val="0"/>
          <w:marRight w:val="0"/>
          <w:marTop w:val="0"/>
          <w:marBottom w:val="0"/>
          <w:divBdr>
            <w:top w:val="none" w:sz="0" w:space="0" w:color="auto"/>
            <w:left w:val="none" w:sz="0" w:space="0" w:color="auto"/>
            <w:bottom w:val="none" w:sz="0" w:space="0" w:color="auto"/>
            <w:right w:val="none" w:sz="0" w:space="0" w:color="auto"/>
          </w:divBdr>
        </w:div>
        <w:div w:id="1050690629">
          <w:marLeft w:val="0"/>
          <w:marRight w:val="0"/>
          <w:marTop w:val="0"/>
          <w:marBottom w:val="0"/>
          <w:divBdr>
            <w:top w:val="none" w:sz="0" w:space="0" w:color="auto"/>
            <w:left w:val="none" w:sz="0" w:space="0" w:color="auto"/>
            <w:bottom w:val="none" w:sz="0" w:space="0" w:color="auto"/>
            <w:right w:val="none" w:sz="0" w:space="0" w:color="auto"/>
          </w:divBdr>
        </w:div>
        <w:div w:id="1078214892">
          <w:marLeft w:val="0"/>
          <w:marRight w:val="0"/>
          <w:marTop w:val="0"/>
          <w:marBottom w:val="0"/>
          <w:divBdr>
            <w:top w:val="none" w:sz="0" w:space="0" w:color="auto"/>
            <w:left w:val="none" w:sz="0" w:space="0" w:color="auto"/>
            <w:bottom w:val="none" w:sz="0" w:space="0" w:color="auto"/>
            <w:right w:val="none" w:sz="0" w:space="0" w:color="auto"/>
          </w:divBdr>
        </w:div>
        <w:div w:id="1169520466">
          <w:marLeft w:val="0"/>
          <w:marRight w:val="0"/>
          <w:marTop w:val="0"/>
          <w:marBottom w:val="0"/>
          <w:divBdr>
            <w:top w:val="none" w:sz="0" w:space="0" w:color="auto"/>
            <w:left w:val="none" w:sz="0" w:space="0" w:color="auto"/>
            <w:bottom w:val="none" w:sz="0" w:space="0" w:color="auto"/>
            <w:right w:val="none" w:sz="0" w:space="0" w:color="auto"/>
          </w:divBdr>
          <w:divsChild>
            <w:div w:id="425613403">
              <w:marLeft w:val="0"/>
              <w:marRight w:val="0"/>
              <w:marTop w:val="0"/>
              <w:marBottom w:val="0"/>
              <w:divBdr>
                <w:top w:val="none" w:sz="0" w:space="0" w:color="auto"/>
                <w:left w:val="none" w:sz="0" w:space="0" w:color="auto"/>
                <w:bottom w:val="none" w:sz="0" w:space="0" w:color="auto"/>
                <w:right w:val="none" w:sz="0" w:space="0" w:color="auto"/>
              </w:divBdr>
            </w:div>
            <w:div w:id="881862812">
              <w:marLeft w:val="0"/>
              <w:marRight w:val="0"/>
              <w:marTop w:val="0"/>
              <w:marBottom w:val="0"/>
              <w:divBdr>
                <w:top w:val="none" w:sz="0" w:space="0" w:color="auto"/>
                <w:left w:val="none" w:sz="0" w:space="0" w:color="auto"/>
                <w:bottom w:val="none" w:sz="0" w:space="0" w:color="auto"/>
                <w:right w:val="none" w:sz="0" w:space="0" w:color="auto"/>
              </w:divBdr>
            </w:div>
            <w:div w:id="952856929">
              <w:marLeft w:val="0"/>
              <w:marRight w:val="0"/>
              <w:marTop w:val="0"/>
              <w:marBottom w:val="0"/>
              <w:divBdr>
                <w:top w:val="none" w:sz="0" w:space="0" w:color="auto"/>
                <w:left w:val="none" w:sz="0" w:space="0" w:color="auto"/>
                <w:bottom w:val="none" w:sz="0" w:space="0" w:color="auto"/>
                <w:right w:val="none" w:sz="0" w:space="0" w:color="auto"/>
              </w:divBdr>
            </w:div>
            <w:div w:id="1197349458">
              <w:marLeft w:val="0"/>
              <w:marRight w:val="0"/>
              <w:marTop w:val="0"/>
              <w:marBottom w:val="0"/>
              <w:divBdr>
                <w:top w:val="none" w:sz="0" w:space="0" w:color="auto"/>
                <w:left w:val="none" w:sz="0" w:space="0" w:color="auto"/>
                <w:bottom w:val="none" w:sz="0" w:space="0" w:color="auto"/>
                <w:right w:val="none" w:sz="0" w:space="0" w:color="auto"/>
              </w:divBdr>
            </w:div>
            <w:div w:id="2130974275">
              <w:marLeft w:val="0"/>
              <w:marRight w:val="0"/>
              <w:marTop w:val="0"/>
              <w:marBottom w:val="0"/>
              <w:divBdr>
                <w:top w:val="none" w:sz="0" w:space="0" w:color="auto"/>
                <w:left w:val="none" w:sz="0" w:space="0" w:color="auto"/>
                <w:bottom w:val="none" w:sz="0" w:space="0" w:color="auto"/>
                <w:right w:val="none" w:sz="0" w:space="0" w:color="auto"/>
              </w:divBdr>
            </w:div>
          </w:divsChild>
        </w:div>
        <w:div w:id="1171027941">
          <w:marLeft w:val="0"/>
          <w:marRight w:val="0"/>
          <w:marTop w:val="0"/>
          <w:marBottom w:val="0"/>
          <w:divBdr>
            <w:top w:val="none" w:sz="0" w:space="0" w:color="auto"/>
            <w:left w:val="none" w:sz="0" w:space="0" w:color="auto"/>
            <w:bottom w:val="none" w:sz="0" w:space="0" w:color="auto"/>
            <w:right w:val="none" w:sz="0" w:space="0" w:color="auto"/>
          </w:divBdr>
        </w:div>
        <w:div w:id="1293438552">
          <w:marLeft w:val="0"/>
          <w:marRight w:val="0"/>
          <w:marTop w:val="0"/>
          <w:marBottom w:val="0"/>
          <w:divBdr>
            <w:top w:val="none" w:sz="0" w:space="0" w:color="auto"/>
            <w:left w:val="none" w:sz="0" w:space="0" w:color="auto"/>
            <w:bottom w:val="none" w:sz="0" w:space="0" w:color="auto"/>
            <w:right w:val="none" w:sz="0" w:space="0" w:color="auto"/>
          </w:divBdr>
        </w:div>
        <w:div w:id="1301376214">
          <w:marLeft w:val="0"/>
          <w:marRight w:val="0"/>
          <w:marTop w:val="0"/>
          <w:marBottom w:val="0"/>
          <w:divBdr>
            <w:top w:val="none" w:sz="0" w:space="0" w:color="auto"/>
            <w:left w:val="none" w:sz="0" w:space="0" w:color="auto"/>
            <w:bottom w:val="none" w:sz="0" w:space="0" w:color="auto"/>
            <w:right w:val="none" w:sz="0" w:space="0" w:color="auto"/>
          </w:divBdr>
        </w:div>
        <w:div w:id="1327857306">
          <w:marLeft w:val="0"/>
          <w:marRight w:val="0"/>
          <w:marTop w:val="0"/>
          <w:marBottom w:val="0"/>
          <w:divBdr>
            <w:top w:val="none" w:sz="0" w:space="0" w:color="auto"/>
            <w:left w:val="none" w:sz="0" w:space="0" w:color="auto"/>
            <w:bottom w:val="none" w:sz="0" w:space="0" w:color="auto"/>
            <w:right w:val="none" w:sz="0" w:space="0" w:color="auto"/>
          </w:divBdr>
        </w:div>
        <w:div w:id="1623924359">
          <w:marLeft w:val="0"/>
          <w:marRight w:val="0"/>
          <w:marTop w:val="0"/>
          <w:marBottom w:val="0"/>
          <w:divBdr>
            <w:top w:val="none" w:sz="0" w:space="0" w:color="auto"/>
            <w:left w:val="none" w:sz="0" w:space="0" w:color="auto"/>
            <w:bottom w:val="none" w:sz="0" w:space="0" w:color="auto"/>
            <w:right w:val="none" w:sz="0" w:space="0" w:color="auto"/>
          </w:divBdr>
        </w:div>
        <w:div w:id="1744568453">
          <w:marLeft w:val="0"/>
          <w:marRight w:val="0"/>
          <w:marTop w:val="0"/>
          <w:marBottom w:val="0"/>
          <w:divBdr>
            <w:top w:val="none" w:sz="0" w:space="0" w:color="auto"/>
            <w:left w:val="none" w:sz="0" w:space="0" w:color="auto"/>
            <w:bottom w:val="none" w:sz="0" w:space="0" w:color="auto"/>
            <w:right w:val="none" w:sz="0" w:space="0" w:color="auto"/>
          </w:divBdr>
        </w:div>
        <w:div w:id="1781099002">
          <w:marLeft w:val="0"/>
          <w:marRight w:val="0"/>
          <w:marTop w:val="0"/>
          <w:marBottom w:val="0"/>
          <w:divBdr>
            <w:top w:val="none" w:sz="0" w:space="0" w:color="auto"/>
            <w:left w:val="none" w:sz="0" w:space="0" w:color="auto"/>
            <w:bottom w:val="none" w:sz="0" w:space="0" w:color="auto"/>
            <w:right w:val="none" w:sz="0" w:space="0" w:color="auto"/>
          </w:divBdr>
        </w:div>
        <w:div w:id="1909655763">
          <w:marLeft w:val="0"/>
          <w:marRight w:val="0"/>
          <w:marTop w:val="0"/>
          <w:marBottom w:val="0"/>
          <w:divBdr>
            <w:top w:val="none" w:sz="0" w:space="0" w:color="auto"/>
            <w:left w:val="none" w:sz="0" w:space="0" w:color="auto"/>
            <w:bottom w:val="none" w:sz="0" w:space="0" w:color="auto"/>
            <w:right w:val="none" w:sz="0" w:space="0" w:color="auto"/>
          </w:divBdr>
        </w:div>
        <w:div w:id="1919289706">
          <w:marLeft w:val="0"/>
          <w:marRight w:val="0"/>
          <w:marTop w:val="0"/>
          <w:marBottom w:val="0"/>
          <w:divBdr>
            <w:top w:val="none" w:sz="0" w:space="0" w:color="auto"/>
            <w:left w:val="none" w:sz="0" w:space="0" w:color="auto"/>
            <w:bottom w:val="none" w:sz="0" w:space="0" w:color="auto"/>
            <w:right w:val="none" w:sz="0" w:space="0" w:color="auto"/>
          </w:divBdr>
          <w:divsChild>
            <w:div w:id="679504706">
              <w:marLeft w:val="0"/>
              <w:marRight w:val="0"/>
              <w:marTop w:val="0"/>
              <w:marBottom w:val="0"/>
              <w:divBdr>
                <w:top w:val="none" w:sz="0" w:space="0" w:color="auto"/>
                <w:left w:val="none" w:sz="0" w:space="0" w:color="auto"/>
                <w:bottom w:val="none" w:sz="0" w:space="0" w:color="auto"/>
                <w:right w:val="none" w:sz="0" w:space="0" w:color="auto"/>
              </w:divBdr>
            </w:div>
            <w:div w:id="934358448">
              <w:marLeft w:val="0"/>
              <w:marRight w:val="0"/>
              <w:marTop w:val="0"/>
              <w:marBottom w:val="0"/>
              <w:divBdr>
                <w:top w:val="none" w:sz="0" w:space="0" w:color="auto"/>
                <w:left w:val="none" w:sz="0" w:space="0" w:color="auto"/>
                <w:bottom w:val="none" w:sz="0" w:space="0" w:color="auto"/>
                <w:right w:val="none" w:sz="0" w:space="0" w:color="auto"/>
              </w:divBdr>
            </w:div>
            <w:div w:id="1593125131">
              <w:marLeft w:val="0"/>
              <w:marRight w:val="0"/>
              <w:marTop w:val="0"/>
              <w:marBottom w:val="0"/>
              <w:divBdr>
                <w:top w:val="none" w:sz="0" w:space="0" w:color="auto"/>
                <w:left w:val="none" w:sz="0" w:space="0" w:color="auto"/>
                <w:bottom w:val="none" w:sz="0" w:space="0" w:color="auto"/>
                <w:right w:val="none" w:sz="0" w:space="0" w:color="auto"/>
              </w:divBdr>
            </w:div>
            <w:div w:id="1805803865">
              <w:marLeft w:val="0"/>
              <w:marRight w:val="0"/>
              <w:marTop w:val="0"/>
              <w:marBottom w:val="0"/>
              <w:divBdr>
                <w:top w:val="none" w:sz="0" w:space="0" w:color="auto"/>
                <w:left w:val="none" w:sz="0" w:space="0" w:color="auto"/>
                <w:bottom w:val="none" w:sz="0" w:space="0" w:color="auto"/>
                <w:right w:val="none" w:sz="0" w:space="0" w:color="auto"/>
              </w:divBdr>
            </w:div>
            <w:div w:id="2090541254">
              <w:marLeft w:val="0"/>
              <w:marRight w:val="0"/>
              <w:marTop w:val="0"/>
              <w:marBottom w:val="0"/>
              <w:divBdr>
                <w:top w:val="none" w:sz="0" w:space="0" w:color="auto"/>
                <w:left w:val="none" w:sz="0" w:space="0" w:color="auto"/>
                <w:bottom w:val="none" w:sz="0" w:space="0" w:color="auto"/>
                <w:right w:val="none" w:sz="0" w:space="0" w:color="auto"/>
              </w:divBdr>
            </w:div>
          </w:divsChild>
        </w:div>
        <w:div w:id="2043626111">
          <w:marLeft w:val="0"/>
          <w:marRight w:val="0"/>
          <w:marTop w:val="0"/>
          <w:marBottom w:val="0"/>
          <w:divBdr>
            <w:top w:val="none" w:sz="0" w:space="0" w:color="auto"/>
            <w:left w:val="none" w:sz="0" w:space="0" w:color="auto"/>
            <w:bottom w:val="none" w:sz="0" w:space="0" w:color="auto"/>
            <w:right w:val="none" w:sz="0" w:space="0" w:color="auto"/>
          </w:divBdr>
        </w:div>
        <w:div w:id="2053268377">
          <w:marLeft w:val="0"/>
          <w:marRight w:val="0"/>
          <w:marTop w:val="0"/>
          <w:marBottom w:val="0"/>
          <w:divBdr>
            <w:top w:val="none" w:sz="0" w:space="0" w:color="auto"/>
            <w:left w:val="none" w:sz="0" w:space="0" w:color="auto"/>
            <w:bottom w:val="none" w:sz="0" w:space="0" w:color="auto"/>
            <w:right w:val="none" w:sz="0" w:space="0" w:color="auto"/>
          </w:divBdr>
        </w:div>
        <w:div w:id="2053797687">
          <w:marLeft w:val="0"/>
          <w:marRight w:val="0"/>
          <w:marTop w:val="0"/>
          <w:marBottom w:val="0"/>
          <w:divBdr>
            <w:top w:val="none" w:sz="0" w:space="0" w:color="auto"/>
            <w:left w:val="none" w:sz="0" w:space="0" w:color="auto"/>
            <w:bottom w:val="none" w:sz="0" w:space="0" w:color="auto"/>
            <w:right w:val="none" w:sz="0" w:space="0" w:color="auto"/>
          </w:divBdr>
        </w:div>
        <w:div w:id="2068455257">
          <w:marLeft w:val="0"/>
          <w:marRight w:val="0"/>
          <w:marTop w:val="0"/>
          <w:marBottom w:val="0"/>
          <w:divBdr>
            <w:top w:val="none" w:sz="0" w:space="0" w:color="auto"/>
            <w:left w:val="none" w:sz="0" w:space="0" w:color="auto"/>
            <w:bottom w:val="none" w:sz="0" w:space="0" w:color="auto"/>
            <w:right w:val="none" w:sz="0" w:space="0" w:color="auto"/>
          </w:divBdr>
        </w:div>
        <w:div w:id="2070229222">
          <w:marLeft w:val="0"/>
          <w:marRight w:val="0"/>
          <w:marTop w:val="0"/>
          <w:marBottom w:val="0"/>
          <w:divBdr>
            <w:top w:val="none" w:sz="0" w:space="0" w:color="auto"/>
            <w:left w:val="none" w:sz="0" w:space="0" w:color="auto"/>
            <w:bottom w:val="none" w:sz="0" w:space="0" w:color="auto"/>
            <w:right w:val="none" w:sz="0" w:space="0" w:color="auto"/>
          </w:divBdr>
        </w:div>
      </w:divsChild>
    </w:div>
    <w:div w:id="1644041707">
      <w:bodyDiv w:val="1"/>
      <w:marLeft w:val="0"/>
      <w:marRight w:val="0"/>
      <w:marTop w:val="0"/>
      <w:marBottom w:val="0"/>
      <w:divBdr>
        <w:top w:val="none" w:sz="0" w:space="0" w:color="auto"/>
        <w:left w:val="none" w:sz="0" w:space="0" w:color="auto"/>
        <w:bottom w:val="none" w:sz="0" w:space="0" w:color="auto"/>
        <w:right w:val="none" w:sz="0" w:space="0" w:color="auto"/>
      </w:divBdr>
    </w:div>
    <w:div w:id="1650791124">
      <w:bodyDiv w:val="1"/>
      <w:marLeft w:val="0"/>
      <w:marRight w:val="0"/>
      <w:marTop w:val="0"/>
      <w:marBottom w:val="0"/>
      <w:divBdr>
        <w:top w:val="none" w:sz="0" w:space="0" w:color="auto"/>
        <w:left w:val="none" w:sz="0" w:space="0" w:color="auto"/>
        <w:bottom w:val="none" w:sz="0" w:space="0" w:color="auto"/>
        <w:right w:val="none" w:sz="0" w:space="0" w:color="auto"/>
      </w:divBdr>
    </w:div>
    <w:div w:id="1708289636">
      <w:bodyDiv w:val="1"/>
      <w:marLeft w:val="0"/>
      <w:marRight w:val="0"/>
      <w:marTop w:val="0"/>
      <w:marBottom w:val="0"/>
      <w:divBdr>
        <w:top w:val="none" w:sz="0" w:space="0" w:color="auto"/>
        <w:left w:val="none" w:sz="0" w:space="0" w:color="auto"/>
        <w:bottom w:val="none" w:sz="0" w:space="0" w:color="auto"/>
        <w:right w:val="none" w:sz="0" w:space="0" w:color="auto"/>
      </w:divBdr>
    </w:div>
    <w:div w:id="1737895375">
      <w:bodyDiv w:val="1"/>
      <w:marLeft w:val="0"/>
      <w:marRight w:val="0"/>
      <w:marTop w:val="0"/>
      <w:marBottom w:val="0"/>
      <w:divBdr>
        <w:top w:val="none" w:sz="0" w:space="0" w:color="auto"/>
        <w:left w:val="none" w:sz="0" w:space="0" w:color="auto"/>
        <w:bottom w:val="none" w:sz="0" w:space="0" w:color="auto"/>
        <w:right w:val="none" w:sz="0" w:space="0" w:color="auto"/>
      </w:divBdr>
    </w:div>
    <w:div w:id="1748528256">
      <w:bodyDiv w:val="1"/>
      <w:marLeft w:val="0"/>
      <w:marRight w:val="0"/>
      <w:marTop w:val="0"/>
      <w:marBottom w:val="0"/>
      <w:divBdr>
        <w:top w:val="none" w:sz="0" w:space="0" w:color="auto"/>
        <w:left w:val="none" w:sz="0" w:space="0" w:color="auto"/>
        <w:bottom w:val="none" w:sz="0" w:space="0" w:color="auto"/>
        <w:right w:val="none" w:sz="0" w:space="0" w:color="auto"/>
      </w:divBdr>
      <w:divsChild>
        <w:div w:id="4090892">
          <w:marLeft w:val="0"/>
          <w:marRight w:val="0"/>
          <w:marTop w:val="0"/>
          <w:marBottom w:val="0"/>
          <w:divBdr>
            <w:top w:val="none" w:sz="0" w:space="0" w:color="auto"/>
            <w:left w:val="none" w:sz="0" w:space="0" w:color="auto"/>
            <w:bottom w:val="none" w:sz="0" w:space="0" w:color="auto"/>
            <w:right w:val="none" w:sz="0" w:space="0" w:color="auto"/>
          </w:divBdr>
        </w:div>
        <w:div w:id="32118286">
          <w:marLeft w:val="0"/>
          <w:marRight w:val="0"/>
          <w:marTop w:val="0"/>
          <w:marBottom w:val="0"/>
          <w:divBdr>
            <w:top w:val="none" w:sz="0" w:space="0" w:color="auto"/>
            <w:left w:val="none" w:sz="0" w:space="0" w:color="auto"/>
            <w:bottom w:val="none" w:sz="0" w:space="0" w:color="auto"/>
            <w:right w:val="none" w:sz="0" w:space="0" w:color="auto"/>
          </w:divBdr>
        </w:div>
        <w:div w:id="36322713">
          <w:marLeft w:val="0"/>
          <w:marRight w:val="0"/>
          <w:marTop w:val="0"/>
          <w:marBottom w:val="0"/>
          <w:divBdr>
            <w:top w:val="none" w:sz="0" w:space="0" w:color="auto"/>
            <w:left w:val="none" w:sz="0" w:space="0" w:color="auto"/>
            <w:bottom w:val="none" w:sz="0" w:space="0" w:color="auto"/>
            <w:right w:val="none" w:sz="0" w:space="0" w:color="auto"/>
          </w:divBdr>
        </w:div>
        <w:div w:id="68114134">
          <w:marLeft w:val="0"/>
          <w:marRight w:val="0"/>
          <w:marTop w:val="0"/>
          <w:marBottom w:val="0"/>
          <w:divBdr>
            <w:top w:val="none" w:sz="0" w:space="0" w:color="auto"/>
            <w:left w:val="none" w:sz="0" w:space="0" w:color="auto"/>
            <w:bottom w:val="none" w:sz="0" w:space="0" w:color="auto"/>
            <w:right w:val="none" w:sz="0" w:space="0" w:color="auto"/>
          </w:divBdr>
        </w:div>
        <w:div w:id="191653851">
          <w:marLeft w:val="0"/>
          <w:marRight w:val="0"/>
          <w:marTop w:val="0"/>
          <w:marBottom w:val="0"/>
          <w:divBdr>
            <w:top w:val="none" w:sz="0" w:space="0" w:color="auto"/>
            <w:left w:val="none" w:sz="0" w:space="0" w:color="auto"/>
            <w:bottom w:val="none" w:sz="0" w:space="0" w:color="auto"/>
            <w:right w:val="none" w:sz="0" w:space="0" w:color="auto"/>
          </w:divBdr>
        </w:div>
        <w:div w:id="394280905">
          <w:marLeft w:val="0"/>
          <w:marRight w:val="0"/>
          <w:marTop w:val="0"/>
          <w:marBottom w:val="0"/>
          <w:divBdr>
            <w:top w:val="none" w:sz="0" w:space="0" w:color="auto"/>
            <w:left w:val="none" w:sz="0" w:space="0" w:color="auto"/>
            <w:bottom w:val="none" w:sz="0" w:space="0" w:color="auto"/>
            <w:right w:val="none" w:sz="0" w:space="0" w:color="auto"/>
          </w:divBdr>
          <w:divsChild>
            <w:div w:id="214897331">
              <w:marLeft w:val="0"/>
              <w:marRight w:val="0"/>
              <w:marTop w:val="0"/>
              <w:marBottom w:val="0"/>
              <w:divBdr>
                <w:top w:val="none" w:sz="0" w:space="0" w:color="auto"/>
                <w:left w:val="none" w:sz="0" w:space="0" w:color="auto"/>
                <w:bottom w:val="none" w:sz="0" w:space="0" w:color="auto"/>
                <w:right w:val="none" w:sz="0" w:space="0" w:color="auto"/>
              </w:divBdr>
            </w:div>
            <w:div w:id="1282833940">
              <w:marLeft w:val="0"/>
              <w:marRight w:val="0"/>
              <w:marTop w:val="0"/>
              <w:marBottom w:val="0"/>
              <w:divBdr>
                <w:top w:val="none" w:sz="0" w:space="0" w:color="auto"/>
                <w:left w:val="none" w:sz="0" w:space="0" w:color="auto"/>
                <w:bottom w:val="none" w:sz="0" w:space="0" w:color="auto"/>
                <w:right w:val="none" w:sz="0" w:space="0" w:color="auto"/>
              </w:divBdr>
            </w:div>
            <w:div w:id="1590577715">
              <w:marLeft w:val="0"/>
              <w:marRight w:val="0"/>
              <w:marTop w:val="0"/>
              <w:marBottom w:val="0"/>
              <w:divBdr>
                <w:top w:val="none" w:sz="0" w:space="0" w:color="auto"/>
                <w:left w:val="none" w:sz="0" w:space="0" w:color="auto"/>
                <w:bottom w:val="none" w:sz="0" w:space="0" w:color="auto"/>
                <w:right w:val="none" w:sz="0" w:space="0" w:color="auto"/>
              </w:divBdr>
            </w:div>
            <w:div w:id="1616135330">
              <w:marLeft w:val="0"/>
              <w:marRight w:val="0"/>
              <w:marTop w:val="0"/>
              <w:marBottom w:val="0"/>
              <w:divBdr>
                <w:top w:val="none" w:sz="0" w:space="0" w:color="auto"/>
                <w:left w:val="none" w:sz="0" w:space="0" w:color="auto"/>
                <w:bottom w:val="none" w:sz="0" w:space="0" w:color="auto"/>
                <w:right w:val="none" w:sz="0" w:space="0" w:color="auto"/>
              </w:divBdr>
            </w:div>
            <w:div w:id="1616323121">
              <w:marLeft w:val="0"/>
              <w:marRight w:val="0"/>
              <w:marTop w:val="0"/>
              <w:marBottom w:val="0"/>
              <w:divBdr>
                <w:top w:val="none" w:sz="0" w:space="0" w:color="auto"/>
                <w:left w:val="none" w:sz="0" w:space="0" w:color="auto"/>
                <w:bottom w:val="none" w:sz="0" w:space="0" w:color="auto"/>
                <w:right w:val="none" w:sz="0" w:space="0" w:color="auto"/>
              </w:divBdr>
            </w:div>
          </w:divsChild>
        </w:div>
        <w:div w:id="402339501">
          <w:marLeft w:val="0"/>
          <w:marRight w:val="0"/>
          <w:marTop w:val="0"/>
          <w:marBottom w:val="0"/>
          <w:divBdr>
            <w:top w:val="none" w:sz="0" w:space="0" w:color="auto"/>
            <w:left w:val="none" w:sz="0" w:space="0" w:color="auto"/>
            <w:bottom w:val="none" w:sz="0" w:space="0" w:color="auto"/>
            <w:right w:val="none" w:sz="0" w:space="0" w:color="auto"/>
          </w:divBdr>
        </w:div>
        <w:div w:id="430974082">
          <w:marLeft w:val="0"/>
          <w:marRight w:val="0"/>
          <w:marTop w:val="0"/>
          <w:marBottom w:val="0"/>
          <w:divBdr>
            <w:top w:val="none" w:sz="0" w:space="0" w:color="auto"/>
            <w:left w:val="none" w:sz="0" w:space="0" w:color="auto"/>
            <w:bottom w:val="none" w:sz="0" w:space="0" w:color="auto"/>
            <w:right w:val="none" w:sz="0" w:space="0" w:color="auto"/>
          </w:divBdr>
        </w:div>
        <w:div w:id="487289483">
          <w:marLeft w:val="0"/>
          <w:marRight w:val="0"/>
          <w:marTop w:val="0"/>
          <w:marBottom w:val="0"/>
          <w:divBdr>
            <w:top w:val="none" w:sz="0" w:space="0" w:color="auto"/>
            <w:left w:val="none" w:sz="0" w:space="0" w:color="auto"/>
            <w:bottom w:val="none" w:sz="0" w:space="0" w:color="auto"/>
            <w:right w:val="none" w:sz="0" w:space="0" w:color="auto"/>
          </w:divBdr>
        </w:div>
        <w:div w:id="569117272">
          <w:marLeft w:val="0"/>
          <w:marRight w:val="0"/>
          <w:marTop w:val="0"/>
          <w:marBottom w:val="0"/>
          <w:divBdr>
            <w:top w:val="none" w:sz="0" w:space="0" w:color="auto"/>
            <w:left w:val="none" w:sz="0" w:space="0" w:color="auto"/>
            <w:bottom w:val="none" w:sz="0" w:space="0" w:color="auto"/>
            <w:right w:val="none" w:sz="0" w:space="0" w:color="auto"/>
          </w:divBdr>
        </w:div>
        <w:div w:id="596522176">
          <w:marLeft w:val="0"/>
          <w:marRight w:val="0"/>
          <w:marTop w:val="0"/>
          <w:marBottom w:val="0"/>
          <w:divBdr>
            <w:top w:val="none" w:sz="0" w:space="0" w:color="auto"/>
            <w:left w:val="none" w:sz="0" w:space="0" w:color="auto"/>
            <w:bottom w:val="none" w:sz="0" w:space="0" w:color="auto"/>
            <w:right w:val="none" w:sz="0" w:space="0" w:color="auto"/>
          </w:divBdr>
        </w:div>
        <w:div w:id="602424865">
          <w:marLeft w:val="0"/>
          <w:marRight w:val="0"/>
          <w:marTop w:val="0"/>
          <w:marBottom w:val="0"/>
          <w:divBdr>
            <w:top w:val="none" w:sz="0" w:space="0" w:color="auto"/>
            <w:left w:val="none" w:sz="0" w:space="0" w:color="auto"/>
            <w:bottom w:val="none" w:sz="0" w:space="0" w:color="auto"/>
            <w:right w:val="none" w:sz="0" w:space="0" w:color="auto"/>
          </w:divBdr>
        </w:div>
        <w:div w:id="684789778">
          <w:marLeft w:val="0"/>
          <w:marRight w:val="0"/>
          <w:marTop w:val="0"/>
          <w:marBottom w:val="0"/>
          <w:divBdr>
            <w:top w:val="none" w:sz="0" w:space="0" w:color="auto"/>
            <w:left w:val="none" w:sz="0" w:space="0" w:color="auto"/>
            <w:bottom w:val="none" w:sz="0" w:space="0" w:color="auto"/>
            <w:right w:val="none" w:sz="0" w:space="0" w:color="auto"/>
          </w:divBdr>
        </w:div>
        <w:div w:id="751507840">
          <w:marLeft w:val="0"/>
          <w:marRight w:val="0"/>
          <w:marTop w:val="0"/>
          <w:marBottom w:val="0"/>
          <w:divBdr>
            <w:top w:val="none" w:sz="0" w:space="0" w:color="auto"/>
            <w:left w:val="none" w:sz="0" w:space="0" w:color="auto"/>
            <w:bottom w:val="none" w:sz="0" w:space="0" w:color="auto"/>
            <w:right w:val="none" w:sz="0" w:space="0" w:color="auto"/>
          </w:divBdr>
        </w:div>
        <w:div w:id="778450845">
          <w:marLeft w:val="0"/>
          <w:marRight w:val="0"/>
          <w:marTop w:val="0"/>
          <w:marBottom w:val="0"/>
          <w:divBdr>
            <w:top w:val="none" w:sz="0" w:space="0" w:color="auto"/>
            <w:left w:val="none" w:sz="0" w:space="0" w:color="auto"/>
            <w:bottom w:val="none" w:sz="0" w:space="0" w:color="auto"/>
            <w:right w:val="none" w:sz="0" w:space="0" w:color="auto"/>
          </w:divBdr>
        </w:div>
        <w:div w:id="819074879">
          <w:marLeft w:val="0"/>
          <w:marRight w:val="0"/>
          <w:marTop w:val="0"/>
          <w:marBottom w:val="0"/>
          <w:divBdr>
            <w:top w:val="none" w:sz="0" w:space="0" w:color="auto"/>
            <w:left w:val="none" w:sz="0" w:space="0" w:color="auto"/>
            <w:bottom w:val="none" w:sz="0" w:space="0" w:color="auto"/>
            <w:right w:val="none" w:sz="0" w:space="0" w:color="auto"/>
          </w:divBdr>
        </w:div>
        <w:div w:id="824207264">
          <w:marLeft w:val="0"/>
          <w:marRight w:val="0"/>
          <w:marTop w:val="0"/>
          <w:marBottom w:val="0"/>
          <w:divBdr>
            <w:top w:val="none" w:sz="0" w:space="0" w:color="auto"/>
            <w:left w:val="none" w:sz="0" w:space="0" w:color="auto"/>
            <w:bottom w:val="none" w:sz="0" w:space="0" w:color="auto"/>
            <w:right w:val="none" w:sz="0" w:space="0" w:color="auto"/>
          </w:divBdr>
        </w:div>
        <w:div w:id="869882706">
          <w:marLeft w:val="0"/>
          <w:marRight w:val="0"/>
          <w:marTop w:val="0"/>
          <w:marBottom w:val="0"/>
          <w:divBdr>
            <w:top w:val="none" w:sz="0" w:space="0" w:color="auto"/>
            <w:left w:val="none" w:sz="0" w:space="0" w:color="auto"/>
            <w:bottom w:val="none" w:sz="0" w:space="0" w:color="auto"/>
            <w:right w:val="none" w:sz="0" w:space="0" w:color="auto"/>
          </w:divBdr>
        </w:div>
        <w:div w:id="950551650">
          <w:marLeft w:val="0"/>
          <w:marRight w:val="0"/>
          <w:marTop w:val="0"/>
          <w:marBottom w:val="0"/>
          <w:divBdr>
            <w:top w:val="none" w:sz="0" w:space="0" w:color="auto"/>
            <w:left w:val="none" w:sz="0" w:space="0" w:color="auto"/>
            <w:bottom w:val="none" w:sz="0" w:space="0" w:color="auto"/>
            <w:right w:val="none" w:sz="0" w:space="0" w:color="auto"/>
          </w:divBdr>
        </w:div>
        <w:div w:id="1082264932">
          <w:marLeft w:val="0"/>
          <w:marRight w:val="0"/>
          <w:marTop w:val="0"/>
          <w:marBottom w:val="0"/>
          <w:divBdr>
            <w:top w:val="none" w:sz="0" w:space="0" w:color="auto"/>
            <w:left w:val="none" w:sz="0" w:space="0" w:color="auto"/>
            <w:bottom w:val="none" w:sz="0" w:space="0" w:color="auto"/>
            <w:right w:val="none" w:sz="0" w:space="0" w:color="auto"/>
          </w:divBdr>
        </w:div>
        <w:div w:id="1106317201">
          <w:marLeft w:val="0"/>
          <w:marRight w:val="0"/>
          <w:marTop w:val="0"/>
          <w:marBottom w:val="0"/>
          <w:divBdr>
            <w:top w:val="none" w:sz="0" w:space="0" w:color="auto"/>
            <w:left w:val="none" w:sz="0" w:space="0" w:color="auto"/>
            <w:bottom w:val="none" w:sz="0" w:space="0" w:color="auto"/>
            <w:right w:val="none" w:sz="0" w:space="0" w:color="auto"/>
          </w:divBdr>
        </w:div>
        <w:div w:id="1125270495">
          <w:marLeft w:val="0"/>
          <w:marRight w:val="0"/>
          <w:marTop w:val="0"/>
          <w:marBottom w:val="0"/>
          <w:divBdr>
            <w:top w:val="none" w:sz="0" w:space="0" w:color="auto"/>
            <w:left w:val="none" w:sz="0" w:space="0" w:color="auto"/>
            <w:bottom w:val="none" w:sz="0" w:space="0" w:color="auto"/>
            <w:right w:val="none" w:sz="0" w:space="0" w:color="auto"/>
          </w:divBdr>
        </w:div>
        <w:div w:id="1153374059">
          <w:marLeft w:val="0"/>
          <w:marRight w:val="0"/>
          <w:marTop w:val="0"/>
          <w:marBottom w:val="0"/>
          <w:divBdr>
            <w:top w:val="none" w:sz="0" w:space="0" w:color="auto"/>
            <w:left w:val="none" w:sz="0" w:space="0" w:color="auto"/>
            <w:bottom w:val="none" w:sz="0" w:space="0" w:color="auto"/>
            <w:right w:val="none" w:sz="0" w:space="0" w:color="auto"/>
          </w:divBdr>
        </w:div>
        <w:div w:id="1289243910">
          <w:marLeft w:val="0"/>
          <w:marRight w:val="0"/>
          <w:marTop w:val="0"/>
          <w:marBottom w:val="0"/>
          <w:divBdr>
            <w:top w:val="none" w:sz="0" w:space="0" w:color="auto"/>
            <w:left w:val="none" w:sz="0" w:space="0" w:color="auto"/>
            <w:bottom w:val="none" w:sz="0" w:space="0" w:color="auto"/>
            <w:right w:val="none" w:sz="0" w:space="0" w:color="auto"/>
          </w:divBdr>
        </w:div>
        <w:div w:id="1393894200">
          <w:marLeft w:val="0"/>
          <w:marRight w:val="0"/>
          <w:marTop w:val="0"/>
          <w:marBottom w:val="0"/>
          <w:divBdr>
            <w:top w:val="none" w:sz="0" w:space="0" w:color="auto"/>
            <w:left w:val="none" w:sz="0" w:space="0" w:color="auto"/>
            <w:bottom w:val="none" w:sz="0" w:space="0" w:color="auto"/>
            <w:right w:val="none" w:sz="0" w:space="0" w:color="auto"/>
          </w:divBdr>
        </w:div>
        <w:div w:id="1409376996">
          <w:marLeft w:val="0"/>
          <w:marRight w:val="0"/>
          <w:marTop w:val="0"/>
          <w:marBottom w:val="0"/>
          <w:divBdr>
            <w:top w:val="none" w:sz="0" w:space="0" w:color="auto"/>
            <w:left w:val="none" w:sz="0" w:space="0" w:color="auto"/>
            <w:bottom w:val="none" w:sz="0" w:space="0" w:color="auto"/>
            <w:right w:val="none" w:sz="0" w:space="0" w:color="auto"/>
          </w:divBdr>
        </w:div>
        <w:div w:id="1522477599">
          <w:marLeft w:val="0"/>
          <w:marRight w:val="0"/>
          <w:marTop w:val="0"/>
          <w:marBottom w:val="0"/>
          <w:divBdr>
            <w:top w:val="none" w:sz="0" w:space="0" w:color="auto"/>
            <w:left w:val="none" w:sz="0" w:space="0" w:color="auto"/>
            <w:bottom w:val="none" w:sz="0" w:space="0" w:color="auto"/>
            <w:right w:val="none" w:sz="0" w:space="0" w:color="auto"/>
          </w:divBdr>
        </w:div>
        <w:div w:id="1603798949">
          <w:marLeft w:val="0"/>
          <w:marRight w:val="0"/>
          <w:marTop w:val="0"/>
          <w:marBottom w:val="0"/>
          <w:divBdr>
            <w:top w:val="none" w:sz="0" w:space="0" w:color="auto"/>
            <w:left w:val="none" w:sz="0" w:space="0" w:color="auto"/>
            <w:bottom w:val="none" w:sz="0" w:space="0" w:color="auto"/>
            <w:right w:val="none" w:sz="0" w:space="0" w:color="auto"/>
          </w:divBdr>
        </w:div>
        <w:div w:id="1610121163">
          <w:marLeft w:val="0"/>
          <w:marRight w:val="0"/>
          <w:marTop w:val="0"/>
          <w:marBottom w:val="0"/>
          <w:divBdr>
            <w:top w:val="none" w:sz="0" w:space="0" w:color="auto"/>
            <w:left w:val="none" w:sz="0" w:space="0" w:color="auto"/>
            <w:bottom w:val="none" w:sz="0" w:space="0" w:color="auto"/>
            <w:right w:val="none" w:sz="0" w:space="0" w:color="auto"/>
          </w:divBdr>
        </w:div>
        <w:div w:id="1646010248">
          <w:marLeft w:val="0"/>
          <w:marRight w:val="0"/>
          <w:marTop w:val="0"/>
          <w:marBottom w:val="0"/>
          <w:divBdr>
            <w:top w:val="none" w:sz="0" w:space="0" w:color="auto"/>
            <w:left w:val="none" w:sz="0" w:space="0" w:color="auto"/>
            <w:bottom w:val="none" w:sz="0" w:space="0" w:color="auto"/>
            <w:right w:val="none" w:sz="0" w:space="0" w:color="auto"/>
          </w:divBdr>
        </w:div>
        <w:div w:id="1661426118">
          <w:marLeft w:val="0"/>
          <w:marRight w:val="0"/>
          <w:marTop w:val="0"/>
          <w:marBottom w:val="0"/>
          <w:divBdr>
            <w:top w:val="none" w:sz="0" w:space="0" w:color="auto"/>
            <w:left w:val="none" w:sz="0" w:space="0" w:color="auto"/>
            <w:bottom w:val="none" w:sz="0" w:space="0" w:color="auto"/>
            <w:right w:val="none" w:sz="0" w:space="0" w:color="auto"/>
          </w:divBdr>
        </w:div>
        <w:div w:id="1772969224">
          <w:marLeft w:val="0"/>
          <w:marRight w:val="0"/>
          <w:marTop w:val="0"/>
          <w:marBottom w:val="0"/>
          <w:divBdr>
            <w:top w:val="none" w:sz="0" w:space="0" w:color="auto"/>
            <w:left w:val="none" w:sz="0" w:space="0" w:color="auto"/>
            <w:bottom w:val="none" w:sz="0" w:space="0" w:color="auto"/>
            <w:right w:val="none" w:sz="0" w:space="0" w:color="auto"/>
          </w:divBdr>
          <w:divsChild>
            <w:div w:id="399668652">
              <w:marLeft w:val="0"/>
              <w:marRight w:val="0"/>
              <w:marTop w:val="0"/>
              <w:marBottom w:val="0"/>
              <w:divBdr>
                <w:top w:val="none" w:sz="0" w:space="0" w:color="auto"/>
                <w:left w:val="none" w:sz="0" w:space="0" w:color="auto"/>
                <w:bottom w:val="none" w:sz="0" w:space="0" w:color="auto"/>
                <w:right w:val="none" w:sz="0" w:space="0" w:color="auto"/>
              </w:divBdr>
            </w:div>
            <w:div w:id="407775867">
              <w:marLeft w:val="0"/>
              <w:marRight w:val="0"/>
              <w:marTop w:val="0"/>
              <w:marBottom w:val="0"/>
              <w:divBdr>
                <w:top w:val="none" w:sz="0" w:space="0" w:color="auto"/>
                <w:left w:val="none" w:sz="0" w:space="0" w:color="auto"/>
                <w:bottom w:val="none" w:sz="0" w:space="0" w:color="auto"/>
                <w:right w:val="none" w:sz="0" w:space="0" w:color="auto"/>
              </w:divBdr>
            </w:div>
            <w:div w:id="1278752367">
              <w:marLeft w:val="0"/>
              <w:marRight w:val="0"/>
              <w:marTop w:val="0"/>
              <w:marBottom w:val="0"/>
              <w:divBdr>
                <w:top w:val="none" w:sz="0" w:space="0" w:color="auto"/>
                <w:left w:val="none" w:sz="0" w:space="0" w:color="auto"/>
                <w:bottom w:val="none" w:sz="0" w:space="0" w:color="auto"/>
                <w:right w:val="none" w:sz="0" w:space="0" w:color="auto"/>
              </w:divBdr>
            </w:div>
            <w:div w:id="1653216470">
              <w:marLeft w:val="0"/>
              <w:marRight w:val="0"/>
              <w:marTop w:val="0"/>
              <w:marBottom w:val="0"/>
              <w:divBdr>
                <w:top w:val="none" w:sz="0" w:space="0" w:color="auto"/>
                <w:left w:val="none" w:sz="0" w:space="0" w:color="auto"/>
                <w:bottom w:val="none" w:sz="0" w:space="0" w:color="auto"/>
                <w:right w:val="none" w:sz="0" w:space="0" w:color="auto"/>
              </w:divBdr>
            </w:div>
            <w:div w:id="1990936588">
              <w:marLeft w:val="0"/>
              <w:marRight w:val="0"/>
              <w:marTop w:val="0"/>
              <w:marBottom w:val="0"/>
              <w:divBdr>
                <w:top w:val="none" w:sz="0" w:space="0" w:color="auto"/>
                <w:left w:val="none" w:sz="0" w:space="0" w:color="auto"/>
                <w:bottom w:val="none" w:sz="0" w:space="0" w:color="auto"/>
                <w:right w:val="none" w:sz="0" w:space="0" w:color="auto"/>
              </w:divBdr>
            </w:div>
          </w:divsChild>
        </w:div>
        <w:div w:id="2004160248">
          <w:marLeft w:val="0"/>
          <w:marRight w:val="0"/>
          <w:marTop w:val="0"/>
          <w:marBottom w:val="0"/>
          <w:divBdr>
            <w:top w:val="none" w:sz="0" w:space="0" w:color="auto"/>
            <w:left w:val="none" w:sz="0" w:space="0" w:color="auto"/>
            <w:bottom w:val="none" w:sz="0" w:space="0" w:color="auto"/>
            <w:right w:val="none" w:sz="0" w:space="0" w:color="auto"/>
          </w:divBdr>
        </w:div>
        <w:div w:id="2081711618">
          <w:marLeft w:val="0"/>
          <w:marRight w:val="0"/>
          <w:marTop w:val="0"/>
          <w:marBottom w:val="0"/>
          <w:divBdr>
            <w:top w:val="none" w:sz="0" w:space="0" w:color="auto"/>
            <w:left w:val="none" w:sz="0" w:space="0" w:color="auto"/>
            <w:bottom w:val="none" w:sz="0" w:space="0" w:color="auto"/>
            <w:right w:val="none" w:sz="0" w:space="0" w:color="auto"/>
          </w:divBdr>
        </w:div>
      </w:divsChild>
    </w:div>
    <w:div w:id="1881093896">
      <w:bodyDiv w:val="1"/>
      <w:marLeft w:val="0"/>
      <w:marRight w:val="0"/>
      <w:marTop w:val="0"/>
      <w:marBottom w:val="0"/>
      <w:divBdr>
        <w:top w:val="none" w:sz="0" w:space="0" w:color="auto"/>
        <w:left w:val="none" w:sz="0" w:space="0" w:color="auto"/>
        <w:bottom w:val="none" w:sz="0" w:space="0" w:color="auto"/>
        <w:right w:val="none" w:sz="0" w:space="0" w:color="auto"/>
      </w:divBdr>
    </w:div>
    <w:div w:id="1924222652">
      <w:bodyDiv w:val="1"/>
      <w:marLeft w:val="0"/>
      <w:marRight w:val="0"/>
      <w:marTop w:val="0"/>
      <w:marBottom w:val="0"/>
      <w:divBdr>
        <w:top w:val="none" w:sz="0" w:space="0" w:color="auto"/>
        <w:left w:val="none" w:sz="0" w:space="0" w:color="auto"/>
        <w:bottom w:val="none" w:sz="0" w:space="0" w:color="auto"/>
        <w:right w:val="none" w:sz="0" w:space="0" w:color="auto"/>
      </w:divBdr>
    </w:div>
    <w:div w:id="1927808076">
      <w:bodyDiv w:val="1"/>
      <w:marLeft w:val="0"/>
      <w:marRight w:val="0"/>
      <w:marTop w:val="0"/>
      <w:marBottom w:val="0"/>
      <w:divBdr>
        <w:top w:val="none" w:sz="0" w:space="0" w:color="auto"/>
        <w:left w:val="none" w:sz="0" w:space="0" w:color="auto"/>
        <w:bottom w:val="none" w:sz="0" w:space="0" w:color="auto"/>
        <w:right w:val="none" w:sz="0" w:space="0" w:color="auto"/>
      </w:divBdr>
    </w:div>
    <w:div w:id="1939211556">
      <w:bodyDiv w:val="1"/>
      <w:marLeft w:val="0"/>
      <w:marRight w:val="0"/>
      <w:marTop w:val="0"/>
      <w:marBottom w:val="0"/>
      <w:divBdr>
        <w:top w:val="none" w:sz="0" w:space="0" w:color="auto"/>
        <w:left w:val="none" w:sz="0" w:space="0" w:color="auto"/>
        <w:bottom w:val="none" w:sz="0" w:space="0" w:color="auto"/>
        <w:right w:val="none" w:sz="0" w:space="0" w:color="auto"/>
      </w:divBdr>
    </w:div>
    <w:div w:id="1964842817">
      <w:bodyDiv w:val="1"/>
      <w:marLeft w:val="0"/>
      <w:marRight w:val="0"/>
      <w:marTop w:val="0"/>
      <w:marBottom w:val="0"/>
      <w:divBdr>
        <w:top w:val="none" w:sz="0" w:space="0" w:color="auto"/>
        <w:left w:val="none" w:sz="0" w:space="0" w:color="auto"/>
        <w:bottom w:val="none" w:sz="0" w:space="0" w:color="auto"/>
        <w:right w:val="none" w:sz="0" w:space="0" w:color="auto"/>
      </w:divBdr>
    </w:div>
    <w:div w:id="2018191541">
      <w:bodyDiv w:val="1"/>
      <w:marLeft w:val="0"/>
      <w:marRight w:val="0"/>
      <w:marTop w:val="0"/>
      <w:marBottom w:val="0"/>
      <w:divBdr>
        <w:top w:val="none" w:sz="0" w:space="0" w:color="auto"/>
        <w:left w:val="none" w:sz="0" w:space="0" w:color="auto"/>
        <w:bottom w:val="none" w:sz="0" w:space="0" w:color="auto"/>
        <w:right w:val="none" w:sz="0" w:space="0" w:color="auto"/>
      </w:divBdr>
      <w:divsChild>
        <w:div w:id="390465572">
          <w:marLeft w:val="0"/>
          <w:marRight w:val="0"/>
          <w:marTop w:val="0"/>
          <w:marBottom w:val="0"/>
          <w:divBdr>
            <w:top w:val="none" w:sz="0" w:space="0" w:color="auto"/>
            <w:left w:val="none" w:sz="0" w:space="0" w:color="auto"/>
            <w:bottom w:val="none" w:sz="0" w:space="0" w:color="auto"/>
            <w:right w:val="none" w:sz="0" w:space="0" w:color="auto"/>
          </w:divBdr>
        </w:div>
        <w:div w:id="1295481270">
          <w:marLeft w:val="0"/>
          <w:marRight w:val="0"/>
          <w:marTop w:val="0"/>
          <w:marBottom w:val="0"/>
          <w:divBdr>
            <w:top w:val="none" w:sz="0" w:space="0" w:color="auto"/>
            <w:left w:val="none" w:sz="0" w:space="0" w:color="auto"/>
            <w:bottom w:val="none" w:sz="0" w:space="0" w:color="auto"/>
            <w:right w:val="none" w:sz="0" w:space="0" w:color="auto"/>
          </w:divBdr>
        </w:div>
        <w:div w:id="1546795493">
          <w:marLeft w:val="0"/>
          <w:marRight w:val="0"/>
          <w:marTop w:val="0"/>
          <w:marBottom w:val="0"/>
          <w:divBdr>
            <w:top w:val="none" w:sz="0" w:space="0" w:color="auto"/>
            <w:left w:val="none" w:sz="0" w:space="0" w:color="auto"/>
            <w:bottom w:val="none" w:sz="0" w:space="0" w:color="auto"/>
            <w:right w:val="none" w:sz="0" w:space="0" w:color="auto"/>
          </w:divBdr>
        </w:div>
        <w:div w:id="1806199208">
          <w:marLeft w:val="0"/>
          <w:marRight w:val="0"/>
          <w:marTop w:val="0"/>
          <w:marBottom w:val="0"/>
          <w:divBdr>
            <w:top w:val="none" w:sz="0" w:space="0" w:color="auto"/>
            <w:left w:val="none" w:sz="0" w:space="0" w:color="auto"/>
            <w:bottom w:val="none" w:sz="0" w:space="0" w:color="auto"/>
            <w:right w:val="none" w:sz="0" w:space="0" w:color="auto"/>
          </w:divBdr>
        </w:div>
      </w:divsChild>
    </w:div>
    <w:div w:id="2029867477">
      <w:bodyDiv w:val="1"/>
      <w:marLeft w:val="0"/>
      <w:marRight w:val="0"/>
      <w:marTop w:val="0"/>
      <w:marBottom w:val="0"/>
      <w:divBdr>
        <w:top w:val="none" w:sz="0" w:space="0" w:color="auto"/>
        <w:left w:val="none" w:sz="0" w:space="0" w:color="auto"/>
        <w:bottom w:val="none" w:sz="0" w:space="0" w:color="auto"/>
        <w:right w:val="none" w:sz="0" w:space="0" w:color="auto"/>
      </w:divBdr>
      <w:divsChild>
        <w:div w:id="185675181">
          <w:marLeft w:val="0"/>
          <w:marRight w:val="0"/>
          <w:marTop w:val="0"/>
          <w:marBottom w:val="0"/>
          <w:divBdr>
            <w:top w:val="none" w:sz="0" w:space="0" w:color="auto"/>
            <w:left w:val="none" w:sz="0" w:space="0" w:color="auto"/>
            <w:bottom w:val="none" w:sz="0" w:space="0" w:color="auto"/>
            <w:right w:val="none" w:sz="0" w:space="0" w:color="auto"/>
          </w:divBdr>
          <w:divsChild>
            <w:div w:id="1480342946">
              <w:marLeft w:val="0"/>
              <w:marRight w:val="0"/>
              <w:marTop w:val="0"/>
              <w:marBottom w:val="0"/>
              <w:divBdr>
                <w:top w:val="none" w:sz="0" w:space="0" w:color="auto"/>
                <w:left w:val="none" w:sz="0" w:space="0" w:color="auto"/>
                <w:bottom w:val="none" w:sz="0" w:space="0" w:color="auto"/>
                <w:right w:val="none" w:sz="0" w:space="0" w:color="auto"/>
              </w:divBdr>
            </w:div>
            <w:div w:id="1828085412">
              <w:marLeft w:val="0"/>
              <w:marRight w:val="0"/>
              <w:marTop w:val="0"/>
              <w:marBottom w:val="0"/>
              <w:divBdr>
                <w:top w:val="none" w:sz="0" w:space="0" w:color="auto"/>
                <w:left w:val="none" w:sz="0" w:space="0" w:color="auto"/>
                <w:bottom w:val="none" w:sz="0" w:space="0" w:color="auto"/>
                <w:right w:val="none" w:sz="0" w:space="0" w:color="auto"/>
              </w:divBdr>
            </w:div>
          </w:divsChild>
        </w:div>
        <w:div w:id="1648776968">
          <w:marLeft w:val="0"/>
          <w:marRight w:val="0"/>
          <w:marTop w:val="0"/>
          <w:marBottom w:val="0"/>
          <w:divBdr>
            <w:top w:val="none" w:sz="0" w:space="0" w:color="auto"/>
            <w:left w:val="none" w:sz="0" w:space="0" w:color="auto"/>
            <w:bottom w:val="none" w:sz="0" w:space="0" w:color="auto"/>
            <w:right w:val="none" w:sz="0" w:space="0" w:color="auto"/>
          </w:divBdr>
        </w:div>
      </w:divsChild>
    </w:div>
    <w:div w:id="2035230587">
      <w:bodyDiv w:val="1"/>
      <w:marLeft w:val="0"/>
      <w:marRight w:val="0"/>
      <w:marTop w:val="0"/>
      <w:marBottom w:val="0"/>
      <w:divBdr>
        <w:top w:val="none" w:sz="0" w:space="0" w:color="auto"/>
        <w:left w:val="none" w:sz="0" w:space="0" w:color="auto"/>
        <w:bottom w:val="none" w:sz="0" w:space="0" w:color="auto"/>
        <w:right w:val="none" w:sz="0" w:space="0" w:color="auto"/>
      </w:divBdr>
    </w:div>
    <w:div w:id="2124836350">
      <w:bodyDiv w:val="1"/>
      <w:marLeft w:val="0"/>
      <w:marRight w:val="0"/>
      <w:marTop w:val="0"/>
      <w:marBottom w:val="0"/>
      <w:divBdr>
        <w:top w:val="none" w:sz="0" w:space="0" w:color="auto"/>
        <w:left w:val="none" w:sz="0" w:space="0" w:color="auto"/>
        <w:bottom w:val="none" w:sz="0" w:space="0" w:color="auto"/>
        <w:right w:val="none" w:sz="0" w:space="0" w:color="auto"/>
      </w:divBdr>
      <w:divsChild>
        <w:div w:id="50465920">
          <w:marLeft w:val="0"/>
          <w:marRight w:val="0"/>
          <w:marTop w:val="0"/>
          <w:marBottom w:val="0"/>
          <w:divBdr>
            <w:top w:val="none" w:sz="0" w:space="0" w:color="auto"/>
            <w:left w:val="none" w:sz="0" w:space="0" w:color="auto"/>
            <w:bottom w:val="none" w:sz="0" w:space="0" w:color="auto"/>
            <w:right w:val="none" w:sz="0" w:space="0" w:color="auto"/>
          </w:divBdr>
        </w:div>
        <w:div w:id="211306814">
          <w:marLeft w:val="0"/>
          <w:marRight w:val="0"/>
          <w:marTop w:val="0"/>
          <w:marBottom w:val="0"/>
          <w:divBdr>
            <w:top w:val="none" w:sz="0" w:space="0" w:color="auto"/>
            <w:left w:val="none" w:sz="0" w:space="0" w:color="auto"/>
            <w:bottom w:val="none" w:sz="0" w:space="0" w:color="auto"/>
            <w:right w:val="none" w:sz="0" w:space="0" w:color="auto"/>
          </w:divBdr>
        </w:div>
        <w:div w:id="637419435">
          <w:marLeft w:val="0"/>
          <w:marRight w:val="0"/>
          <w:marTop w:val="0"/>
          <w:marBottom w:val="0"/>
          <w:divBdr>
            <w:top w:val="none" w:sz="0" w:space="0" w:color="auto"/>
            <w:left w:val="none" w:sz="0" w:space="0" w:color="auto"/>
            <w:bottom w:val="none" w:sz="0" w:space="0" w:color="auto"/>
            <w:right w:val="none" w:sz="0" w:space="0" w:color="auto"/>
          </w:divBdr>
        </w:div>
        <w:div w:id="795832043">
          <w:marLeft w:val="0"/>
          <w:marRight w:val="0"/>
          <w:marTop w:val="0"/>
          <w:marBottom w:val="0"/>
          <w:divBdr>
            <w:top w:val="none" w:sz="0" w:space="0" w:color="auto"/>
            <w:left w:val="none" w:sz="0" w:space="0" w:color="auto"/>
            <w:bottom w:val="none" w:sz="0" w:space="0" w:color="auto"/>
            <w:right w:val="none" w:sz="0" w:space="0" w:color="auto"/>
          </w:divBdr>
        </w:div>
        <w:div w:id="1107001248">
          <w:marLeft w:val="0"/>
          <w:marRight w:val="0"/>
          <w:marTop w:val="0"/>
          <w:marBottom w:val="0"/>
          <w:divBdr>
            <w:top w:val="none" w:sz="0" w:space="0" w:color="auto"/>
            <w:left w:val="none" w:sz="0" w:space="0" w:color="auto"/>
            <w:bottom w:val="none" w:sz="0" w:space="0" w:color="auto"/>
            <w:right w:val="none" w:sz="0" w:space="0" w:color="auto"/>
          </w:divBdr>
        </w:div>
        <w:div w:id="1273785935">
          <w:marLeft w:val="0"/>
          <w:marRight w:val="0"/>
          <w:marTop w:val="0"/>
          <w:marBottom w:val="0"/>
          <w:divBdr>
            <w:top w:val="none" w:sz="0" w:space="0" w:color="auto"/>
            <w:left w:val="none" w:sz="0" w:space="0" w:color="auto"/>
            <w:bottom w:val="none" w:sz="0" w:space="0" w:color="auto"/>
            <w:right w:val="none" w:sz="0" w:space="0" w:color="auto"/>
          </w:divBdr>
          <w:divsChild>
            <w:div w:id="1150634338">
              <w:marLeft w:val="0"/>
              <w:marRight w:val="0"/>
              <w:marTop w:val="0"/>
              <w:marBottom w:val="0"/>
              <w:divBdr>
                <w:top w:val="none" w:sz="0" w:space="0" w:color="auto"/>
                <w:left w:val="none" w:sz="0" w:space="0" w:color="auto"/>
                <w:bottom w:val="none" w:sz="0" w:space="0" w:color="auto"/>
                <w:right w:val="none" w:sz="0" w:space="0" w:color="auto"/>
              </w:divBdr>
            </w:div>
            <w:div w:id="2134978165">
              <w:marLeft w:val="0"/>
              <w:marRight w:val="0"/>
              <w:marTop w:val="0"/>
              <w:marBottom w:val="0"/>
              <w:divBdr>
                <w:top w:val="none" w:sz="0" w:space="0" w:color="auto"/>
                <w:left w:val="none" w:sz="0" w:space="0" w:color="auto"/>
                <w:bottom w:val="none" w:sz="0" w:space="0" w:color="auto"/>
                <w:right w:val="none" w:sz="0" w:space="0" w:color="auto"/>
              </w:divBdr>
            </w:div>
          </w:divsChild>
        </w:div>
        <w:div w:id="1306474753">
          <w:marLeft w:val="0"/>
          <w:marRight w:val="0"/>
          <w:marTop w:val="0"/>
          <w:marBottom w:val="0"/>
          <w:divBdr>
            <w:top w:val="none" w:sz="0" w:space="0" w:color="auto"/>
            <w:left w:val="none" w:sz="0" w:space="0" w:color="auto"/>
            <w:bottom w:val="none" w:sz="0" w:space="0" w:color="auto"/>
            <w:right w:val="none" w:sz="0" w:space="0" w:color="auto"/>
          </w:divBdr>
        </w:div>
        <w:div w:id="1377660242">
          <w:marLeft w:val="0"/>
          <w:marRight w:val="0"/>
          <w:marTop w:val="0"/>
          <w:marBottom w:val="0"/>
          <w:divBdr>
            <w:top w:val="none" w:sz="0" w:space="0" w:color="auto"/>
            <w:left w:val="none" w:sz="0" w:space="0" w:color="auto"/>
            <w:bottom w:val="none" w:sz="0" w:space="0" w:color="auto"/>
            <w:right w:val="none" w:sz="0" w:space="0" w:color="auto"/>
          </w:divBdr>
        </w:div>
        <w:div w:id="1544056413">
          <w:marLeft w:val="0"/>
          <w:marRight w:val="0"/>
          <w:marTop w:val="0"/>
          <w:marBottom w:val="0"/>
          <w:divBdr>
            <w:top w:val="none" w:sz="0" w:space="0" w:color="auto"/>
            <w:left w:val="none" w:sz="0" w:space="0" w:color="auto"/>
            <w:bottom w:val="none" w:sz="0" w:space="0" w:color="auto"/>
            <w:right w:val="none" w:sz="0" w:space="0" w:color="auto"/>
          </w:divBdr>
        </w:div>
        <w:div w:id="2052915604">
          <w:marLeft w:val="0"/>
          <w:marRight w:val="0"/>
          <w:marTop w:val="0"/>
          <w:marBottom w:val="0"/>
          <w:divBdr>
            <w:top w:val="none" w:sz="0" w:space="0" w:color="auto"/>
            <w:left w:val="none" w:sz="0" w:space="0" w:color="auto"/>
            <w:bottom w:val="none" w:sz="0" w:space="0" w:color="auto"/>
            <w:right w:val="none" w:sz="0" w:space="0" w:color="auto"/>
          </w:divBdr>
        </w:div>
        <w:div w:id="2128157336">
          <w:marLeft w:val="0"/>
          <w:marRight w:val="0"/>
          <w:marTop w:val="0"/>
          <w:marBottom w:val="0"/>
          <w:divBdr>
            <w:top w:val="none" w:sz="0" w:space="0" w:color="auto"/>
            <w:left w:val="none" w:sz="0" w:space="0" w:color="auto"/>
            <w:bottom w:val="none" w:sz="0" w:space="0" w:color="auto"/>
            <w:right w:val="none" w:sz="0" w:space="0" w:color="auto"/>
          </w:divBdr>
        </w:div>
      </w:divsChild>
    </w:div>
    <w:div w:id="2138253622">
      <w:bodyDiv w:val="1"/>
      <w:marLeft w:val="0"/>
      <w:marRight w:val="0"/>
      <w:marTop w:val="0"/>
      <w:marBottom w:val="0"/>
      <w:divBdr>
        <w:top w:val="none" w:sz="0" w:space="0" w:color="auto"/>
        <w:left w:val="none" w:sz="0" w:space="0" w:color="auto"/>
        <w:bottom w:val="none" w:sz="0" w:space="0" w:color="auto"/>
        <w:right w:val="none" w:sz="0" w:space="0" w:color="auto"/>
      </w:divBdr>
    </w:div>
    <w:div w:id="21416788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eur-lex.europa.eu/legal-content/EN/TXT/?uri=CELEX:52018SC0021" TargetMode="External"/><Relationship Id="rId21" Type="http://schemas.openxmlformats.org/officeDocument/2006/relationships/image" Target="media/image7.png"/><Relationship Id="rId42" Type="http://schemas.openxmlformats.org/officeDocument/2006/relationships/image" Target="media/image28.png"/><Relationship Id="rId63" Type="http://schemas.openxmlformats.org/officeDocument/2006/relationships/image" Target="media/image43.png"/><Relationship Id="rId84" Type="http://schemas.openxmlformats.org/officeDocument/2006/relationships/image" Target="media/image58.png"/><Relationship Id="rId138" Type="http://schemas.openxmlformats.org/officeDocument/2006/relationships/hyperlink" Target="https://www.eea.europa.eu/publications/emep-eea-guidebook-2023/part-b-sectoral-guidance-chapters/1-energy/1-a-combustion/1-a-3-d-navigation/view" TargetMode="External"/><Relationship Id="rId159" Type="http://schemas.openxmlformats.org/officeDocument/2006/relationships/hyperlink" Target="http://data.europa.eu/eli/dir/2016/802/oj" TargetMode="External"/><Relationship Id="rId170" Type="http://schemas.openxmlformats.org/officeDocument/2006/relationships/hyperlink" Target="https://cedelft.eu/wp-content/uploads/sites/2/2023/03/CE_Delft_220512_Preventing_spills_of_plastic_pellets_DEF1-1.pdf" TargetMode="External"/><Relationship Id="rId191" Type="http://schemas.openxmlformats.org/officeDocument/2006/relationships/hyperlink" Target="https://wwwcdn.imo.org/localresources/en/Documents/MEPC.1-Circ.906%20-%20Revised%20Guidelines%20For%20The%20Reduction%20Of%20Underwater%20Radiated%20NoiseFrom%20Shipping%20To%20Address...%20(Secretariat).pdf" TargetMode="External"/><Relationship Id="rId205" Type="http://schemas.openxmlformats.org/officeDocument/2006/relationships/hyperlink" Target="https://oaarchive.arctic-council.org/bitstream/handle/11374/2735/ASSR%202%20-%20October%2020.pdf" TargetMode="External"/><Relationship Id="rId226" Type="http://schemas.openxmlformats.org/officeDocument/2006/relationships/image" Target="media/image75.jpg"/><Relationship Id="rId107" Type="http://schemas.openxmlformats.org/officeDocument/2006/relationships/hyperlink" Target="https://www.ansto.gov.au/our-science/nuclear-technologies/reactor-systems/advanced-reactors/evolution-of-molten-salt" TargetMode="External"/><Relationship Id="rId11" Type="http://schemas.openxmlformats.org/officeDocument/2006/relationships/image" Target="media/image1.png"/><Relationship Id="rId32" Type="http://schemas.openxmlformats.org/officeDocument/2006/relationships/image" Target="media/image18.png"/><Relationship Id="rId53" Type="http://schemas.openxmlformats.org/officeDocument/2006/relationships/image" Target="media/image37.emf"/><Relationship Id="rId74" Type="http://schemas.openxmlformats.org/officeDocument/2006/relationships/image" Target="media/image48.png"/><Relationship Id="rId128" Type="http://schemas.openxmlformats.org/officeDocument/2006/relationships/hyperlink" Target="https://climate.ec.europa.eu/system/files/2023-03/swd_2023_54_en.pdf" TargetMode="External"/><Relationship Id="rId149" Type="http://schemas.openxmlformats.org/officeDocument/2006/relationships/hyperlink" Target="https://eur-lex.europa.eu/legal-content/EN/TXT/?uri=CELEX%3A32002L0059&amp;qid=1698323593416" TargetMode="External"/><Relationship Id="rId5" Type="http://schemas.openxmlformats.org/officeDocument/2006/relationships/numbering" Target="numbering.xml"/><Relationship Id="rId95" Type="http://schemas.openxmlformats.org/officeDocument/2006/relationships/hyperlink" Target="https://www.maritimebatteryforum.com/ship-register" TargetMode="External"/><Relationship Id="rId160" Type="http://schemas.openxmlformats.org/officeDocument/2006/relationships/hyperlink" Target="https://eur-lex.europa.eu/legal-content/EN/TXT/?toc=OJ%3AL%3A2016%3A344%3ATOC&amp;uri=uriserv%3AOJ.L_.2016.344.01.0001.01.ENG" TargetMode="External"/><Relationship Id="rId181" Type="http://schemas.openxmlformats.org/officeDocument/2006/relationships/hyperlink" Target="https://www.imo.org/en/About/Conventions/Pages/International-Convention-for-the-Control-and-Management-of-Ships%27-Ballast-Water-and-Sediments-(BWM).aspx" TargetMode="External"/><Relationship Id="rId216" Type="http://schemas.openxmlformats.org/officeDocument/2006/relationships/hyperlink" Target="https://unctad.org/system/files/official-document/rmt2023_en.pdf" TargetMode="External"/><Relationship Id="rId237" Type="http://schemas.microsoft.com/office/2020/10/relationships/intelligence" Target="intelligence2.xml"/><Relationship Id="rId22" Type="http://schemas.openxmlformats.org/officeDocument/2006/relationships/image" Target="media/image8.png"/><Relationship Id="rId43" Type="http://schemas.openxmlformats.org/officeDocument/2006/relationships/chart" Target="charts/chart2.xml"/><Relationship Id="rId64" Type="http://schemas.openxmlformats.org/officeDocument/2006/relationships/image" Target="cid:image001.png@01DA4889.8A5D2310" TargetMode="External"/><Relationship Id="rId118" Type="http://schemas.openxmlformats.org/officeDocument/2006/relationships/hyperlink" Target="https://climate.ec.europa.eu/system/files/2020-05/swd_2020_82_en.pdf" TargetMode="External"/><Relationship Id="rId139" Type="http://schemas.openxmlformats.org/officeDocument/2006/relationships/hyperlink" Target="https://www.eea.europa.eu/publications/maritime-transport" TargetMode="External"/><Relationship Id="rId85" Type="http://schemas.openxmlformats.org/officeDocument/2006/relationships/image" Target="media/image59.png"/><Relationship Id="rId150" Type="http://schemas.openxmlformats.org/officeDocument/2006/relationships/hyperlink" Target="http://data.europa.eu/eli/dir/2005/35/oj" TargetMode="External"/><Relationship Id="rId171" Type="http://schemas.openxmlformats.org/officeDocument/2006/relationships/hyperlink" Target="https://www.ilmatieteenlaitos.fi/" TargetMode="External"/><Relationship Id="rId192" Type="http://schemas.openxmlformats.org/officeDocument/2006/relationships/hyperlink" Target="https://www.ipcc-nggip.iges.or.jp/public/2006gl/" TargetMode="External"/><Relationship Id="rId206" Type="http://schemas.openxmlformats.org/officeDocument/2006/relationships/hyperlink" Target="https://doi.org/10.3389/fmars.2019.00486" TargetMode="External"/><Relationship Id="rId227" Type="http://schemas.openxmlformats.org/officeDocument/2006/relationships/hyperlink" Target="http://ec.europa.eu/environment/waste/ships/list.htm" TargetMode="External"/><Relationship Id="rId12" Type="http://schemas.openxmlformats.org/officeDocument/2006/relationships/image" Target="media/image2.png"/><Relationship Id="rId33" Type="http://schemas.openxmlformats.org/officeDocument/2006/relationships/image" Target="media/image19.png"/><Relationship Id="rId108" Type="http://schemas.openxmlformats.org/officeDocument/2006/relationships/hyperlink" Target="https://doi.org/10.1016/j.prime.2023.100132" TargetMode="External"/><Relationship Id="rId129" Type="http://schemas.openxmlformats.org/officeDocument/2006/relationships/hyperlink" Target="https://eur-lex.europa.eu/LexUriServ/LexUriServ.do?uri=SWD:2023:0164:FIN:EN:PDF" TargetMode="External"/><Relationship Id="rId54" Type="http://schemas.openxmlformats.org/officeDocument/2006/relationships/chart" Target="charts/chart3.xml"/><Relationship Id="rId75" Type="http://schemas.openxmlformats.org/officeDocument/2006/relationships/image" Target="media/image49.png"/><Relationship Id="rId96" Type="http://schemas.openxmlformats.org/officeDocument/2006/relationships/chart" Target="charts/chart11.xml"/><Relationship Id="rId140" Type="http://schemas.openxmlformats.org/officeDocument/2006/relationships/hyperlink" Target="https://www.egcsa.com/map-regulations/" TargetMode="External"/><Relationship Id="rId161" Type="http://schemas.openxmlformats.org/officeDocument/2006/relationships/hyperlink" Target="http://data.europa.eu/eli/dec/2017/848/oj/eng" TargetMode="External"/><Relationship Id="rId182" Type="http://schemas.openxmlformats.org/officeDocument/2006/relationships/hyperlink" Target="https://wwwcdn.imo.org/localresources/en/OurWork/Environment/Documents/Fourth%20IMO%20GHG%20Study%202020%20-%20Full%20report%20and%20annexes.pdf" TargetMode="External"/><Relationship Id="rId217" Type="http://schemas.openxmlformats.org/officeDocument/2006/relationships/hyperlink" Target="https://ozone.unep.org/treaties/vienna-convention" TargetMode="External"/><Relationship Id="rId6" Type="http://schemas.openxmlformats.org/officeDocument/2006/relationships/styles" Target="styles.xml"/><Relationship Id="rId23" Type="http://schemas.openxmlformats.org/officeDocument/2006/relationships/image" Target="media/image9.png"/><Relationship Id="rId119" Type="http://schemas.openxmlformats.org/officeDocument/2006/relationships/hyperlink" Target="https://eur-lex.europa.eu/legal-content/EN/TXT/?uri=celex%3A52020DC0380" TargetMode="External"/><Relationship Id="rId44" Type="http://schemas.openxmlformats.org/officeDocument/2006/relationships/image" Target="media/image29.png"/><Relationship Id="rId65" Type="http://schemas.openxmlformats.org/officeDocument/2006/relationships/image" Target="media/image44.png"/><Relationship Id="rId86" Type="http://schemas.openxmlformats.org/officeDocument/2006/relationships/image" Target="media/image60.png"/><Relationship Id="rId130" Type="http://schemas.openxmlformats.org/officeDocument/2006/relationships/hyperlink" Target="https://dopa.jrc.ec.europa.eu/kcbd/dashboard/" TargetMode="External"/><Relationship Id="rId151" Type="http://schemas.openxmlformats.org/officeDocument/2006/relationships/hyperlink" Target="http://data.europa.eu/eli/reg/2006/1013/oj/eng" TargetMode="External"/><Relationship Id="rId172" Type="http://schemas.openxmlformats.org/officeDocument/2006/relationships/hyperlink" Target="https://doi.org/10.3389/fenvc.2023.1090704" TargetMode="External"/><Relationship Id="rId193" Type="http://schemas.openxmlformats.org/officeDocument/2006/relationships/hyperlink" Target="https://www.ipcc.ch/report/ar6/syr/" TargetMode="External"/><Relationship Id="rId207" Type="http://schemas.openxmlformats.org/officeDocument/2006/relationships/hyperlink" Target="https://ec.europa.eu/research/participants/documents/downloadPublic?documentIds=080166e5ef78dda7&amp;appId=PPGMS" TargetMode="External"/><Relationship Id="rId228" Type="http://schemas.openxmlformats.org/officeDocument/2006/relationships/hyperlink" Target="https://eur-lex.europa.eu/legal-content/EN/AUTO/?uri=celex:32016D2323" TargetMode="External"/><Relationship Id="rId13" Type="http://schemas.openxmlformats.org/officeDocument/2006/relationships/image" Target="media/image3.png"/><Relationship Id="rId109" Type="http://schemas.openxmlformats.org/officeDocument/2006/relationships/hyperlink" Target="https://doi.org/10.1533/9780857095343.6.842" TargetMode="External"/><Relationship Id="rId34" Type="http://schemas.openxmlformats.org/officeDocument/2006/relationships/image" Target="media/image20.png"/><Relationship Id="rId55" Type="http://schemas.openxmlformats.org/officeDocument/2006/relationships/chart" Target="charts/chart4.xml"/><Relationship Id="rId76" Type="http://schemas.openxmlformats.org/officeDocument/2006/relationships/image" Target="media/image50.png"/><Relationship Id="rId97" Type="http://schemas.openxmlformats.org/officeDocument/2006/relationships/image" Target="media/image67.jpeg"/><Relationship Id="rId120" Type="http://schemas.openxmlformats.org/officeDocument/2006/relationships/hyperlink" Target="https://ec.europa.eu/clima/policies/ets_en" TargetMode="External"/><Relationship Id="rId141" Type="http://schemas.openxmlformats.org/officeDocument/2006/relationships/hyperlink" Target="https://ows.emodnet-humanactivities.eu:/geonetwork/srv/api/records/d3e86612-35a7-4c0f-a995-245062fd2792" TargetMode="External"/><Relationship Id="rId7" Type="http://schemas.openxmlformats.org/officeDocument/2006/relationships/settings" Target="settings.xml"/><Relationship Id="rId162" Type="http://schemas.openxmlformats.org/officeDocument/2006/relationships/hyperlink" Target="http://data.europa.eu/eli/dec/2017/848/oj/eng" TargetMode="External"/><Relationship Id="rId183" Type="http://schemas.openxmlformats.org/officeDocument/2006/relationships/hyperlink" Target="https://www.imo.org/en/MediaCentre/HotTopics/Pages/Sulphur-2020.aspx" TargetMode="External"/><Relationship Id="rId218" Type="http://schemas.openxmlformats.org/officeDocument/2006/relationships/hyperlink" Target="https://ozone.unep.org/treaties/montreal-protocol" TargetMode="External"/><Relationship Id="rId24" Type="http://schemas.openxmlformats.org/officeDocument/2006/relationships/image" Target="media/image10.png"/><Relationship Id="rId45" Type="http://schemas.openxmlformats.org/officeDocument/2006/relationships/image" Target="media/image30.jpg"/><Relationship Id="rId66" Type="http://schemas.openxmlformats.org/officeDocument/2006/relationships/image" Target="cid:image002.png@01DA4889.8A5D2310" TargetMode="External"/><Relationship Id="rId87" Type="http://schemas.openxmlformats.org/officeDocument/2006/relationships/image" Target="media/image61.png"/><Relationship Id="rId110" Type="http://schemas.openxmlformats.org/officeDocument/2006/relationships/hyperlink" Target="https://cruising.org/-/media/clia-media/research/2023/2023-clia-state-of-the-cruise-industry-report_low-res.ashx" TargetMode="External"/><Relationship Id="rId131" Type="http://schemas.openxmlformats.org/officeDocument/2006/relationships/hyperlink" Target="https://data.europa.eu/doi/10.2771/7151" TargetMode="External"/><Relationship Id="rId152" Type="http://schemas.openxmlformats.org/officeDocument/2006/relationships/hyperlink" Target="https://eur-lex.europa.eu/legal-content/EN/TXT/PDF/?uri=CELEX:32022R0720" TargetMode="External"/><Relationship Id="rId173" Type="http://schemas.openxmlformats.org/officeDocument/2006/relationships/hyperlink" Target="https://doi.org/10.17895/ices.pub.7487" TargetMode="External"/><Relationship Id="rId194" Type="http://schemas.openxmlformats.org/officeDocument/2006/relationships/hyperlink" Target="https://www.researchgate.net/profile/Gregory-Silber-2/publication/332539367_Strategic_Plan_to_Mitigate_the_Impacts_of_Ship_Strikes_on_Cetacean_Populations_2017-2020/links/5cbada314585156cd7a4844f/Strategic-Plan-to-Mitigate-the-Impacts-of-Ship-Strikes-on-Cetacean-Populations-2017-2020.pdf" TargetMode="External"/><Relationship Id="rId208" Type="http://schemas.openxmlformats.org/officeDocument/2006/relationships/hyperlink" Target="https://www.ipcc.ch/site/assets/uploads/2018/03/TAR-04.pdf" TargetMode="External"/><Relationship Id="rId229" Type="http://schemas.openxmlformats.org/officeDocument/2006/relationships/header" Target="header4.xml"/><Relationship Id="rId14" Type="http://schemas.openxmlformats.org/officeDocument/2006/relationships/chart" Target="charts/chart1.xml"/><Relationship Id="rId35" Type="http://schemas.openxmlformats.org/officeDocument/2006/relationships/image" Target="media/image21.png"/><Relationship Id="rId56" Type="http://schemas.openxmlformats.org/officeDocument/2006/relationships/chart" Target="charts/chart5.xml"/><Relationship Id="rId77" Type="http://schemas.openxmlformats.org/officeDocument/2006/relationships/image" Target="media/image51.png"/><Relationship Id="rId100" Type="http://schemas.openxmlformats.org/officeDocument/2006/relationships/image" Target="media/image69.png"/><Relationship Id="rId8" Type="http://schemas.openxmlformats.org/officeDocument/2006/relationships/webSettings" Target="webSettings.xml"/><Relationship Id="rId98" Type="http://schemas.openxmlformats.org/officeDocument/2006/relationships/image" Target="cid:image002.jpg@01D9F2C6.4304E160" TargetMode="External"/><Relationship Id="rId121" Type="http://schemas.openxmlformats.org/officeDocument/2006/relationships/hyperlink" Target="https://climate.ec.europa.eu/system/files/2021-08/c_2021_6022_en.pdf" TargetMode="External"/><Relationship Id="rId142" Type="http://schemas.openxmlformats.org/officeDocument/2006/relationships/hyperlink" Target="https://www.emsa.europa.eu/emcip.html" TargetMode="External"/><Relationship Id="rId163" Type="http://schemas.openxmlformats.org/officeDocument/2006/relationships/hyperlink" Target="http://data.europa.eu/eli/reg/2018/1999/oj/eng" TargetMode="External"/><Relationship Id="rId184" Type="http://schemas.openxmlformats.org/officeDocument/2006/relationships/hyperlink" Target="https://wwwcdn.imo.org/localresources/en/KnowledgeCentre/IndexofIMOResolutions/MEPCDocuments/MEPC.340(77).pdf" TargetMode="External"/><Relationship Id="rId219" Type="http://schemas.openxmlformats.org/officeDocument/2006/relationships/hyperlink" Target="https://www.unep.org/resources/report/marine-litter-analytical-overview" TargetMode="External"/><Relationship Id="rId230" Type="http://schemas.openxmlformats.org/officeDocument/2006/relationships/header" Target="header5.xml"/><Relationship Id="rId25" Type="http://schemas.openxmlformats.org/officeDocument/2006/relationships/image" Target="media/image11.png"/><Relationship Id="rId46" Type="http://schemas.openxmlformats.org/officeDocument/2006/relationships/image" Target="media/image31.jpg"/><Relationship Id="rId67" Type="http://schemas.openxmlformats.org/officeDocument/2006/relationships/image" Target="media/image45.png"/><Relationship Id="rId88" Type="http://schemas.openxmlformats.org/officeDocument/2006/relationships/image" Target="media/image62.png"/><Relationship Id="rId111" Type="http://schemas.openxmlformats.org/officeDocument/2006/relationships/hyperlink" Target="https://www.emsa.europa.eu/newsroom/latest-news/download/6881/4569/23.html" TargetMode="External"/><Relationship Id="rId132" Type="http://schemas.openxmlformats.org/officeDocument/2006/relationships/hyperlink" Target="https://www.eea.europa.eu/data-and-maps/indicators/trends-in-marine-alien-species-1/assessment" TargetMode="External"/><Relationship Id="rId153" Type="http://schemas.openxmlformats.org/officeDocument/2006/relationships/hyperlink" Target="https://eur-lex.europa.eu/legal-content/EN/TXT/PDF/?uri=CELEX:32008L0105" TargetMode="External"/><Relationship Id="rId174" Type="http://schemas.openxmlformats.org/officeDocument/2006/relationships/hyperlink" Target="https://theicct.org/event/6th-workshop-on-marine-black-carbon-emissions/" TargetMode="External"/><Relationship Id="rId195" Type="http://schemas.openxmlformats.org/officeDocument/2006/relationships/hyperlink" Target="https://doi.org/10.2760/820175" TargetMode="External"/><Relationship Id="rId209" Type="http://schemas.openxmlformats.org/officeDocument/2006/relationships/hyperlink" Target="https://doi.org/10.1126/science.1176985" TargetMode="External"/><Relationship Id="rId190" Type="http://schemas.openxmlformats.org/officeDocument/2006/relationships/hyperlink" Target="https://wwwcdn.imo.org/localresources/en/OurWork/Environment/Documents/annex/MEPC%2080/Annex%2014.pdf" TargetMode="External"/><Relationship Id="rId204" Type="http://schemas.openxmlformats.org/officeDocument/2006/relationships/hyperlink" Target="https://oap-cloudfront.ospar.org/media/filer_public/fe/78/fe78b829-5ba5-47e3-805c-09315c16c29c/p00890_modelling_flue_gas_exhaust_scrubber_report_.pdf" TargetMode="External"/><Relationship Id="rId220" Type="http://schemas.openxmlformats.org/officeDocument/2006/relationships/hyperlink" Target="https://ec.europa.eu/clima/news/eu-ratifies-kigali-amendment-montreal-protocol_en" TargetMode="External"/><Relationship Id="rId225" Type="http://schemas.openxmlformats.org/officeDocument/2006/relationships/hyperlink" Target="https://doi.org/10.1016/j.atmosenv.2016.09.022" TargetMode="External"/><Relationship Id="rId15" Type="http://schemas.openxmlformats.org/officeDocument/2006/relationships/image" Target="media/image4.png"/><Relationship Id="rId36" Type="http://schemas.openxmlformats.org/officeDocument/2006/relationships/image" Target="media/image22.png"/><Relationship Id="rId57" Type="http://schemas.openxmlformats.org/officeDocument/2006/relationships/image" Target="media/image38.png"/><Relationship Id="rId106" Type="http://schemas.openxmlformats.org/officeDocument/2006/relationships/hyperlink" Target="https://www.amap.no/documents/doc/arctic-climate-change-update-2021-key-trends-and-impacts.-summary-for-policy-makers/3508" TargetMode="External"/><Relationship Id="rId127" Type="http://schemas.openxmlformats.org/officeDocument/2006/relationships/hyperlink" Target="https://eur-lex.europa.eu/legal-content/EN/TXT/?uri=CELEX:52021PC0557" TargetMode="External"/><Relationship Id="rId10" Type="http://schemas.openxmlformats.org/officeDocument/2006/relationships/endnotes" Target="endnotes.xml"/><Relationship Id="rId31" Type="http://schemas.openxmlformats.org/officeDocument/2006/relationships/image" Target="media/image17.png"/><Relationship Id="rId52" Type="http://schemas.openxmlformats.org/officeDocument/2006/relationships/image" Target="media/image36.png"/><Relationship Id="rId73" Type="http://schemas.openxmlformats.org/officeDocument/2006/relationships/image" Target="media/image47.png"/><Relationship Id="rId78" Type="http://schemas.openxmlformats.org/officeDocument/2006/relationships/image" Target="media/image52.jpeg"/><Relationship Id="rId94" Type="http://schemas.openxmlformats.org/officeDocument/2006/relationships/image" Target="media/image66.png"/><Relationship Id="rId99" Type="http://schemas.openxmlformats.org/officeDocument/2006/relationships/image" Target="media/image68.png"/><Relationship Id="rId101" Type="http://schemas.openxmlformats.org/officeDocument/2006/relationships/image" Target="media/image70.png"/><Relationship Id="rId122" Type="http://schemas.openxmlformats.org/officeDocument/2006/relationships/hyperlink" Target="https://commission.europa.eu/news/commission-presents-renewable-energy-directive-revision-2021-07-14_en" TargetMode="External"/><Relationship Id="rId143" Type="http://schemas.openxmlformats.org/officeDocument/2006/relationships/hyperlink" Target="https://www.emsa.europa.eu/newsroom/covid19-impact/item/4795-july-2022-covid-19-impact-on-shipping-report.html" TargetMode="External"/><Relationship Id="rId148" Type="http://schemas.openxmlformats.org/officeDocument/2006/relationships/hyperlink" Target="http://data.europa.eu/eli/dir/2000/60/2014-11-20" TargetMode="External"/><Relationship Id="rId164" Type="http://schemas.openxmlformats.org/officeDocument/2006/relationships/hyperlink" Target="https://eur-lex.europa.eu/legal-content/EN/TXT/PDF/?uri=CELEX:32019L0883" TargetMode="External"/><Relationship Id="rId169" Type="http://schemas.openxmlformats.org/officeDocument/2006/relationships/hyperlink" Target="https://view.officeapps.live.com/op/view.aspx?src=https%3A%2F%2Fec.europa.eu%2Feurostat%2Fstatistics-explained%2Fimages%2Fa%2Fa9%2FSE_Article_Maritime_Freight-Vessels_2022-11.xlsx&amp;wdOrigin=BROWSELINK" TargetMode="External"/><Relationship Id="rId185" Type="http://schemas.openxmlformats.org/officeDocument/2006/relationships/hyperlink" Target="https://wwwcdn.imo.org/localresources/en/OurWork/Environment/Documents/annex/resolution%20MEPC%20361(79).pdf"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imo.org/en/MediaCentre/MeetingSummaries/Pages/MEPC-69th-session.aspx" TargetMode="External"/><Relationship Id="rId210" Type="http://schemas.openxmlformats.org/officeDocument/2006/relationships/hyperlink" Target="https://doi.org/10.3389/fmars.2020.00292" TargetMode="External"/><Relationship Id="rId215" Type="http://schemas.openxmlformats.org/officeDocument/2006/relationships/hyperlink" Target="https://unctad.org/system/files/official-document/rmt2019_en.pdf" TargetMode="External"/><Relationship Id="rId236" Type="http://schemas.microsoft.com/office/2019/05/relationships/documenttasks" Target="documenttasks/documenttasks1.xml"/><Relationship Id="rId26" Type="http://schemas.openxmlformats.org/officeDocument/2006/relationships/image" Target="media/image12.png"/><Relationship Id="rId231" Type="http://schemas.openxmlformats.org/officeDocument/2006/relationships/footer" Target="footer3.xml"/><Relationship Id="rId47" Type="http://schemas.openxmlformats.org/officeDocument/2006/relationships/image" Target="media/image32.png"/><Relationship Id="rId68" Type="http://schemas.openxmlformats.org/officeDocument/2006/relationships/chart" Target="charts/chart7.xml"/><Relationship Id="rId89" Type="http://schemas.openxmlformats.org/officeDocument/2006/relationships/image" Target="media/image63.png"/><Relationship Id="rId112" Type="http://schemas.openxmlformats.org/officeDocument/2006/relationships/hyperlink" Target="https://currentdirect.eu/" TargetMode="External"/><Relationship Id="rId133" Type="http://schemas.openxmlformats.org/officeDocument/2006/relationships/hyperlink" Target="https://www.eea.europa.eu/publications/air-quality-in-europe-2022" TargetMode="External"/><Relationship Id="rId154" Type="http://schemas.openxmlformats.org/officeDocument/2006/relationships/hyperlink" Target="http://data.europa.eu/eli/dir/2009/18/oj" TargetMode="External"/><Relationship Id="rId175" Type="http://schemas.openxmlformats.org/officeDocument/2006/relationships/hyperlink" Target="https://www.iea.org/data-and-statistics/charts/annual-change-in-co2-emissions-from-energy-combustion-and-industrial-processes-1900-2021" TargetMode="External"/><Relationship Id="rId196" Type="http://schemas.openxmlformats.org/officeDocument/2006/relationships/hyperlink" Target="https://doi.org/10.1080/25725084.2020.1792392" TargetMode="External"/><Relationship Id="rId200" Type="http://schemas.openxmlformats.org/officeDocument/2006/relationships/hyperlink" Target="https://doi.org/10.1016/j.trd.2021.102912" TargetMode="External"/><Relationship Id="rId16" Type="http://schemas.openxmlformats.org/officeDocument/2006/relationships/header" Target="header1.xml"/><Relationship Id="rId221" Type="http://schemas.openxmlformats.org/officeDocument/2006/relationships/hyperlink" Target="https://www.gov.uk/government/publications/cop-26-clydebank-declaration-for-green-shipping-corridors" TargetMode="External"/><Relationship Id="rId37" Type="http://schemas.openxmlformats.org/officeDocument/2006/relationships/image" Target="media/image23.png"/><Relationship Id="rId58" Type="http://schemas.openxmlformats.org/officeDocument/2006/relationships/chart" Target="charts/chart6.xml"/><Relationship Id="rId79" Type="http://schemas.openxmlformats.org/officeDocument/2006/relationships/image" Target="media/image53.png"/><Relationship Id="rId102" Type="http://schemas.openxmlformats.org/officeDocument/2006/relationships/image" Target="media/image71.emf"/><Relationship Id="rId123" Type="http://schemas.openxmlformats.org/officeDocument/2006/relationships/hyperlink" Target="https://eur-lex.europa.eu/legal-content/EN/TXT/HTML/?uri=CELEX:52021DC0550&amp;from=EN" TargetMode="External"/><Relationship Id="rId144" Type="http://schemas.openxmlformats.org/officeDocument/2006/relationships/hyperlink" Target="https://www.emsa.europa.eu/about/financial-regulations/items.html?cid=14:technical&amp;id=4834" TargetMode="External"/><Relationship Id="rId90" Type="http://schemas.openxmlformats.org/officeDocument/2006/relationships/hyperlink" Target="https://emodnet.ec.europa.eu/geonetwork/srv/eng/catalog.search" TargetMode="External"/><Relationship Id="rId165" Type="http://schemas.openxmlformats.org/officeDocument/2006/relationships/hyperlink" Target="https://eur-lex.europa.eu/legal-content/EN/TXT/HTML/?uri=CELEX:32019L0904&amp;from=EN" TargetMode="External"/><Relationship Id="rId186" Type="http://schemas.openxmlformats.org/officeDocument/2006/relationships/hyperlink" Target="https://www.imo.org/en/MediaCentre/MeetingSummaries/Pages/CCC-8th-session.aspx" TargetMode="External"/><Relationship Id="rId211" Type="http://schemas.openxmlformats.org/officeDocument/2006/relationships/hyperlink" Target="https://doi.org/10.3390/catal11030404" TargetMode="External"/><Relationship Id="rId232" Type="http://schemas.openxmlformats.org/officeDocument/2006/relationships/header" Target="header6.xml"/><Relationship Id="rId27" Type="http://schemas.openxmlformats.org/officeDocument/2006/relationships/image" Target="media/image13.png"/><Relationship Id="rId48" Type="http://schemas.openxmlformats.org/officeDocument/2006/relationships/image" Target="media/image33.png"/><Relationship Id="rId69" Type="http://schemas.openxmlformats.org/officeDocument/2006/relationships/chart" Target="charts/chart8.xml"/><Relationship Id="rId113" Type="http://schemas.openxmlformats.org/officeDocument/2006/relationships/hyperlink" Target="https://www.safety4sea.com/wp-content/uploads/2016/06/DNV-GL-Brochure-Black-Carbon-2016_06.pdf" TargetMode="External"/><Relationship Id="rId134" Type="http://schemas.openxmlformats.org/officeDocument/2006/relationships/hyperlink" Target="https://data.europa.eu/doi/10.2800/088047" TargetMode="External"/><Relationship Id="rId80" Type="http://schemas.openxmlformats.org/officeDocument/2006/relationships/image" Target="media/image54.png"/><Relationship Id="rId155" Type="http://schemas.openxmlformats.org/officeDocument/2006/relationships/hyperlink" Target="http://data.europa.eu/eli/dir/2009/123/oj" TargetMode="External"/><Relationship Id="rId176" Type="http://schemas.openxmlformats.org/officeDocument/2006/relationships/hyperlink" Target="https://iea.blob.core.windows.net/assets/830fe099-5530-48f2-a7c1-11f35d510983/WorldEnergyOutlook2022.pdf" TargetMode="External"/><Relationship Id="rId197" Type="http://schemas.openxmlformats.org/officeDocument/2006/relationships/hyperlink" Target="https://www.kimointernational.org/fishing-for-litter/" TargetMode="External"/><Relationship Id="rId201" Type="http://schemas.openxmlformats.org/officeDocument/2006/relationships/hyperlink" Target="https://doi.org/10.1016/j.scitotenv.2021.152721" TargetMode="External"/><Relationship Id="rId222" Type="http://schemas.openxmlformats.org/officeDocument/2006/relationships/hyperlink" Target="https://www3.weforum.org/docs/WEF_A%20Strategy_for_the_Transition_to_Zero_Emission_Shipping_2021.pdf" TargetMode="External"/><Relationship Id="rId17" Type="http://schemas.openxmlformats.org/officeDocument/2006/relationships/header" Target="header2.xml"/><Relationship Id="rId38" Type="http://schemas.openxmlformats.org/officeDocument/2006/relationships/image" Target="media/image24.png"/><Relationship Id="rId59" Type="http://schemas.openxmlformats.org/officeDocument/2006/relationships/image" Target="media/image39.png"/><Relationship Id="rId103" Type="http://schemas.openxmlformats.org/officeDocument/2006/relationships/image" Target="media/image72.png"/><Relationship Id="rId124" Type="http://schemas.openxmlformats.org/officeDocument/2006/relationships/hyperlink" Target="https://eur-lex.europa.eu/legal-content/EN/TXT/?uri=CELEX%3A52021JC0027" TargetMode="External"/><Relationship Id="rId70" Type="http://schemas.openxmlformats.org/officeDocument/2006/relationships/chart" Target="charts/chart9.xml"/><Relationship Id="rId91" Type="http://schemas.openxmlformats.org/officeDocument/2006/relationships/image" Target="media/image64.png"/><Relationship Id="rId145" Type="http://schemas.openxmlformats.org/officeDocument/2006/relationships/hyperlink" Target="https://www.europarl.europa.eu/thinktank/en/document/EPRS_BRI(2021)662636" TargetMode="External"/><Relationship Id="rId166" Type="http://schemas.openxmlformats.org/officeDocument/2006/relationships/hyperlink" Target="https://www.consilium.europa.eu/en/press/press-releases/2023/07/25/fueleu-maritime-initiative-council-adopts-new-law-to-decarbonise-the-maritime-sector/" TargetMode="External"/><Relationship Id="rId187" Type="http://schemas.openxmlformats.org/officeDocument/2006/relationships/hyperlink" Target="https://wwwcdn.imo.org/localresources/en/OurWork/Environment/Documents/annex/MEPC%2080/Annex%2015.pdf" TargetMode="External"/><Relationship Id="rId1" Type="http://schemas.openxmlformats.org/officeDocument/2006/relationships/customXml" Target="../customXml/item1.xml"/><Relationship Id="rId212" Type="http://schemas.openxmlformats.org/officeDocument/2006/relationships/hyperlink" Target="https://www.frontiersin.org/articles/10.3389/fmars.2018.00094" TargetMode="External"/><Relationship Id="rId233" Type="http://schemas.openxmlformats.org/officeDocument/2006/relationships/footer" Target="footer4.xml"/><Relationship Id="rId28" Type="http://schemas.openxmlformats.org/officeDocument/2006/relationships/image" Target="media/image14.png"/><Relationship Id="rId49" Type="http://schemas.openxmlformats.org/officeDocument/2006/relationships/image" Target="media/image34.jpeg"/><Relationship Id="rId114" Type="http://schemas.openxmlformats.org/officeDocument/2006/relationships/hyperlink" Target="https://afi.dnv.com/" TargetMode="External"/><Relationship Id="rId60" Type="http://schemas.openxmlformats.org/officeDocument/2006/relationships/image" Target="media/image40.png"/><Relationship Id="rId81" Type="http://schemas.openxmlformats.org/officeDocument/2006/relationships/image" Target="media/image55.jpeg"/><Relationship Id="rId135" Type="http://schemas.openxmlformats.org/officeDocument/2006/relationships/hyperlink" Target="https://www.eea.europa.eu/en/datahub" TargetMode="External"/><Relationship Id="rId156" Type="http://schemas.openxmlformats.org/officeDocument/2006/relationships/hyperlink" Target="https://eur-lex.europa.eu/legal-content/EN/ALL/?uri=CELEX:32013R1257" TargetMode="External"/><Relationship Id="rId177" Type="http://schemas.openxmlformats.org/officeDocument/2006/relationships/hyperlink" Target="https://iea.blob.core.windows.net/assets/614bb748-dc5e-440b-966a-adae9ea022fe/WorldEnergyOutlook2023.pdf" TargetMode="External"/><Relationship Id="rId198" Type="http://schemas.openxmlformats.org/officeDocument/2006/relationships/hyperlink" Target="https://doi.org/10.1021/acs.est.8b05555" TargetMode="External"/><Relationship Id="rId202" Type="http://schemas.openxmlformats.org/officeDocument/2006/relationships/hyperlink" Target="https://cms.zerocarbonshipping.com/media/uploads/publications/Maritime-Decarbonization-Strategy-2022.pdf" TargetMode="External"/><Relationship Id="rId223" Type="http://schemas.openxmlformats.org/officeDocument/2006/relationships/hyperlink" Target="https://apps.who.int/iris/bitstream/handle/10665/345329/9789240034228-eng.pdf" TargetMode="External"/><Relationship Id="rId18" Type="http://schemas.openxmlformats.org/officeDocument/2006/relationships/footer" Target="footer1.xml"/><Relationship Id="rId39" Type="http://schemas.openxmlformats.org/officeDocument/2006/relationships/image" Target="media/image25.png"/><Relationship Id="rId50" Type="http://schemas.openxmlformats.org/officeDocument/2006/relationships/image" Target="cid:image001.jpg@01DA4863.0A70D5A0" TargetMode="External"/><Relationship Id="rId104" Type="http://schemas.openxmlformats.org/officeDocument/2006/relationships/image" Target="media/image73.png"/><Relationship Id="rId125" Type="http://schemas.openxmlformats.org/officeDocument/2006/relationships/hyperlink" Target="https://ec.europa.eu/environment/pdf/zero-pollution-action-plan/communication_en.pdf" TargetMode="External"/><Relationship Id="rId146" Type="http://schemas.openxmlformats.org/officeDocument/2006/relationships/hyperlink" Target="https://doi.org/10.3389/fmars.2019.00606" TargetMode="External"/><Relationship Id="rId167" Type="http://schemas.openxmlformats.org/officeDocument/2006/relationships/hyperlink" Target="http://data.europa.eu/eli/reg/2023/957/oj" TargetMode="External"/><Relationship Id="rId188" Type="http://schemas.openxmlformats.org/officeDocument/2006/relationships/hyperlink" Target="https://www.imo.org/en/MediaCentre/Pages/WhatsNew-740.aspx" TargetMode="External"/><Relationship Id="rId71" Type="http://schemas.openxmlformats.org/officeDocument/2006/relationships/image" Target="media/image46.png"/><Relationship Id="rId92" Type="http://schemas.openxmlformats.org/officeDocument/2006/relationships/image" Target="media/image65.png"/><Relationship Id="rId213" Type="http://schemas.openxmlformats.org/officeDocument/2006/relationships/hyperlink" Target="https://www.un.org/depts/los/convention_agreements/texts/unclos/unclos_e.pdf" TargetMode="External"/><Relationship Id="rId234"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15.jpeg"/><Relationship Id="rId40" Type="http://schemas.openxmlformats.org/officeDocument/2006/relationships/image" Target="media/image26.png"/><Relationship Id="rId115" Type="http://schemas.openxmlformats.org/officeDocument/2006/relationships/hyperlink" Target="http://data.europa.eu/eli/dec_impl/2015/253/oj" TargetMode="External"/><Relationship Id="rId136" Type="http://schemas.openxmlformats.org/officeDocument/2006/relationships/hyperlink" Target="https://www.eea.europa.eu/ims/marine-non-indigenous-species-in" TargetMode="External"/><Relationship Id="rId157" Type="http://schemas.openxmlformats.org/officeDocument/2006/relationships/hyperlink" Target="http://eur-lex.europa.eu/legal-content/EN/TXT/PDF/?uri=CELEX:32014L0089&amp;from=EN" TargetMode="External"/><Relationship Id="rId178" Type="http://schemas.openxmlformats.org/officeDocument/2006/relationships/hyperlink" Target="https://legalaffairs.gov.ag/pdf/conventions/Nairobi_International_Convention_on_Removal_of_Wrecks-pdf.pdf" TargetMode="External"/><Relationship Id="rId61" Type="http://schemas.openxmlformats.org/officeDocument/2006/relationships/image" Target="media/image41.png"/><Relationship Id="rId82" Type="http://schemas.openxmlformats.org/officeDocument/2006/relationships/image" Target="media/image56.jpeg"/><Relationship Id="rId199" Type="http://schemas.openxmlformats.org/officeDocument/2006/relationships/hyperlink" Target="https://www.genevaenvironmentnetwork.org/events/making-peace-with-nature-and-delivering-on-the-sdgs-in-the-mediterranean/" TargetMode="External"/><Relationship Id="rId203" Type="http://schemas.openxmlformats.org/officeDocument/2006/relationships/hyperlink" Target="https://doi.org/10.5194/os-17-1285-2021" TargetMode="External"/><Relationship Id="rId19" Type="http://schemas.openxmlformats.org/officeDocument/2006/relationships/header" Target="header3.xml"/><Relationship Id="rId224" Type="http://schemas.openxmlformats.org/officeDocument/2006/relationships/hyperlink" Target="https://static1.squarespace.com/static/5ff6c5336c885a268148bdcc/t/646cf5b50ba5a260052b1b66/1684862389529/Containers_Lost_at_Sea_2023_FINAL.pdf" TargetMode="External"/><Relationship Id="rId30" Type="http://schemas.openxmlformats.org/officeDocument/2006/relationships/image" Target="media/image16.png"/><Relationship Id="rId105" Type="http://schemas.openxmlformats.org/officeDocument/2006/relationships/image" Target="media/image74.png"/><Relationship Id="rId126" Type="http://schemas.openxmlformats.org/officeDocument/2006/relationships/hyperlink" Target="https://energy.ec.europa.eu/data-and-analysis/energy-modelling/policy-scenarios-delivering-european-green-deal_en" TargetMode="External"/><Relationship Id="rId147" Type="http://schemas.openxmlformats.org/officeDocument/2006/relationships/hyperlink" Target="https://eur-lex.europa.eu/legal-content/EN/TXT/?uri=CELEX%3A21979A1113%2801%29" TargetMode="External"/><Relationship Id="rId168" Type="http://schemas.openxmlformats.org/officeDocument/2006/relationships/hyperlink" Target="https://eur-lex.europa.eu/eli/reg/2023/1804/oj" TargetMode="External"/><Relationship Id="rId51" Type="http://schemas.openxmlformats.org/officeDocument/2006/relationships/image" Target="media/image35.png"/><Relationship Id="rId72" Type="http://schemas.openxmlformats.org/officeDocument/2006/relationships/chart" Target="charts/chart10.xml"/><Relationship Id="rId93" Type="http://schemas.openxmlformats.org/officeDocument/2006/relationships/hyperlink" Target="https://emodnet.ec.europa.eu/geonetwork/srv/eng/catalog.search" TargetMode="External"/><Relationship Id="rId189" Type="http://schemas.openxmlformats.org/officeDocument/2006/relationships/hyperlink" Target="https://www.imo.org/en/MediaCentre/HotTopics/Pages/marinelitter-default.aspx?ref=marineregulations.news" TargetMode="External"/><Relationship Id="rId3" Type="http://schemas.openxmlformats.org/officeDocument/2006/relationships/customXml" Target="../customXml/item3.xml"/><Relationship Id="rId214" Type="http://schemas.openxmlformats.org/officeDocument/2006/relationships/hyperlink" Target="https://unctad.org/system/files/official-document/rmt2011_en.pdf" TargetMode="External"/><Relationship Id="rId235" Type="http://schemas.openxmlformats.org/officeDocument/2006/relationships/theme" Target="theme/theme1.xml"/><Relationship Id="rId116" Type="http://schemas.openxmlformats.org/officeDocument/2006/relationships/hyperlink" Target="http://data.europa.eu/eli/dec_impl/2015/253/oj" TargetMode="External"/><Relationship Id="rId137" Type="http://schemas.openxmlformats.org/officeDocument/2006/relationships/hyperlink" Target="https://www.eea.europa.eu/themes/biodiversity/natura-2000" TargetMode="External"/><Relationship Id="rId158" Type="http://schemas.openxmlformats.org/officeDocument/2006/relationships/hyperlink" Target="http://data.europa.eu/eli/reg/2015/757/oj" TargetMode="External"/><Relationship Id="rId20" Type="http://schemas.openxmlformats.org/officeDocument/2006/relationships/footer" Target="footer2.xml"/><Relationship Id="rId41" Type="http://schemas.openxmlformats.org/officeDocument/2006/relationships/image" Target="media/image27.png"/><Relationship Id="rId62" Type="http://schemas.openxmlformats.org/officeDocument/2006/relationships/image" Target="media/image42.png"/><Relationship Id="rId83" Type="http://schemas.openxmlformats.org/officeDocument/2006/relationships/image" Target="media/image57.png"/><Relationship Id="rId179" Type="http://schemas.openxmlformats.org/officeDocument/2006/relationships/hyperlink" Target="https://wwwcdn.imo.org/localresources/en/OurWork/Environment/Documents/177(58).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eurostat/statistics-explained/index.php?title=Glossary:Passenger-kilometre" TargetMode="External"/><Relationship Id="rId2" Type="http://schemas.openxmlformats.org/officeDocument/2006/relationships/hyperlink" Target="https://ec.europa.eu/eurostat/statistics-explained/index.php?title=Glossary:Tonne-kilometre_(tkm" TargetMode="External"/><Relationship Id="rId1" Type="http://schemas.openxmlformats.org/officeDocument/2006/relationships/hyperlink" Target="https://stecf.jrc.ec.europa.eu/index.html" TargetMode="External"/><Relationship Id="rId5" Type="http://schemas.openxmlformats.org/officeDocument/2006/relationships/hyperlink" Target="https://www.imo.org/en/About/Events/Pages/URN-Workshop-2023.aspx" TargetMode="External"/><Relationship Id="rId4" Type="http://schemas.openxmlformats.org/officeDocument/2006/relationships/hyperlink" Target="https://gisis.imo.org/Public/Default.aspx"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6.wmf"/><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6.wmf"/><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2" Type="http://schemas.openxmlformats.org/officeDocument/2006/relationships/image" Target="media/image6.wmf"/><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2" Type="http://schemas.openxmlformats.org/officeDocument/2006/relationships/image" Target="media/image6.wmf"/><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CIFS.emsa.local\Organization$\Dept%201\Unit-1.1\2.%20PPS\European%20Maritime%20Transport%20Environmental%20Report\EMTER%202.0\EMTER%202.0%20metadata\Chapter%201\Fig%201.6%20Port%20call%20distribution%20in%20EU%20per%20ship%20typ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IFS.emsa.local\cheiocl$\1.EMTER\new%20sections%20-%20emter\emter\EMTER%20NEW%20VERSION_november\excel\Elementary%20carbon_STEAM.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IFS.emsa.local\cheiocl$\new%20sections%20-%20emter\emter\GREY%20WATER\water%20discharges%20202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heiocl\Desktop\new%20sections%20-%20emter\GREY%20WATER\water%20discharges%20202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heiocl\Desktop\new%20sections%20-%20emter\emter\EMTER%20NEW%20VERSION_november\excel\Scrubbers_washwater_STEAM%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tcvodesi.sharepoint.com/sites/TCVode/Projekti/EMTER/EMTER%202.0%20report/Marine%20litter/Marine%20litter%20originating%20from%20shipping%20and%20fisherie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tcvodesi.sharepoint.com/sites/TCVode/Projekti/EMTER/EMTER%202.0%20report/Marine%20litter/Marine%20litter%20originating%20from%20shipping%20and%20fisherie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00_E_Drive_2024\EMSA\Unit%201.1\01_EMTER\Amounts%20Discharged%20At%20Sea\SAN\for%20STATS%20EMTER.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cheiocl\Desktop\new%20sections%20-%20emter\emter\meeting%20EAFO\EAFO%20DATA%202023.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E"/>
              <a:t>Port call distribution in EU ports by ship type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('DATA AND CHART'!$A$4:$A$10,'DATA AND CHART'!$A$12:$A$13,'DATA AND CHART'!$A$15)</c:f>
              <c:strCache>
                <c:ptCount val="10"/>
                <c:pt idx="0">
                  <c:v>Liquified gas tanker</c:v>
                </c:pt>
                <c:pt idx="1">
                  <c:v>Bulk carrier</c:v>
                </c:pt>
                <c:pt idx="2">
                  <c:v>Ro-Ro</c:v>
                </c:pt>
                <c:pt idx="3">
                  <c:v>Oil tanker</c:v>
                </c:pt>
                <c:pt idx="4">
                  <c:v>Fishing vessel</c:v>
                </c:pt>
                <c:pt idx="5">
                  <c:v>Container ship</c:v>
                </c:pt>
                <c:pt idx="6">
                  <c:v>Chemical tanker</c:v>
                </c:pt>
                <c:pt idx="7">
                  <c:v>General cargo</c:v>
                </c:pt>
                <c:pt idx="8">
                  <c:v>Passenger ship</c:v>
                </c:pt>
                <c:pt idx="9">
                  <c:v>Ro-Pax</c:v>
                </c:pt>
              </c:strCache>
              <c:extLst/>
            </c:strRef>
          </c:cat>
          <c:val>
            <c:numRef>
              <c:f>('DATA AND CHART'!$B$4:$B$10,'DATA AND CHART'!$B$12:$B$13,'DATA AND CHART'!$B$15)</c:f>
              <c:numCache>
                <c:formatCode>0.00%</c:formatCode>
                <c:ptCount val="10"/>
                <c:pt idx="0">
                  <c:v>1.246260986978133E-2</c:v>
                </c:pt>
                <c:pt idx="1">
                  <c:v>2.4763758794079153E-2</c:v>
                </c:pt>
                <c:pt idx="2">
                  <c:v>2.6607174303783333E-2</c:v>
                </c:pt>
                <c:pt idx="3">
                  <c:v>3.8207683114907909E-2</c:v>
                </c:pt>
                <c:pt idx="4">
                  <c:v>4.2205305539741771E-2</c:v>
                </c:pt>
                <c:pt idx="5">
                  <c:v>4.4884469673995293E-2</c:v>
                </c:pt>
                <c:pt idx="6">
                  <c:v>5.5847082262678552E-2</c:v>
                </c:pt>
                <c:pt idx="7">
                  <c:v>9.5102588352809728E-2</c:v>
                </c:pt>
                <c:pt idx="8">
                  <c:v>0.10041155809394099</c:v>
                </c:pt>
                <c:pt idx="9">
                  <c:v>0.25273406503864398</c:v>
                </c:pt>
              </c:numCache>
              <c:extLst/>
            </c:numRef>
          </c:val>
          <c:extLst>
            <c:ext xmlns:c16="http://schemas.microsoft.com/office/drawing/2014/chart" uri="{C3380CC4-5D6E-409C-BE32-E72D297353CC}">
              <c16:uniqueId val="{00000000-A1AF-4BA2-A30A-5ADAF61C62EF}"/>
            </c:ext>
          </c:extLst>
        </c:ser>
        <c:dLbls>
          <c:showLegendKey val="0"/>
          <c:showVal val="0"/>
          <c:showCatName val="0"/>
          <c:showSerName val="0"/>
          <c:showPercent val="0"/>
          <c:showBubbleSize val="0"/>
        </c:dLbls>
        <c:gapWidth val="182"/>
        <c:axId val="911771055"/>
        <c:axId val="911769391"/>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('DATA AND CHART'!$A$4:$A$10,'DATA AND CHART'!$A$12:$A$13,'DATA AND CHART'!$A$15)</c15:sqref>
                        </c15:formulaRef>
                      </c:ext>
                    </c:extLst>
                    <c:strCache>
                      <c:ptCount val="10"/>
                      <c:pt idx="0">
                        <c:v>Liquified gas tanker</c:v>
                      </c:pt>
                      <c:pt idx="1">
                        <c:v>Bulk carrier</c:v>
                      </c:pt>
                      <c:pt idx="2">
                        <c:v>Ro-Ro</c:v>
                      </c:pt>
                      <c:pt idx="3">
                        <c:v>Oil tanker</c:v>
                      </c:pt>
                      <c:pt idx="4">
                        <c:v>Fishing vessel</c:v>
                      </c:pt>
                      <c:pt idx="5">
                        <c:v>Container ship</c:v>
                      </c:pt>
                      <c:pt idx="6">
                        <c:v>Chemical tanker</c:v>
                      </c:pt>
                      <c:pt idx="7">
                        <c:v>General cargo</c:v>
                      </c:pt>
                      <c:pt idx="8">
                        <c:v>Passenger ship</c:v>
                      </c:pt>
                      <c:pt idx="9">
                        <c:v>Ro-Pax</c:v>
                      </c:pt>
                    </c:strCache>
                  </c:strRef>
                </c:cat>
                <c:val>
                  <c:numRef>
                    <c:extLst>
                      <c:ext uri="{02D57815-91ED-43cb-92C2-25804820EDAC}">
                        <c15:formulaRef>
                          <c15:sqref>('DATA AND CHART'!$C$4:$C$10,'DATA AND CHART'!$C$12:$C$13,'DATA AND CHART'!$C$15)</c15:sqref>
                        </c15:formulaRef>
                      </c:ext>
                    </c:extLst>
                    <c:numCache>
                      <c:formatCode>General</c:formatCode>
                      <c:ptCount val="10"/>
                      <c:pt idx="0">
                        <c:v>29794</c:v>
                      </c:pt>
                      <c:pt idx="1">
                        <c:v>59202</c:v>
                      </c:pt>
                      <c:pt idx="2">
                        <c:v>63609</c:v>
                      </c:pt>
                      <c:pt idx="3">
                        <c:v>91342</c:v>
                      </c:pt>
                      <c:pt idx="4">
                        <c:v>100899</c:v>
                      </c:pt>
                      <c:pt idx="5">
                        <c:v>107304</c:v>
                      </c:pt>
                      <c:pt idx="6">
                        <c:v>133512</c:v>
                      </c:pt>
                      <c:pt idx="7">
                        <c:v>227359</c:v>
                      </c:pt>
                      <c:pt idx="8">
                        <c:v>240051</c:v>
                      </c:pt>
                      <c:pt idx="9">
                        <c:v>604204</c:v>
                      </c:pt>
                    </c:numCache>
                  </c:numRef>
                </c:val>
                <c:extLst>
                  <c:ext xmlns:c16="http://schemas.microsoft.com/office/drawing/2014/chart" uri="{C3380CC4-5D6E-409C-BE32-E72D297353CC}">
                    <c16:uniqueId val="{00000001-A1AF-4BA2-A30A-5ADAF61C62EF}"/>
                  </c:ext>
                </c:extLst>
              </c15:ser>
            </c15:filteredBarSeries>
          </c:ext>
        </c:extLst>
      </c:barChart>
      <c:catAx>
        <c:axId val="9117710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1769391"/>
        <c:crosses val="autoZero"/>
        <c:auto val="1"/>
        <c:lblAlgn val="ctr"/>
        <c:lblOffset val="100"/>
        <c:noMultiLvlLbl val="0"/>
      </c:catAx>
      <c:valAx>
        <c:axId val="911769391"/>
        <c:scaling>
          <c:orientation val="minMax"/>
          <c:max val="0.30000000000000004"/>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17710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Black carbon emissions</a:t>
            </a:r>
            <a:r>
              <a:rPr lang="en-US" baseline="0"/>
              <a:t> in </a:t>
            </a:r>
            <a:r>
              <a:rPr lang="en-US"/>
              <a:t>the Arctic Ocean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'BC Arctic'!$A$5</c:f>
              <c:strCache>
                <c:ptCount val="1"/>
                <c:pt idx="0">
                  <c:v>Gg</c:v>
                </c:pt>
              </c:strCache>
            </c:strRef>
          </c:tx>
          <c:spPr>
            <a:solidFill>
              <a:schemeClr val="accent1"/>
            </a:solidFill>
            <a:ln>
              <a:noFill/>
            </a:ln>
            <a:effectLst/>
          </c:spPr>
          <c:invertIfNegative val="0"/>
          <c:trendline>
            <c:spPr>
              <a:ln w="19050" cap="rnd">
                <a:solidFill>
                  <a:schemeClr val="accent1"/>
                </a:solidFill>
                <a:prstDash val="sysDot"/>
              </a:ln>
              <a:effectLst/>
            </c:spPr>
            <c:trendlineType val="movingAvg"/>
            <c:period val="2"/>
            <c:dispRSqr val="0"/>
            <c:dispEq val="0"/>
          </c:trendline>
          <c:trendline>
            <c:spPr>
              <a:ln w="19050" cap="rnd">
                <a:solidFill>
                  <a:schemeClr val="accent1"/>
                </a:solidFill>
                <a:prstDash val="sysDot"/>
              </a:ln>
              <a:effectLst/>
            </c:spPr>
            <c:trendlineType val="movingAvg"/>
            <c:period val="2"/>
            <c:dispRSqr val="0"/>
            <c:dispEq val="0"/>
          </c:trendline>
          <c:cat>
            <c:numRef>
              <c:f>'BC Arctic'!$E$3:$L$3</c:f>
              <c:numCache>
                <c:formatCode>General</c:formatCode>
                <c:ptCount val="8"/>
                <c:pt idx="0">
                  <c:v>2015</c:v>
                </c:pt>
                <c:pt idx="1">
                  <c:v>2016</c:v>
                </c:pt>
                <c:pt idx="2">
                  <c:v>2017</c:v>
                </c:pt>
                <c:pt idx="3">
                  <c:v>2018</c:v>
                </c:pt>
                <c:pt idx="4">
                  <c:v>2019</c:v>
                </c:pt>
                <c:pt idx="5">
                  <c:v>2020</c:v>
                </c:pt>
                <c:pt idx="6">
                  <c:v>2021</c:v>
                </c:pt>
                <c:pt idx="7">
                  <c:v>2022</c:v>
                </c:pt>
              </c:numCache>
            </c:numRef>
          </c:cat>
          <c:val>
            <c:numRef>
              <c:f>'BC Arctic'!$E$5:$L$5</c:f>
              <c:numCache>
                <c:formatCode>General</c:formatCode>
                <c:ptCount val="8"/>
                <c:pt idx="0">
                  <c:v>2.6390839999999999E-2</c:v>
                </c:pt>
                <c:pt idx="1">
                  <c:v>2.5989129999999999E-2</c:v>
                </c:pt>
                <c:pt idx="2">
                  <c:v>3.1898179999999998E-2</c:v>
                </c:pt>
                <c:pt idx="3">
                  <c:v>3.2765879999999997E-2</c:v>
                </c:pt>
                <c:pt idx="4">
                  <c:v>4.061501E-2</c:v>
                </c:pt>
                <c:pt idx="5">
                  <c:v>1.7807400000000001E-2</c:v>
                </c:pt>
                <c:pt idx="6">
                  <c:v>1.5495415E-2</c:v>
                </c:pt>
                <c:pt idx="7">
                  <c:v>1.6766663000000001E-2</c:v>
                </c:pt>
              </c:numCache>
            </c:numRef>
          </c:val>
          <c:extLst>
            <c:ext xmlns:c16="http://schemas.microsoft.com/office/drawing/2014/chart" uri="{C3380CC4-5D6E-409C-BE32-E72D297353CC}">
              <c16:uniqueId val="{00000002-1544-4EDF-838C-78EB9B669769}"/>
            </c:ext>
          </c:extLst>
        </c:ser>
        <c:dLbls>
          <c:showLegendKey val="0"/>
          <c:showVal val="0"/>
          <c:showCatName val="0"/>
          <c:showSerName val="0"/>
          <c:showPercent val="0"/>
          <c:showBubbleSize val="0"/>
        </c:dLbls>
        <c:gapWidth val="150"/>
        <c:axId val="670430272"/>
        <c:axId val="670427776"/>
      </c:barChart>
      <c:catAx>
        <c:axId val="670430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427776"/>
        <c:crosses val="autoZero"/>
        <c:auto val="1"/>
        <c:lblAlgn val="ctr"/>
        <c:lblOffset val="100"/>
        <c:noMultiLvlLbl val="0"/>
      </c:catAx>
      <c:valAx>
        <c:axId val="6704277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Black Carbon emissions (Gg)</a:t>
                </a:r>
              </a:p>
            </c:rich>
          </c:tx>
          <c:layout>
            <c:manualLayout>
              <c:xMode val="edge"/>
              <c:yMode val="edge"/>
              <c:x val="1.1825515818891741E-2"/>
              <c:y val="0.3139371557204670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430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E" sz="1200"/>
              <a:t>Discharge waters 2014-2022 (KL)</a:t>
            </a:r>
          </a:p>
        </c:rich>
      </c:tx>
      <c:layout>
        <c:manualLayout>
          <c:xMode val="edge"/>
          <c:yMode val="edge"/>
          <c:x val="0.1127902447129630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240135116034831"/>
          <c:y val="0.11101388624690889"/>
          <c:w val="0.7259978494508228"/>
          <c:h val="0.62901388325127805"/>
        </c:manualLayout>
      </c:layout>
      <c:barChart>
        <c:barDir val="col"/>
        <c:grouping val="stacked"/>
        <c:varyColors val="0"/>
        <c:ser>
          <c:idx val="1"/>
          <c:order val="1"/>
          <c:tx>
            <c:strRef>
              <c:f>'Washwaters EU'!$B$26</c:f>
              <c:strCache>
                <c:ptCount val="1"/>
                <c:pt idx="0">
                  <c:v>Bilge</c:v>
                </c:pt>
              </c:strCache>
            </c:strRef>
          </c:tx>
          <c:spPr>
            <a:solidFill>
              <a:schemeClr val="accent2"/>
            </a:solidFill>
            <a:ln>
              <a:noFill/>
            </a:ln>
            <a:effectLst/>
          </c:spPr>
          <c:invertIfNegative val="0"/>
          <c:cat>
            <c:numRef>
              <c:f>'Washwaters EU'!$A$27:$A$35</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'Washwaters EU'!$B$27:$B$35</c:f>
              <c:numCache>
                <c:formatCode>General</c:formatCode>
                <c:ptCount val="9"/>
                <c:pt idx="0">
                  <c:v>1.9</c:v>
                </c:pt>
                <c:pt idx="1">
                  <c:v>1.97</c:v>
                </c:pt>
                <c:pt idx="2">
                  <c:v>1.95</c:v>
                </c:pt>
                <c:pt idx="3">
                  <c:v>2</c:v>
                </c:pt>
                <c:pt idx="4">
                  <c:v>2.04</c:v>
                </c:pt>
                <c:pt idx="5">
                  <c:v>2.11</c:v>
                </c:pt>
                <c:pt idx="6">
                  <c:v>2.0299999999999998</c:v>
                </c:pt>
                <c:pt idx="7">
                  <c:v>2.3450000000000002</c:v>
                </c:pt>
                <c:pt idx="8">
                  <c:v>2.6</c:v>
                </c:pt>
              </c:numCache>
            </c:numRef>
          </c:val>
          <c:extLst>
            <c:ext xmlns:c16="http://schemas.microsoft.com/office/drawing/2014/chart" uri="{C3380CC4-5D6E-409C-BE32-E72D297353CC}">
              <c16:uniqueId val="{00000000-CC6A-479F-ABFE-010C7108A863}"/>
            </c:ext>
          </c:extLst>
        </c:ser>
        <c:ser>
          <c:idx val="2"/>
          <c:order val="2"/>
          <c:tx>
            <c:strRef>
              <c:f>'Washwaters EU'!$C$26</c:f>
              <c:strCache>
                <c:ptCount val="1"/>
                <c:pt idx="0">
                  <c:v>Scrubbers OL</c:v>
                </c:pt>
              </c:strCache>
              <c:extLst xmlns:c15="http://schemas.microsoft.com/office/drawing/2012/chart"/>
            </c:strRef>
          </c:tx>
          <c:spPr>
            <a:solidFill>
              <a:schemeClr val="accent3"/>
            </a:solidFill>
            <a:ln>
              <a:noFill/>
            </a:ln>
            <a:effectLst/>
          </c:spPr>
          <c:invertIfNegative val="0"/>
          <c:cat>
            <c:numRef>
              <c:f>'Washwaters EU'!$A$27:$A$35</c:f>
              <c:numCache>
                <c:formatCode>General</c:formatCode>
                <c:ptCount val="9"/>
                <c:pt idx="0">
                  <c:v>2014</c:v>
                </c:pt>
                <c:pt idx="1">
                  <c:v>2015</c:v>
                </c:pt>
                <c:pt idx="2">
                  <c:v>2016</c:v>
                </c:pt>
                <c:pt idx="3">
                  <c:v>2017</c:v>
                </c:pt>
                <c:pt idx="4">
                  <c:v>2018</c:v>
                </c:pt>
                <c:pt idx="5">
                  <c:v>2019</c:v>
                </c:pt>
                <c:pt idx="6">
                  <c:v>2020</c:v>
                </c:pt>
                <c:pt idx="7">
                  <c:v>2021</c:v>
                </c:pt>
                <c:pt idx="8">
                  <c:v>2022</c:v>
                </c:pt>
              </c:numCache>
              <c:extLst xmlns:c15="http://schemas.microsoft.com/office/drawing/2012/chart"/>
            </c:numRef>
          </c:cat>
          <c:val>
            <c:numRef>
              <c:f>'Washwaters EU'!$C$27:$C$35</c:f>
              <c:numCache>
                <c:formatCode>General</c:formatCode>
                <c:ptCount val="9"/>
                <c:pt idx="0">
                  <c:v>227</c:v>
                </c:pt>
                <c:pt idx="1">
                  <c:v>382</c:v>
                </c:pt>
                <c:pt idx="2">
                  <c:v>530</c:v>
                </c:pt>
                <c:pt idx="3">
                  <c:v>608</c:v>
                </c:pt>
                <c:pt idx="4">
                  <c:v>658</c:v>
                </c:pt>
                <c:pt idx="5">
                  <c:v>737</c:v>
                </c:pt>
                <c:pt idx="6">
                  <c:v>1820</c:v>
                </c:pt>
                <c:pt idx="7">
                  <c:v>2746</c:v>
                </c:pt>
                <c:pt idx="8">
                  <c:v>3390</c:v>
                </c:pt>
              </c:numCache>
              <c:extLst xmlns:c15="http://schemas.microsoft.com/office/drawing/2012/chart"/>
            </c:numRef>
          </c:val>
          <c:extLst xmlns:c15="http://schemas.microsoft.com/office/drawing/2012/chart">
            <c:ext xmlns:c16="http://schemas.microsoft.com/office/drawing/2014/chart" uri="{C3380CC4-5D6E-409C-BE32-E72D297353CC}">
              <c16:uniqueId val="{00000001-CC6A-479F-ABFE-010C7108A863}"/>
            </c:ext>
          </c:extLst>
        </c:ser>
        <c:ser>
          <c:idx val="3"/>
          <c:order val="3"/>
          <c:tx>
            <c:strRef>
              <c:f>'Washwaters EU'!$D$26</c:f>
              <c:strCache>
                <c:ptCount val="1"/>
                <c:pt idx="0">
                  <c:v>Scubbers CL</c:v>
                </c:pt>
              </c:strCache>
            </c:strRef>
          </c:tx>
          <c:spPr>
            <a:solidFill>
              <a:schemeClr val="accent4"/>
            </a:solidFill>
            <a:ln>
              <a:noFill/>
            </a:ln>
            <a:effectLst/>
          </c:spPr>
          <c:invertIfNegative val="0"/>
          <c:cat>
            <c:numRef>
              <c:f>'Washwaters EU'!$A$27:$A$35</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'Washwaters EU'!$D$27:$D$35</c:f>
              <c:numCache>
                <c:formatCode>General</c:formatCode>
                <c:ptCount val="9"/>
                <c:pt idx="0">
                  <c:v>3.0000000000000001E-3</c:v>
                </c:pt>
                <c:pt idx="1">
                  <c:v>8.1898170000000003E-3</c:v>
                </c:pt>
                <c:pt idx="2">
                  <c:v>2.53E-2</c:v>
                </c:pt>
                <c:pt idx="3">
                  <c:v>3.5900000000000001E-2</c:v>
                </c:pt>
                <c:pt idx="4">
                  <c:v>4.0800000000000003E-2</c:v>
                </c:pt>
                <c:pt idx="5">
                  <c:v>4.24E-2</c:v>
                </c:pt>
                <c:pt idx="6">
                  <c:v>6.6500000000000004E-2</c:v>
                </c:pt>
                <c:pt idx="7">
                  <c:v>0.42670000000000002</c:v>
                </c:pt>
                <c:pt idx="8">
                  <c:v>0.312</c:v>
                </c:pt>
              </c:numCache>
            </c:numRef>
          </c:val>
          <c:extLst>
            <c:ext xmlns:c16="http://schemas.microsoft.com/office/drawing/2014/chart" uri="{C3380CC4-5D6E-409C-BE32-E72D297353CC}">
              <c16:uniqueId val="{00000002-CC6A-479F-ABFE-010C7108A863}"/>
            </c:ext>
          </c:extLst>
        </c:ser>
        <c:ser>
          <c:idx val="4"/>
          <c:order val="4"/>
          <c:tx>
            <c:strRef>
              <c:f>'Washwaters EU'!$E$26</c:f>
              <c:strCache>
                <c:ptCount val="1"/>
                <c:pt idx="0">
                  <c:v>Grey waters</c:v>
                </c:pt>
              </c:strCache>
            </c:strRef>
          </c:tx>
          <c:spPr>
            <a:solidFill>
              <a:schemeClr val="accent5"/>
            </a:solidFill>
            <a:ln>
              <a:noFill/>
            </a:ln>
            <a:effectLst/>
          </c:spPr>
          <c:invertIfNegative val="0"/>
          <c:cat>
            <c:numRef>
              <c:f>'Washwaters EU'!$A$27:$A$35</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'Washwaters EU'!$E$27:$E$35</c:f>
              <c:numCache>
                <c:formatCode>General</c:formatCode>
                <c:ptCount val="9"/>
                <c:pt idx="0">
                  <c:v>33.799999999999997</c:v>
                </c:pt>
                <c:pt idx="1">
                  <c:v>34.700000000000003</c:v>
                </c:pt>
                <c:pt idx="2">
                  <c:v>33.799999999999997</c:v>
                </c:pt>
                <c:pt idx="3">
                  <c:v>34.200000000000003</c:v>
                </c:pt>
                <c:pt idx="4">
                  <c:v>35</c:v>
                </c:pt>
                <c:pt idx="5">
                  <c:v>36.700000000000003</c:v>
                </c:pt>
                <c:pt idx="6">
                  <c:v>32.5</c:v>
                </c:pt>
                <c:pt idx="7">
                  <c:v>50.2</c:v>
                </c:pt>
                <c:pt idx="8">
                  <c:v>50.3</c:v>
                </c:pt>
              </c:numCache>
            </c:numRef>
          </c:val>
          <c:extLst>
            <c:ext xmlns:c16="http://schemas.microsoft.com/office/drawing/2014/chart" uri="{C3380CC4-5D6E-409C-BE32-E72D297353CC}">
              <c16:uniqueId val="{00000003-CC6A-479F-ABFE-010C7108A863}"/>
            </c:ext>
          </c:extLst>
        </c:ser>
        <c:ser>
          <c:idx val="5"/>
          <c:order val="5"/>
          <c:tx>
            <c:strRef>
              <c:f>'Washwaters EU'!$F$26</c:f>
              <c:strCache>
                <c:ptCount val="1"/>
                <c:pt idx="0">
                  <c:v>Sewage</c:v>
                </c:pt>
              </c:strCache>
            </c:strRef>
          </c:tx>
          <c:spPr>
            <a:solidFill>
              <a:schemeClr val="accent6"/>
            </a:solidFill>
            <a:ln>
              <a:noFill/>
            </a:ln>
            <a:effectLst/>
          </c:spPr>
          <c:invertIfNegative val="0"/>
          <c:cat>
            <c:numRef>
              <c:f>'Washwaters EU'!$A$27:$A$35</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'Washwaters EU'!$F$27:$F$35</c:f>
              <c:numCache>
                <c:formatCode>General</c:formatCode>
                <c:ptCount val="9"/>
                <c:pt idx="0">
                  <c:v>9.5399999999999991</c:v>
                </c:pt>
                <c:pt idx="1">
                  <c:v>9.7899999999999991</c:v>
                </c:pt>
                <c:pt idx="2">
                  <c:v>9.58</c:v>
                </c:pt>
                <c:pt idx="3">
                  <c:v>9.7200000000000006</c:v>
                </c:pt>
                <c:pt idx="4">
                  <c:v>9.91</c:v>
                </c:pt>
                <c:pt idx="5">
                  <c:v>10.3</c:v>
                </c:pt>
                <c:pt idx="6">
                  <c:v>9.2799999999999994</c:v>
                </c:pt>
                <c:pt idx="7">
                  <c:v>13.44</c:v>
                </c:pt>
                <c:pt idx="8">
                  <c:v>13.6</c:v>
                </c:pt>
              </c:numCache>
            </c:numRef>
          </c:val>
          <c:extLst>
            <c:ext xmlns:c16="http://schemas.microsoft.com/office/drawing/2014/chart" uri="{C3380CC4-5D6E-409C-BE32-E72D297353CC}">
              <c16:uniqueId val="{00000004-CC6A-479F-ABFE-010C7108A863}"/>
            </c:ext>
          </c:extLst>
        </c:ser>
        <c:dLbls>
          <c:showLegendKey val="0"/>
          <c:showVal val="0"/>
          <c:showCatName val="0"/>
          <c:showSerName val="0"/>
          <c:showPercent val="0"/>
          <c:showBubbleSize val="0"/>
        </c:dLbls>
        <c:gapWidth val="219"/>
        <c:overlap val="100"/>
        <c:axId val="840106015"/>
        <c:axId val="785391231"/>
        <c:extLst>
          <c:ext xmlns:c15="http://schemas.microsoft.com/office/drawing/2012/chart" uri="{02D57815-91ED-43cb-92C2-25804820EDAC}">
            <c15:filteredBarSeries>
              <c15:ser>
                <c:idx val="0"/>
                <c:order val="0"/>
                <c:tx>
                  <c:strRef>
                    <c:extLst>
                      <c:ext uri="{02D57815-91ED-43cb-92C2-25804820EDAC}">
                        <c15:formulaRef>
                          <c15:sqref>'Washwaters EU'!$A$26</c15:sqref>
                        </c15:formulaRef>
                      </c:ext>
                    </c:extLst>
                    <c:strCache>
                      <c:ptCount val="1"/>
                      <c:pt idx="0">
                        <c:v>IMO</c:v>
                      </c:pt>
                    </c:strCache>
                  </c:strRef>
                </c:tx>
                <c:spPr>
                  <a:solidFill>
                    <a:schemeClr val="accent1"/>
                  </a:solidFill>
                  <a:ln>
                    <a:noFill/>
                  </a:ln>
                  <a:effectLst/>
                </c:spPr>
                <c:invertIfNegative val="0"/>
                <c:cat>
                  <c:numRef>
                    <c:extLst>
                      <c:ext uri="{02D57815-91ED-43cb-92C2-25804820EDAC}">
                        <c15:formulaRef>
                          <c15:sqref>'Washwaters EU'!$A$27:$A$35</c15:sqref>
                        </c15:formulaRef>
                      </c:ext>
                    </c:extLst>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extLst>
                      <c:ext uri="{02D57815-91ED-43cb-92C2-25804820EDAC}">
                        <c15:formulaRef>
                          <c15:sqref>'Washwaters EU'!$A$27:$A$35</c15:sqref>
                        </c15:formulaRef>
                      </c:ext>
                    </c:extLst>
                    <c:numCache>
                      <c:formatCode>General</c:formatCode>
                      <c:ptCount val="9"/>
                      <c:pt idx="0">
                        <c:v>2014</c:v>
                      </c:pt>
                      <c:pt idx="1">
                        <c:v>2015</c:v>
                      </c:pt>
                      <c:pt idx="2">
                        <c:v>2016</c:v>
                      </c:pt>
                      <c:pt idx="3">
                        <c:v>2017</c:v>
                      </c:pt>
                      <c:pt idx="4">
                        <c:v>2018</c:v>
                      </c:pt>
                      <c:pt idx="5">
                        <c:v>2019</c:v>
                      </c:pt>
                      <c:pt idx="6">
                        <c:v>2020</c:v>
                      </c:pt>
                      <c:pt idx="7">
                        <c:v>2021</c:v>
                      </c:pt>
                      <c:pt idx="8">
                        <c:v>2022</c:v>
                      </c:pt>
                    </c:numCache>
                  </c:numRef>
                </c:val>
                <c:extLst>
                  <c:ext xmlns:c16="http://schemas.microsoft.com/office/drawing/2014/chart" uri="{C3380CC4-5D6E-409C-BE32-E72D297353CC}">
                    <c16:uniqueId val="{00000005-CC6A-479F-ABFE-010C7108A863}"/>
                  </c:ext>
                </c:extLst>
              </c15:ser>
            </c15:filteredBarSeries>
          </c:ext>
        </c:extLst>
      </c:barChart>
      <c:catAx>
        <c:axId val="8401060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Year</a:t>
                </a:r>
              </a:p>
            </c:rich>
          </c:tx>
          <c:layout>
            <c:manualLayout>
              <c:xMode val="edge"/>
              <c:yMode val="edge"/>
              <c:x val="0.49293258624031905"/>
              <c:y val="0.842285426705150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391231"/>
        <c:crosses val="autoZero"/>
        <c:auto val="1"/>
        <c:lblAlgn val="ctr"/>
        <c:lblOffset val="100"/>
        <c:noMultiLvlLbl val="0"/>
      </c:catAx>
      <c:valAx>
        <c:axId val="78539123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Kilolitre</a:t>
                </a:r>
              </a:p>
            </c:rich>
          </c:tx>
          <c:layout>
            <c:manualLayout>
              <c:xMode val="edge"/>
              <c:yMode val="edge"/>
              <c:x val="9.088843444671665E-3"/>
              <c:y val="0.3561655325707455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0106015"/>
        <c:crosses val="autoZero"/>
        <c:crossBetween val="between"/>
      </c:valAx>
      <c:spPr>
        <a:noFill/>
        <a:ln>
          <a:noFill/>
        </a:ln>
        <a:effectLst/>
      </c:spPr>
    </c:plotArea>
    <c:legend>
      <c:legendPos val="b"/>
      <c:layout>
        <c:manualLayout>
          <c:xMode val="edge"/>
          <c:yMode val="edge"/>
          <c:x val="0"/>
          <c:y val="0.89252335468718869"/>
          <c:w val="0.97645992375220392"/>
          <c:h val="8.46499380653317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E" sz="1200"/>
              <a:t>Discharge waters 2014-2022 (KL)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593698919307684"/>
          <c:y val="0.13433298755340228"/>
          <c:w val="0.86490792439946018"/>
          <c:h val="0.60491149214149442"/>
        </c:manualLayout>
      </c:layout>
      <c:barChart>
        <c:barDir val="col"/>
        <c:grouping val="stacked"/>
        <c:varyColors val="0"/>
        <c:ser>
          <c:idx val="1"/>
          <c:order val="1"/>
          <c:tx>
            <c:strRef>
              <c:f>'Washwaters EU'!$B$26</c:f>
              <c:strCache>
                <c:ptCount val="1"/>
                <c:pt idx="0">
                  <c:v>Bilge</c:v>
                </c:pt>
              </c:strCache>
            </c:strRef>
          </c:tx>
          <c:spPr>
            <a:solidFill>
              <a:schemeClr val="accent2"/>
            </a:solidFill>
            <a:ln>
              <a:noFill/>
            </a:ln>
            <a:effectLst/>
          </c:spPr>
          <c:invertIfNegative val="0"/>
          <c:cat>
            <c:numRef>
              <c:f>'Washwaters EU'!$A$27:$A$35</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'Washwaters EU'!$B$27:$B$36</c:f>
              <c:numCache>
                <c:formatCode>General</c:formatCode>
                <c:ptCount val="10"/>
                <c:pt idx="0">
                  <c:v>1.9</c:v>
                </c:pt>
                <c:pt idx="1">
                  <c:v>1.97</c:v>
                </c:pt>
                <c:pt idx="2">
                  <c:v>1.95</c:v>
                </c:pt>
                <c:pt idx="3">
                  <c:v>2</c:v>
                </c:pt>
                <c:pt idx="4">
                  <c:v>2.04</c:v>
                </c:pt>
                <c:pt idx="5">
                  <c:v>2.11</c:v>
                </c:pt>
                <c:pt idx="6">
                  <c:v>2.0299999999999998</c:v>
                </c:pt>
                <c:pt idx="7">
                  <c:v>2.3450000000000002</c:v>
                </c:pt>
                <c:pt idx="8">
                  <c:v>2.6</c:v>
                </c:pt>
              </c:numCache>
            </c:numRef>
          </c:val>
          <c:extLst>
            <c:ext xmlns:c16="http://schemas.microsoft.com/office/drawing/2014/chart" uri="{C3380CC4-5D6E-409C-BE32-E72D297353CC}">
              <c16:uniqueId val="{00000000-AF3D-40E4-8115-4781C509CA9D}"/>
            </c:ext>
          </c:extLst>
        </c:ser>
        <c:ser>
          <c:idx val="3"/>
          <c:order val="3"/>
          <c:tx>
            <c:strRef>
              <c:f>'Washwaters EU'!$D$26</c:f>
              <c:strCache>
                <c:ptCount val="1"/>
                <c:pt idx="0">
                  <c:v>Scubbers CL</c:v>
                </c:pt>
              </c:strCache>
            </c:strRef>
          </c:tx>
          <c:spPr>
            <a:solidFill>
              <a:schemeClr val="accent4"/>
            </a:solidFill>
            <a:ln>
              <a:noFill/>
            </a:ln>
            <a:effectLst/>
          </c:spPr>
          <c:invertIfNegative val="0"/>
          <c:cat>
            <c:numRef>
              <c:f>'Washwaters EU'!$A$27:$A$35</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'Washwaters EU'!$D$27:$D$36</c:f>
              <c:numCache>
                <c:formatCode>General</c:formatCode>
                <c:ptCount val="10"/>
                <c:pt idx="0">
                  <c:v>3.0000000000000001E-3</c:v>
                </c:pt>
                <c:pt idx="1">
                  <c:v>8.1898170000000003E-3</c:v>
                </c:pt>
                <c:pt idx="2">
                  <c:v>2.53E-2</c:v>
                </c:pt>
                <c:pt idx="3">
                  <c:v>3.5900000000000001E-2</c:v>
                </c:pt>
                <c:pt idx="4">
                  <c:v>4.0800000000000003E-2</c:v>
                </c:pt>
                <c:pt idx="5">
                  <c:v>4.24E-2</c:v>
                </c:pt>
                <c:pt idx="6">
                  <c:v>6.6500000000000004E-2</c:v>
                </c:pt>
                <c:pt idx="7">
                  <c:v>0.42670000000000002</c:v>
                </c:pt>
                <c:pt idx="8">
                  <c:v>0.312</c:v>
                </c:pt>
              </c:numCache>
            </c:numRef>
          </c:val>
          <c:extLst>
            <c:ext xmlns:c16="http://schemas.microsoft.com/office/drawing/2014/chart" uri="{C3380CC4-5D6E-409C-BE32-E72D297353CC}">
              <c16:uniqueId val="{00000001-AF3D-40E4-8115-4781C509CA9D}"/>
            </c:ext>
          </c:extLst>
        </c:ser>
        <c:ser>
          <c:idx val="4"/>
          <c:order val="4"/>
          <c:tx>
            <c:strRef>
              <c:f>'Washwaters EU'!$E$26</c:f>
              <c:strCache>
                <c:ptCount val="1"/>
                <c:pt idx="0">
                  <c:v>Grey waters</c:v>
                </c:pt>
              </c:strCache>
            </c:strRef>
          </c:tx>
          <c:spPr>
            <a:solidFill>
              <a:schemeClr val="accent5"/>
            </a:solidFill>
            <a:ln>
              <a:noFill/>
            </a:ln>
            <a:effectLst/>
          </c:spPr>
          <c:invertIfNegative val="0"/>
          <c:cat>
            <c:numRef>
              <c:f>'Washwaters EU'!$A$27:$A$35</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'Washwaters EU'!$E$27:$E$35</c:f>
              <c:numCache>
                <c:formatCode>General</c:formatCode>
                <c:ptCount val="9"/>
                <c:pt idx="0">
                  <c:v>33.799999999999997</c:v>
                </c:pt>
                <c:pt idx="1">
                  <c:v>34.700000000000003</c:v>
                </c:pt>
                <c:pt idx="2">
                  <c:v>33.799999999999997</c:v>
                </c:pt>
                <c:pt idx="3">
                  <c:v>34.200000000000003</c:v>
                </c:pt>
                <c:pt idx="4">
                  <c:v>35</c:v>
                </c:pt>
                <c:pt idx="5">
                  <c:v>36.700000000000003</c:v>
                </c:pt>
                <c:pt idx="6">
                  <c:v>32.5</c:v>
                </c:pt>
                <c:pt idx="7">
                  <c:v>50.2</c:v>
                </c:pt>
                <c:pt idx="8">
                  <c:v>50.3</c:v>
                </c:pt>
              </c:numCache>
            </c:numRef>
          </c:val>
          <c:extLst>
            <c:ext xmlns:c16="http://schemas.microsoft.com/office/drawing/2014/chart" uri="{C3380CC4-5D6E-409C-BE32-E72D297353CC}">
              <c16:uniqueId val="{00000002-AF3D-40E4-8115-4781C509CA9D}"/>
            </c:ext>
          </c:extLst>
        </c:ser>
        <c:ser>
          <c:idx val="5"/>
          <c:order val="5"/>
          <c:tx>
            <c:strRef>
              <c:f>'Washwaters EU'!$F$26</c:f>
              <c:strCache>
                <c:ptCount val="1"/>
                <c:pt idx="0">
                  <c:v>Sewage</c:v>
                </c:pt>
              </c:strCache>
            </c:strRef>
          </c:tx>
          <c:spPr>
            <a:solidFill>
              <a:schemeClr val="accent6"/>
            </a:solidFill>
            <a:ln>
              <a:noFill/>
            </a:ln>
            <a:effectLst/>
          </c:spPr>
          <c:invertIfNegative val="0"/>
          <c:cat>
            <c:numRef>
              <c:f>'Washwaters EU'!$A$27:$A$35</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'Washwaters EU'!$F$27:$F$36</c:f>
              <c:numCache>
                <c:formatCode>General</c:formatCode>
                <c:ptCount val="10"/>
                <c:pt idx="0">
                  <c:v>9.5399999999999991</c:v>
                </c:pt>
                <c:pt idx="1">
                  <c:v>9.7899999999999991</c:v>
                </c:pt>
                <c:pt idx="2">
                  <c:v>9.58</c:v>
                </c:pt>
                <c:pt idx="3">
                  <c:v>9.7200000000000006</c:v>
                </c:pt>
                <c:pt idx="4">
                  <c:v>9.91</c:v>
                </c:pt>
                <c:pt idx="5">
                  <c:v>10.3</c:v>
                </c:pt>
                <c:pt idx="6">
                  <c:v>9.2799999999999994</c:v>
                </c:pt>
                <c:pt idx="7">
                  <c:v>13.44</c:v>
                </c:pt>
                <c:pt idx="8">
                  <c:v>13.6</c:v>
                </c:pt>
              </c:numCache>
            </c:numRef>
          </c:val>
          <c:extLst>
            <c:ext xmlns:c16="http://schemas.microsoft.com/office/drawing/2014/chart" uri="{C3380CC4-5D6E-409C-BE32-E72D297353CC}">
              <c16:uniqueId val="{00000003-AF3D-40E4-8115-4781C509CA9D}"/>
            </c:ext>
          </c:extLst>
        </c:ser>
        <c:dLbls>
          <c:showLegendKey val="0"/>
          <c:showVal val="0"/>
          <c:showCatName val="0"/>
          <c:showSerName val="0"/>
          <c:showPercent val="0"/>
          <c:showBubbleSize val="0"/>
        </c:dLbls>
        <c:gapWidth val="219"/>
        <c:overlap val="100"/>
        <c:axId val="840106015"/>
        <c:axId val="785391231"/>
        <c:extLst>
          <c:ext xmlns:c15="http://schemas.microsoft.com/office/drawing/2012/chart" uri="{02D57815-91ED-43cb-92C2-25804820EDAC}">
            <c15:filteredBarSeries>
              <c15:ser>
                <c:idx val="0"/>
                <c:order val="0"/>
                <c:tx>
                  <c:strRef>
                    <c:extLst>
                      <c:ext uri="{02D57815-91ED-43cb-92C2-25804820EDAC}">
                        <c15:formulaRef>
                          <c15:sqref>'Washwaters EU'!$A$26</c15:sqref>
                        </c15:formulaRef>
                      </c:ext>
                    </c:extLst>
                    <c:strCache>
                      <c:ptCount val="1"/>
                      <c:pt idx="0">
                        <c:v>IMO</c:v>
                      </c:pt>
                    </c:strCache>
                  </c:strRef>
                </c:tx>
                <c:spPr>
                  <a:solidFill>
                    <a:schemeClr val="accent1"/>
                  </a:solidFill>
                  <a:ln>
                    <a:noFill/>
                  </a:ln>
                  <a:effectLst/>
                </c:spPr>
                <c:invertIfNegative val="0"/>
                <c:cat>
                  <c:numRef>
                    <c:extLst>
                      <c:ext uri="{02D57815-91ED-43cb-92C2-25804820EDAC}">
                        <c15:formulaRef>
                          <c15:sqref>'Washwaters EU'!$A$27:$A$35</c15:sqref>
                        </c15:formulaRef>
                      </c:ext>
                    </c:extLst>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extLst>
                      <c:ext uri="{02D57815-91ED-43cb-92C2-25804820EDAC}">
                        <c15:formulaRef>
                          <c15:sqref>'Washwaters EU'!$A$27:$A$36</c15:sqref>
                        </c15:formulaRef>
                      </c:ext>
                    </c:extLst>
                    <c:numCache>
                      <c:formatCode>General</c:formatCode>
                      <c:ptCount val="10"/>
                      <c:pt idx="0">
                        <c:v>2014</c:v>
                      </c:pt>
                      <c:pt idx="1">
                        <c:v>2015</c:v>
                      </c:pt>
                      <c:pt idx="2">
                        <c:v>2016</c:v>
                      </c:pt>
                      <c:pt idx="3">
                        <c:v>2017</c:v>
                      </c:pt>
                      <c:pt idx="4">
                        <c:v>2018</c:v>
                      </c:pt>
                      <c:pt idx="5">
                        <c:v>2019</c:v>
                      </c:pt>
                      <c:pt idx="6">
                        <c:v>2020</c:v>
                      </c:pt>
                      <c:pt idx="7">
                        <c:v>2021</c:v>
                      </c:pt>
                      <c:pt idx="8">
                        <c:v>2022</c:v>
                      </c:pt>
                      <c:pt idx="9">
                        <c:v>100</c:v>
                      </c:pt>
                    </c:numCache>
                  </c:numRef>
                </c:val>
                <c:extLst>
                  <c:ext xmlns:c16="http://schemas.microsoft.com/office/drawing/2014/chart" uri="{C3380CC4-5D6E-409C-BE32-E72D297353CC}">
                    <c16:uniqueId val="{00000004-AF3D-40E4-8115-4781C509CA9D}"/>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'Washwaters EU'!$C$26</c15:sqref>
                        </c15:formulaRef>
                      </c:ext>
                    </c:extLst>
                    <c:strCache>
                      <c:ptCount val="1"/>
                      <c:pt idx="0">
                        <c:v>Scrubbers OL</c:v>
                      </c:pt>
                    </c:strCache>
                  </c:strRef>
                </c:tx>
                <c:spPr>
                  <a:solidFill>
                    <a:schemeClr val="accent3"/>
                  </a:solidFill>
                  <a:ln>
                    <a:noFill/>
                  </a:ln>
                  <a:effectLst/>
                </c:spPr>
                <c:invertIfNegative val="0"/>
                <c:cat>
                  <c:numRef>
                    <c:extLst xmlns:c15="http://schemas.microsoft.com/office/drawing/2012/chart">
                      <c:ext xmlns:c15="http://schemas.microsoft.com/office/drawing/2012/chart" uri="{02D57815-91ED-43cb-92C2-25804820EDAC}">
                        <c15:formulaRef>
                          <c15:sqref>'Washwaters EU'!$A$27:$A$35</c15:sqref>
                        </c15:formulaRef>
                      </c:ext>
                    </c:extLst>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extLst xmlns:c15="http://schemas.microsoft.com/office/drawing/2012/chart">
                      <c:ext xmlns:c15="http://schemas.microsoft.com/office/drawing/2012/chart" uri="{02D57815-91ED-43cb-92C2-25804820EDAC}">
                        <c15:formulaRef>
                          <c15:sqref>'Washwaters EU'!$C$27:$C$36</c15:sqref>
                        </c15:formulaRef>
                      </c:ext>
                    </c:extLst>
                    <c:numCache>
                      <c:formatCode>General</c:formatCode>
                      <c:ptCount val="10"/>
                      <c:pt idx="0">
                        <c:v>227</c:v>
                      </c:pt>
                      <c:pt idx="1">
                        <c:v>382</c:v>
                      </c:pt>
                      <c:pt idx="2">
                        <c:v>530</c:v>
                      </c:pt>
                      <c:pt idx="3">
                        <c:v>608</c:v>
                      </c:pt>
                      <c:pt idx="4">
                        <c:v>658</c:v>
                      </c:pt>
                      <c:pt idx="5">
                        <c:v>737</c:v>
                      </c:pt>
                      <c:pt idx="6">
                        <c:v>1820</c:v>
                      </c:pt>
                      <c:pt idx="7">
                        <c:v>2746</c:v>
                      </c:pt>
                      <c:pt idx="8">
                        <c:v>3390</c:v>
                      </c:pt>
                    </c:numCache>
                  </c:numRef>
                </c:val>
                <c:extLst xmlns:c15="http://schemas.microsoft.com/office/drawing/2012/chart">
                  <c:ext xmlns:c16="http://schemas.microsoft.com/office/drawing/2014/chart" uri="{C3380CC4-5D6E-409C-BE32-E72D297353CC}">
                    <c16:uniqueId val="{00000005-AF3D-40E4-8115-4781C509CA9D}"/>
                  </c:ext>
                </c:extLst>
              </c15:ser>
            </c15:filteredBarSeries>
          </c:ext>
        </c:extLst>
      </c:barChart>
      <c:catAx>
        <c:axId val="8401060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Year</a:t>
                </a:r>
              </a:p>
            </c:rich>
          </c:tx>
          <c:layout>
            <c:manualLayout>
              <c:xMode val="edge"/>
              <c:yMode val="edge"/>
              <c:x val="0.50641970465435593"/>
              <c:y val="0.8450856582224346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785391231"/>
        <c:crosses val="autoZero"/>
        <c:auto val="1"/>
        <c:lblAlgn val="ctr"/>
        <c:lblOffset val="100"/>
        <c:noMultiLvlLbl val="0"/>
      </c:catAx>
      <c:valAx>
        <c:axId val="78539123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Kilolitre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01060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E"/>
              <a:t>Water discharges 2022</a:t>
            </a:r>
            <a:r>
              <a:rPr lang="en-IE" baseline="0"/>
              <a:t> in KL</a:t>
            </a:r>
            <a:endParaRPr lang="en-I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103973429707378E-2"/>
          <c:y val="0.18665399239543726"/>
          <c:w val="0.82485058382474419"/>
          <c:h val="0.64271818209035658"/>
        </c:manualLayout>
      </c:layout>
      <c:ofPieChart>
        <c:ofPieType val="pie"/>
        <c:varyColors val="1"/>
        <c:ser>
          <c:idx val="0"/>
          <c:order val="0"/>
          <c:explosion val="4"/>
          <c:dPt>
            <c:idx val="0"/>
            <c:bubble3D val="0"/>
            <c:explosion val="7"/>
            <c:spPr>
              <a:solidFill>
                <a:schemeClr val="accent1"/>
              </a:solidFill>
              <a:ln w="19050">
                <a:solidFill>
                  <a:schemeClr val="lt1"/>
                </a:solidFill>
              </a:ln>
              <a:effectLst/>
            </c:spPr>
            <c:extLst>
              <c:ext xmlns:c16="http://schemas.microsoft.com/office/drawing/2014/chart" uri="{C3380CC4-5D6E-409C-BE32-E72D297353CC}">
                <c16:uniqueId val="{00000001-6C2E-493E-A94F-8EB7AD45B39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C2E-493E-A94F-8EB7AD45B39C}"/>
              </c:ext>
            </c:extLst>
          </c:dPt>
          <c:dPt>
            <c:idx val="2"/>
            <c:bubble3D val="0"/>
            <c:explosion val="7"/>
            <c:spPr>
              <a:solidFill>
                <a:schemeClr val="accent3"/>
              </a:solidFill>
              <a:ln w="0" cmpd="sng">
                <a:solidFill>
                  <a:schemeClr val="accent6"/>
                </a:solidFill>
              </a:ln>
              <a:effectLst/>
            </c:spPr>
            <c:extLst>
              <c:ext xmlns:c16="http://schemas.microsoft.com/office/drawing/2014/chart" uri="{C3380CC4-5D6E-409C-BE32-E72D297353CC}">
                <c16:uniqueId val="{00000005-6C2E-493E-A94F-8EB7AD45B39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C2E-493E-A94F-8EB7AD45B39C}"/>
              </c:ext>
            </c:extLst>
          </c:dPt>
          <c:dPt>
            <c:idx val="4"/>
            <c:bubble3D val="0"/>
            <c:explosion val="7"/>
            <c:spPr>
              <a:solidFill>
                <a:schemeClr val="accent5"/>
              </a:solidFill>
              <a:ln w="19050">
                <a:solidFill>
                  <a:schemeClr val="lt1"/>
                </a:solidFill>
                <a:prstDash val="solid"/>
              </a:ln>
              <a:effectLst/>
            </c:spPr>
            <c:extLst>
              <c:ext xmlns:c16="http://schemas.microsoft.com/office/drawing/2014/chart" uri="{C3380CC4-5D6E-409C-BE32-E72D297353CC}">
                <c16:uniqueId val="{00000009-6C2E-493E-A94F-8EB7AD45B39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6C2E-493E-A94F-8EB7AD45B39C}"/>
              </c:ext>
            </c:extLst>
          </c:dPt>
          <c:dLbls>
            <c:dLbl>
              <c:idx val="0"/>
              <c:layout>
                <c:manualLayout>
                  <c:x val="1.1574056636172187E-2"/>
                  <c:y val="-9.5057034220532313E-2"/>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7DCF0CF1-C4F6-4C50-844B-3972F2B5C80A}" type="CATEGORYNAME">
                      <a:rPr lang="en-US"/>
                      <a:pPr>
                        <a:defRPr/>
                      </a:pPr>
                      <a:t>[CATEGORY NAME]</a:t>
                    </a:fld>
                    <a:r>
                      <a:rPr lang="en-US" baseline="0"/>
                      <a:t>
3.9%</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77603"/>
                        <a:gd name="adj2" fmla="val 87234"/>
                      </a:avLst>
                    </a:prstGeom>
                    <a:noFill/>
                    <a:ln>
                      <a:noFill/>
                    </a:ln>
                  </c15:spPr>
                  <c15:dlblFieldTable/>
                  <c15:showDataLabelsRange val="0"/>
                </c:ext>
                <c:ext xmlns:c16="http://schemas.microsoft.com/office/drawing/2014/chart" uri="{C3380CC4-5D6E-409C-BE32-E72D297353CC}">
                  <c16:uniqueId val="{00000001-6C2E-493E-A94F-8EB7AD45B39C}"/>
                </c:ext>
              </c:extLst>
            </c:dLbl>
            <c:dLbl>
              <c:idx val="1"/>
              <c:layout>
                <c:manualLayout>
                  <c:x val="0.12322543908432056"/>
                  <c:y val="0.28897338403041822"/>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11853"/>
                        <a:gd name="adj2" fmla="val -90943"/>
                      </a:avLst>
                    </a:prstGeom>
                    <a:noFill/>
                    <a:ln>
                      <a:noFill/>
                    </a:ln>
                  </c15:spPr>
                </c:ext>
                <c:ext xmlns:c16="http://schemas.microsoft.com/office/drawing/2014/chart" uri="{C3380CC4-5D6E-409C-BE32-E72D297353CC}">
                  <c16:uniqueId val="{00000003-6C2E-493E-A94F-8EB7AD45B39C}"/>
                </c:ext>
              </c:extLst>
            </c:dLbl>
            <c:dLbl>
              <c:idx val="2"/>
              <c:layout>
                <c:manualLayout>
                  <c:x val="-8.5807279261395503E-3"/>
                  <c:y val="9.5057034220532313E-2"/>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6DA139CD-3F32-48D9-AAD1-FA409D2104E5}" type="CATEGORYNAME">
                      <a:rPr lang="en-US"/>
                      <a:pPr>
                        <a:defRPr/>
                      </a:pPr>
                      <a:t>[CATEGORY NAME]</a:t>
                    </a:fld>
                    <a:r>
                      <a:rPr lang="en-US" baseline="0"/>
                      <a:t>
0.5%</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33353"/>
                        <a:gd name="adj2" fmla="val -115623"/>
                      </a:avLst>
                    </a:prstGeom>
                    <a:noFill/>
                    <a:ln>
                      <a:noFill/>
                    </a:ln>
                  </c15:spPr>
                  <c15:dlblFieldTable/>
                  <c15:showDataLabelsRange val="0"/>
                </c:ext>
                <c:ext xmlns:c16="http://schemas.microsoft.com/office/drawing/2014/chart" uri="{C3380CC4-5D6E-409C-BE32-E72D297353CC}">
                  <c16:uniqueId val="{00000005-6C2E-493E-A94F-8EB7AD45B39C}"/>
                </c:ext>
              </c:extLst>
            </c:dLbl>
            <c:dLbl>
              <c:idx val="3"/>
              <c:layout>
                <c:manualLayout>
                  <c:x val="8.6331942650392055E-2"/>
                  <c:y val="0.13688212927756641"/>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AFA603F8-A634-48F7-8120-4B53BB06F24B}" type="CATEGORYNAME">
                      <a:rPr lang="en-US"/>
                      <a:pPr>
                        <a:defRPr/>
                      </a:pPr>
                      <a:t>[CATEGORY NAME]</a:t>
                    </a:fld>
                    <a:r>
                      <a:rPr lang="en-US" baseline="0"/>
                      <a:t>
75.3%</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36510"/>
                        <a:gd name="adj2" fmla="val -69547"/>
                      </a:avLst>
                    </a:prstGeom>
                    <a:noFill/>
                    <a:ln>
                      <a:noFill/>
                    </a:ln>
                  </c15:spPr>
                  <c15:dlblFieldTable/>
                  <c15:showDataLabelsRange val="0"/>
                </c:ext>
                <c:ext xmlns:c16="http://schemas.microsoft.com/office/drawing/2014/chart" uri="{C3380CC4-5D6E-409C-BE32-E72D297353CC}">
                  <c16:uniqueId val="{00000007-6C2E-493E-A94F-8EB7AD45B39C}"/>
                </c:ext>
              </c:extLst>
            </c:dLbl>
            <c:dLbl>
              <c:idx val="4"/>
              <c:layout>
                <c:manualLayout>
                  <c:x val="-7.6241256533366414E-2"/>
                  <c:y val="-0.13307984790874525"/>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7F42EEC2-27B6-4E63-BBFC-B6AE615B163F}" type="CATEGORYNAME">
                      <a:rPr lang="en-US"/>
                      <a:pPr>
                        <a:defRPr/>
                      </a:pPr>
                      <a:t>[CATEGORY NAME]</a:t>
                    </a:fld>
                    <a:r>
                      <a:rPr lang="en-US" baseline="0"/>
                      <a:t>
20.4%</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43776"/>
                        <a:gd name="adj2" fmla="val 94532"/>
                      </a:avLst>
                    </a:prstGeom>
                    <a:noFill/>
                    <a:ln>
                      <a:noFill/>
                    </a:ln>
                  </c15:spPr>
                  <c15:dlblFieldTable/>
                  <c15:showDataLabelsRange val="0"/>
                </c:ext>
                <c:ext xmlns:c16="http://schemas.microsoft.com/office/drawing/2014/chart" uri="{C3380CC4-5D6E-409C-BE32-E72D297353CC}">
                  <c16:uniqueId val="{00000009-6C2E-493E-A94F-8EB7AD45B39C}"/>
                </c:ext>
              </c:extLst>
            </c:dLbl>
            <c:dLbl>
              <c:idx val="5"/>
              <c:layout>
                <c:manualLayout>
                  <c:x val="-2.5738417191588547E-2"/>
                  <c:y val="-0.12167300380228137"/>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42081"/>
                        <a:gd name="adj2" fmla="val 110257"/>
                      </a:avLst>
                    </a:prstGeom>
                    <a:noFill/>
                    <a:ln>
                      <a:noFill/>
                    </a:ln>
                  </c15:spPr>
                </c:ext>
                <c:ext xmlns:c16="http://schemas.microsoft.com/office/drawing/2014/chart" uri="{C3380CC4-5D6E-409C-BE32-E72D297353CC}">
                  <c16:uniqueId val="{0000000B-6C2E-493E-A94F-8EB7AD45B39C}"/>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'Washwaters EU'!$B$26:$F$26</c:f>
              <c:strCache>
                <c:ptCount val="5"/>
                <c:pt idx="0">
                  <c:v>Bilge</c:v>
                </c:pt>
                <c:pt idx="1">
                  <c:v>Scrubbers OL</c:v>
                </c:pt>
                <c:pt idx="2">
                  <c:v>Scubbers CL</c:v>
                </c:pt>
                <c:pt idx="3">
                  <c:v>Grey waters</c:v>
                </c:pt>
                <c:pt idx="4">
                  <c:v>Sewage</c:v>
                </c:pt>
              </c:strCache>
            </c:strRef>
          </c:cat>
          <c:val>
            <c:numRef>
              <c:f>'Washwaters EU'!$B$35:$F$35</c:f>
              <c:numCache>
                <c:formatCode>General</c:formatCode>
                <c:ptCount val="5"/>
                <c:pt idx="0">
                  <c:v>2.6</c:v>
                </c:pt>
                <c:pt idx="1">
                  <c:v>3390</c:v>
                </c:pt>
                <c:pt idx="2">
                  <c:v>0.312</c:v>
                </c:pt>
                <c:pt idx="3">
                  <c:v>50.3</c:v>
                </c:pt>
                <c:pt idx="4">
                  <c:v>13.6</c:v>
                </c:pt>
              </c:numCache>
            </c:numRef>
          </c:val>
          <c:extLst>
            <c:ext xmlns:c16="http://schemas.microsoft.com/office/drawing/2014/chart" uri="{C3380CC4-5D6E-409C-BE32-E72D297353CC}">
              <c16:uniqueId val="{0000000C-6C2E-493E-A94F-8EB7AD45B39C}"/>
            </c:ext>
          </c:extLst>
        </c:ser>
        <c:dLbls>
          <c:showLegendKey val="0"/>
          <c:showVal val="0"/>
          <c:showCatName val="0"/>
          <c:showSerName val="0"/>
          <c:showPercent val="0"/>
          <c:showBubbleSize val="0"/>
          <c:showLeaderLines val="0"/>
        </c:dLbls>
        <c:gapWidth val="75"/>
        <c:splitType val="percent"/>
        <c:splitPos val="2"/>
        <c:secondPieSize val="115"/>
        <c:serLines>
          <c:spPr>
            <a:ln w="9525" cap="sq" cmpd="sng" algn="ctr">
              <a:solidFill>
                <a:sysClr val="windowText" lastClr="000000">
                  <a:lumMod val="25000"/>
                  <a:lumOff val="75000"/>
                </a:sysClr>
              </a:solidFill>
              <a:bevel/>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Washwater from open-loop scrubbers per region (KL)</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manualLayout>
          <c:layoutTarget val="inner"/>
          <c:xMode val="edge"/>
          <c:yMode val="edge"/>
          <c:x val="0.14965048587511567"/>
          <c:y val="0.17511400205409106"/>
          <c:w val="0.81979396325459319"/>
          <c:h val="0.58128180621313008"/>
        </c:manualLayout>
      </c:layout>
      <c:lineChart>
        <c:grouping val="standard"/>
        <c:varyColors val="0"/>
        <c:ser>
          <c:idx val="0"/>
          <c:order val="0"/>
          <c:tx>
            <c:strRef>
              <c:f>'per region'!$A$6</c:f>
              <c:strCache>
                <c:ptCount val="1"/>
                <c:pt idx="0">
                  <c:v>Mediterranean Sea</c:v>
                </c:pt>
              </c:strCache>
            </c:strRef>
          </c:tx>
          <c:spPr>
            <a:ln w="22225" cap="rnd" cmpd="sng" algn="ctr">
              <a:solidFill>
                <a:schemeClr val="accent1"/>
              </a:solidFill>
              <a:round/>
            </a:ln>
            <a:effectLst/>
          </c:spPr>
          <c:marker>
            <c:symbol val="none"/>
          </c:marker>
          <c:cat>
            <c:numRef>
              <c:f>'per region'!$B$4:$J$4</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'per region'!$B$6:$J$6</c:f>
              <c:numCache>
                <c:formatCode>General</c:formatCode>
                <c:ptCount val="9"/>
                <c:pt idx="0">
                  <c:v>77.7</c:v>
                </c:pt>
                <c:pt idx="1">
                  <c:v>81.5</c:v>
                </c:pt>
                <c:pt idx="2">
                  <c:v>84.1</c:v>
                </c:pt>
                <c:pt idx="3">
                  <c:v>95.4</c:v>
                </c:pt>
                <c:pt idx="4">
                  <c:v>103</c:v>
                </c:pt>
                <c:pt idx="5">
                  <c:v>120</c:v>
                </c:pt>
                <c:pt idx="6">
                  <c:v>747</c:v>
                </c:pt>
                <c:pt idx="7">
                  <c:v>1267</c:v>
                </c:pt>
                <c:pt idx="8">
                  <c:v>1592</c:v>
                </c:pt>
              </c:numCache>
            </c:numRef>
          </c:val>
          <c:smooth val="0"/>
          <c:extLst>
            <c:ext xmlns:c16="http://schemas.microsoft.com/office/drawing/2014/chart" uri="{C3380CC4-5D6E-409C-BE32-E72D297353CC}">
              <c16:uniqueId val="{00000000-42DB-4CB0-B898-163D9DF4C710}"/>
            </c:ext>
          </c:extLst>
        </c:ser>
        <c:ser>
          <c:idx val="1"/>
          <c:order val="1"/>
          <c:tx>
            <c:strRef>
              <c:f>'per region'!$A$7</c:f>
              <c:strCache>
                <c:ptCount val="1"/>
                <c:pt idx="0">
                  <c:v>Atlantic Ocean</c:v>
                </c:pt>
              </c:strCache>
            </c:strRef>
          </c:tx>
          <c:spPr>
            <a:ln w="22225" cap="rnd" cmpd="sng" algn="ctr">
              <a:solidFill>
                <a:schemeClr val="accent2"/>
              </a:solidFill>
              <a:round/>
            </a:ln>
            <a:effectLst/>
          </c:spPr>
          <c:marker>
            <c:symbol val="none"/>
          </c:marker>
          <c:cat>
            <c:numRef>
              <c:f>'per region'!$B$4:$J$4</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'per region'!$B$7:$J$7</c:f>
              <c:numCache>
                <c:formatCode>General</c:formatCode>
                <c:ptCount val="9"/>
                <c:pt idx="0">
                  <c:v>14.7</c:v>
                </c:pt>
                <c:pt idx="1">
                  <c:v>20.9</c:v>
                </c:pt>
                <c:pt idx="2">
                  <c:v>18.5</c:v>
                </c:pt>
                <c:pt idx="3">
                  <c:v>17.100000000000001</c:v>
                </c:pt>
                <c:pt idx="4">
                  <c:v>18.7</c:v>
                </c:pt>
                <c:pt idx="5">
                  <c:v>22.1</c:v>
                </c:pt>
                <c:pt idx="6">
                  <c:v>380</c:v>
                </c:pt>
                <c:pt idx="7">
                  <c:v>714.1</c:v>
                </c:pt>
                <c:pt idx="8">
                  <c:v>920.9</c:v>
                </c:pt>
              </c:numCache>
            </c:numRef>
          </c:val>
          <c:smooth val="0"/>
          <c:extLst>
            <c:ext xmlns:c16="http://schemas.microsoft.com/office/drawing/2014/chart" uri="{C3380CC4-5D6E-409C-BE32-E72D297353CC}">
              <c16:uniqueId val="{00000001-42DB-4CB0-B898-163D9DF4C710}"/>
            </c:ext>
          </c:extLst>
        </c:ser>
        <c:ser>
          <c:idx val="2"/>
          <c:order val="2"/>
          <c:tx>
            <c:strRef>
              <c:f>'per region'!$A$8</c:f>
              <c:strCache>
                <c:ptCount val="1"/>
                <c:pt idx="0">
                  <c:v>North Sea</c:v>
                </c:pt>
              </c:strCache>
            </c:strRef>
          </c:tx>
          <c:spPr>
            <a:ln w="22225" cap="rnd" cmpd="sng" algn="ctr">
              <a:solidFill>
                <a:schemeClr val="accent3"/>
              </a:solidFill>
              <a:round/>
            </a:ln>
            <a:effectLst/>
          </c:spPr>
          <c:marker>
            <c:symbol val="none"/>
          </c:marker>
          <c:cat>
            <c:numRef>
              <c:f>'per region'!$B$4:$J$4</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'per region'!$B$8:$J$8</c:f>
              <c:numCache>
                <c:formatCode>General</c:formatCode>
                <c:ptCount val="9"/>
                <c:pt idx="0">
                  <c:v>56.3</c:v>
                </c:pt>
                <c:pt idx="1">
                  <c:v>113</c:v>
                </c:pt>
                <c:pt idx="2">
                  <c:v>151</c:v>
                </c:pt>
                <c:pt idx="3">
                  <c:v>167</c:v>
                </c:pt>
                <c:pt idx="4">
                  <c:v>190</c:v>
                </c:pt>
                <c:pt idx="5">
                  <c:v>218</c:v>
                </c:pt>
                <c:pt idx="6">
                  <c:v>229</c:v>
                </c:pt>
                <c:pt idx="7">
                  <c:v>244.4</c:v>
                </c:pt>
                <c:pt idx="8">
                  <c:v>374.4</c:v>
                </c:pt>
              </c:numCache>
            </c:numRef>
          </c:val>
          <c:smooth val="0"/>
          <c:extLst>
            <c:ext xmlns:c16="http://schemas.microsoft.com/office/drawing/2014/chart" uri="{C3380CC4-5D6E-409C-BE32-E72D297353CC}">
              <c16:uniqueId val="{00000002-42DB-4CB0-B898-163D9DF4C710}"/>
            </c:ext>
          </c:extLst>
        </c:ser>
        <c:ser>
          <c:idx val="3"/>
          <c:order val="3"/>
          <c:tx>
            <c:strRef>
              <c:f>'per region'!$A$9</c:f>
              <c:strCache>
                <c:ptCount val="1"/>
                <c:pt idx="0">
                  <c:v>Baltic Sea</c:v>
                </c:pt>
              </c:strCache>
            </c:strRef>
          </c:tx>
          <c:spPr>
            <a:ln w="22225" cap="rnd" cmpd="sng" algn="ctr">
              <a:solidFill>
                <a:schemeClr val="accent4"/>
              </a:solidFill>
              <a:round/>
            </a:ln>
            <a:effectLst/>
          </c:spPr>
          <c:marker>
            <c:symbol val="none"/>
          </c:marker>
          <c:cat>
            <c:numRef>
              <c:f>'per region'!$B$4:$J$4</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'per region'!$B$9:$J$9</c:f>
              <c:numCache>
                <c:formatCode>General</c:formatCode>
                <c:ptCount val="9"/>
                <c:pt idx="0">
                  <c:v>46.5</c:v>
                </c:pt>
                <c:pt idx="1">
                  <c:v>109</c:v>
                </c:pt>
                <c:pt idx="2">
                  <c:v>190</c:v>
                </c:pt>
                <c:pt idx="3">
                  <c:v>241</c:v>
                </c:pt>
                <c:pt idx="4">
                  <c:v>256</c:v>
                </c:pt>
                <c:pt idx="5">
                  <c:v>278</c:v>
                </c:pt>
                <c:pt idx="6">
                  <c:v>251</c:v>
                </c:pt>
                <c:pt idx="7">
                  <c:v>254</c:v>
                </c:pt>
                <c:pt idx="8">
                  <c:v>310.39999999999998</c:v>
                </c:pt>
              </c:numCache>
            </c:numRef>
          </c:val>
          <c:smooth val="0"/>
          <c:extLst>
            <c:ext xmlns:c16="http://schemas.microsoft.com/office/drawing/2014/chart" uri="{C3380CC4-5D6E-409C-BE32-E72D297353CC}">
              <c16:uniqueId val="{00000003-42DB-4CB0-B898-163D9DF4C710}"/>
            </c:ext>
          </c:extLst>
        </c:ser>
        <c:ser>
          <c:idx val="4"/>
          <c:order val="4"/>
          <c:tx>
            <c:strRef>
              <c:f>'per region'!$A$10</c:f>
              <c:strCache>
                <c:ptCount val="1"/>
                <c:pt idx="0">
                  <c:v>Black Sea</c:v>
                </c:pt>
              </c:strCache>
            </c:strRef>
          </c:tx>
          <c:spPr>
            <a:ln w="22225" cap="rnd" cmpd="sng" algn="ctr">
              <a:solidFill>
                <a:schemeClr val="accent5"/>
              </a:solidFill>
              <a:round/>
            </a:ln>
            <a:effectLst/>
          </c:spPr>
          <c:marker>
            <c:symbol val="none"/>
          </c:marker>
          <c:cat>
            <c:numRef>
              <c:f>'per region'!$B$4:$J$4</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'per region'!$B$10:$J$10</c:f>
              <c:numCache>
                <c:formatCode>General</c:formatCode>
                <c:ptCount val="9"/>
                <c:pt idx="0">
                  <c:v>0.189</c:v>
                </c:pt>
                <c:pt idx="1">
                  <c:v>2.9499999999999998E-2</c:v>
                </c:pt>
                <c:pt idx="2">
                  <c:v>3.7164989999999998E-3</c:v>
                </c:pt>
                <c:pt idx="3">
                  <c:v>8.1878469999999998E-3</c:v>
                </c:pt>
                <c:pt idx="4">
                  <c:v>1.4751640000000001E-5</c:v>
                </c:pt>
                <c:pt idx="5">
                  <c:v>1.2800000000000001E-2</c:v>
                </c:pt>
                <c:pt idx="6">
                  <c:v>15.9</c:v>
                </c:pt>
                <c:pt idx="7">
                  <c:v>20.001141981537099</c:v>
                </c:pt>
                <c:pt idx="8">
                  <c:v>26.16</c:v>
                </c:pt>
              </c:numCache>
            </c:numRef>
          </c:val>
          <c:smooth val="0"/>
          <c:extLst>
            <c:ext xmlns:c16="http://schemas.microsoft.com/office/drawing/2014/chart" uri="{C3380CC4-5D6E-409C-BE32-E72D297353CC}">
              <c16:uniqueId val="{00000004-42DB-4CB0-B898-163D9DF4C710}"/>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928678640"/>
        <c:axId val="928685712"/>
      </c:lineChart>
      <c:catAx>
        <c:axId val="92867864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IE"/>
                  <a:t>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928685712"/>
        <c:crosses val="autoZero"/>
        <c:auto val="1"/>
        <c:lblAlgn val="ctr"/>
        <c:lblOffset val="100"/>
        <c:noMultiLvlLbl val="0"/>
      </c:catAx>
      <c:valAx>
        <c:axId val="928685712"/>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IE"/>
                  <a:t>KL</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928678640"/>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layout>
        <c:manualLayout>
          <c:xMode val="edge"/>
          <c:yMode val="edge"/>
          <c:x val="7.3396184505447909E-2"/>
          <c:y val="0.88152071208490246"/>
          <c:w val="0.89846308810131559"/>
          <c:h val="9.239233139335843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GB" sz="1000" b="1"/>
              <a:t>Share of litter originating from maritime activities</a:t>
            </a:r>
            <a:r>
              <a:rPr lang="en-GB" sz="1000" b="1" baseline="0"/>
              <a:t>, by regional sea</a:t>
            </a:r>
            <a:endParaRPr lang="en-GB" sz="1000" b="1"/>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2"/>
          <c:order val="0"/>
          <c:tx>
            <c:strRef>
              <c:f>'[Marine litter originating from shipping and fisheries.xlsx]Share of all litter'!$E$25</c:f>
              <c:strCache>
                <c:ptCount val="1"/>
                <c:pt idx="0">
                  <c:v>Other source</c:v>
                </c:pt>
              </c:strCache>
            </c:strRef>
          </c:tx>
          <c:spPr>
            <a:solidFill>
              <a:schemeClr val="bg1">
                <a:lumMod val="95000"/>
              </a:schemeClr>
            </a:solidFill>
            <a:ln>
              <a:noFill/>
            </a:ln>
            <a:effectLst/>
          </c:spPr>
          <c:invertIfNegative val="0"/>
          <c:dPt>
            <c:idx val="0"/>
            <c:invertIfNegative val="0"/>
            <c:bubble3D val="0"/>
            <c:spPr>
              <a:solidFill>
                <a:schemeClr val="bg1">
                  <a:lumMod val="75000"/>
                </a:schemeClr>
              </a:solidFill>
              <a:ln>
                <a:noFill/>
              </a:ln>
              <a:effectLst/>
            </c:spPr>
            <c:extLst>
              <c:ext xmlns:c16="http://schemas.microsoft.com/office/drawing/2014/chart" uri="{C3380CC4-5D6E-409C-BE32-E72D297353CC}">
                <c16:uniqueId val="{00000001-1624-4498-B3F8-07317FB9FF8F}"/>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1624-4498-B3F8-07317FB9FF8F}"/>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'[Marine litter originating from shipping and fisheries.xlsx]Share of all litter'!$A$26:$A$30</c:f>
              <c:strCache>
                <c:ptCount val="5"/>
                <c:pt idx="0">
                  <c:v>Total</c:v>
                </c:pt>
                <c:pt idx="1">
                  <c:v>ATL</c:v>
                </c:pt>
                <c:pt idx="2">
                  <c:v>BAL</c:v>
                </c:pt>
                <c:pt idx="3">
                  <c:v>BLK</c:v>
                </c:pt>
                <c:pt idx="4">
                  <c:v>MED</c:v>
                </c:pt>
              </c:strCache>
            </c:strRef>
          </c:cat>
          <c:val>
            <c:numRef>
              <c:f>'[Marine litter originating from shipping and fisheries.xlsx]Share of all litter'!$E$26:$E$30</c:f>
              <c:numCache>
                <c:formatCode>General</c:formatCode>
                <c:ptCount val="5"/>
                <c:pt idx="0">
                  <c:v>0.839331629147822</c:v>
                </c:pt>
                <c:pt idx="1">
                  <c:v>0.76460530653688896</c:v>
                </c:pt>
                <c:pt idx="2">
                  <c:v>0.87528306822710999</c:v>
                </c:pt>
                <c:pt idx="3">
                  <c:v>0.94227405952919652</c:v>
                </c:pt>
                <c:pt idx="4">
                  <c:v>0.906522831965899</c:v>
                </c:pt>
              </c:numCache>
            </c:numRef>
          </c:val>
          <c:extLst>
            <c:ext xmlns:c16="http://schemas.microsoft.com/office/drawing/2014/chart" uri="{C3380CC4-5D6E-409C-BE32-E72D297353CC}">
              <c16:uniqueId val="{00000002-1624-4498-B3F8-07317FB9FF8F}"/>
            </c:ext>
          </c:extLst>
        </c:ser>
        <c:ser>
          <c:idx val="1"/>
          <c:order val="1"/>
          <c:tx>
            <c:strRef>
              <c:f>'[Marine litter originating from shipping and fisheries.xlsx]Share of all litter'!$D$25</c:f>
              <c:strCache>
                <c:ptCount val="1"/>
                <c:pt idx="0">
                  <c:v>Maritime activities</c:v>
                </c:pt>
              </c:strCache>
            </c:strRef>
          </c:tx>
          <c:spPr>
            <a:solidFill>
              <a:schemeClr val="accent5">
                <a:lumMod val="60000"/>
                <a:lumOff val="40000"/>
              </a:schemeClr>
            </a:solidFill>
            <a:ln>
              <a:noFill/>
            </a:ln>
            <a:effectLst/>
          </c:spPr>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4-1624-4498-B3F8-07317FB9FF8F}"/>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4-1624-4498-B3F8-07317FB9FF8F}"/>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'[Marine litter originating from shipping and fisheries.xlsx]Share of all litter'!$A$26:$A$30</c:f>
              <c:strCache>
                <c:ptCount val="5"/>
                <c:pt idx="0">
                  <c:v>Total</c:v>
                </c:pt>
                <c:pt idx="1">
                  <c:v>ATL</c:v>
                </c:pt>
                <c:pt idx="2">
                  <c:v>BAL</c:v>
                </c:pt>
                <c:pt idx="3">
                  <c:v>BLK</c:v>
                </c:pt>
                <c:pt idx="4">
                  <c:v>MED</c:v>
                </c:pt>
              </c:strCache>
            </c:strRef>
          </c:cat>
          <c:val>
            <c:numRef>
              <c:f>'[Marine litter originating from shipping and fisheries.xlsx]Share of all litter'!$D$26:$D$30</c:f>
              <c:numCache>
                <c:formatCode>General</c:formatCode>
                <c:ptCount val="5"/>
                <c:pt idx="0">
                  <c:v>0.160668370852178</c:v>
                </c:pt>
                <c:pt idx="1">
                  <c:v>0.23539469346311101</c:v>
                </c:pt>
                <c:pt idx="2">
                  <c:v>0.12471693177289001</c:v>
                </c:pt>
                <c:pt idx="3">
                  <c:v>5.7725940470803497E-2</c:v>
                </c:pt>
                <c:pt idx="4">
                  <c:v>9.3477168034100999E-2</c:v>
                </c:pt>
              </c:numCache>
            </c:numRef>
          </c:val>
          <c:extLst>
            <c:ext xmlns:c16="http://schemas.microsoft.com/office/drawing/2014/chart" uri="{C3380CC4-5D6E-409C-BE32-E72D297353CC}">
              <c16:uniqueId val="{00000005-1624-4498-B3F8-07317FB9FF8F}"/>
            </c:ext>
          </c:extLst>
        </c:ser>
        <c:dLbls>
          <c:showLegendKey val="0"/>
          <c:showVal val="0"/>
          <c:showCatName val="0"/>
          <c:showSerName val="0"/>
          <c:showPercent val="0"/>
          <c:showBubbleSize val="0"/>
        </c:dLbls>
        <c:gapWidth val="25"/>
        <c:overlap val="100"/>
        <c:axId val="952438128"/>
        <c:axId val="903189263"/>
      </c:barChart>
      <c:catAx>
        <c:axId val="952438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3189263"/>
        <c:crosses val="autoZero"/>
        <c:auto val="1"/>
        <c:lblAlgn val="ctr"/>
        <c:lblOffset val="100"/>
        <c:noMultiLvlLbl val="0"/>
      </c:catAx>
      <c:valAx>
        <c:axId val="9031892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438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GB" sz="1000" b="1"/>
              <a:t>Share of litter originating from 'shipping' and 'fisheries and mariculture</a:t>
            </a:r>
            <a:r>
              <a:rPr lang="en-GB" sz="1000" b="1" baseline="0"/>
              <a:t>', by regional sea</a:t>
            </a:r>
            <a:endParaRPr lang="en-GB" sz="1000" b="1"/>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2"/>
          <c:order val="0"/>
          <c:tx>
            <c:strRef>
              <c:f>'[Marine litter originating from shipping and fisheries.xlsx]Share of all litter'!$F$2</c:f>
              <c:strCache>
                <c:ptCount val="1"/>
                <c:pt idx="0">
                  <c:v>Other source</c:v>
                </c:pt>
              </c:strCache>
            </c:strRef>
          </c:tx>
          <c:spPr>
            <a:solidFill>
              <a:schemeClr val="bg1">
                <a:lumMod val="95000"/>
              </a:schemeClr>
            </a:solidFill>
            <a:ln>
              <a:noFill/>
            </a:ln>
            <a:effectLst/>
          </c:spPr>
          <c:invertIfNegative val="0"/>
          <c:dPt>
            <c:idx val="0"/>
            <c:invertIfNegative val="0"/>
            <c:bubble3D val="0"/>
            <c:spPr>
              <a:solidFill>
                <a:schemeClr val="bg1">
                  <a:lumMod val="75000"/>
                </a:schemeClr>
              </a:solidFill>
              <a:ln>
                <a:noFill/>
              </a:ln>
              <a:effectLst/>
            </c:spPr>
            <c:extLst>
              <c:ext xmlns:c16="http://schemas.microsoft.com/office/drawing/2014/chart" uri="{C3380CC4-5D6E-409C-BE32-E72D297353CC}">
                <c16:uniqueId val="{00000001-6AD1-4936-BFAE-01AA4A6909D8}"/>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6AD1-4936-BFAE-01AA4A6909D8}"/>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'[Marine litter originating from shipping and fisheries.xlsx]Share of all litter'!$A$3:$A$7</c:f>
              <c:strCache>
                <c:ptCount val="5"/>
                <c:pt idx="0">
                  <c:v>Total</c:v>
                </c:pt>
                <c:pt idx="1">
                  <c:v>ATL</c:v>
                </c:pt>
                <c:pt idx="2">
                  <c:v>BAL</c:v>
                </c:pt>
                <c:pt idx="3">
                  <c:v>BLK</c:v>
                </c:pt>
                <c:pt idx="4">
                  <c:v>MED</c:v>
                </c:pt>
              </c:strCache>
            </c:strRef>
          </c:cat>
          <c:val>
            <c:numRef>
              <c:f>'[Marine litter originating from shipping and fisheries.xlsx]Share of all litter'!$F$3:$F$7</c:f>
              <c:numCache>
                <c:formatCode>General</c:formatCode>
                <c:ptCount val="5"/>
                <c:pt idx="0">
                  <c:v>0.86993095440707036</c:v>
                </c:pt>
                <c:pt idx="1">
                  <c:v>0.80204532205805013</c:v>
                </c:pt>
                <c:pt idx="2">
                  <c:v>0.91447951971977781</c:v>
                </c:pt>
                <c:pt idx="3">
                  <c:v>0.96149796878112503</c:v>
                </c:pt>
                <c:pt idx="4">
                  <c:v>0.92380285411484353</c:v>
                </c:pt>
              </c:numCache>
            </c:numRef>
          </c:val>
          <c:extLst>
            <c:ext xmlns:c16="http://schemas.microsoft.com/office/drawing/2014/chart" uri="{C3380CC4-5D6E-409C-BE32-E72D297353CC}">
              <c16:uniqueId val="{00000002-6AD1-4936-BFAE-01AA4A6909D8}"/>
            </c:ext>
          </c:extLst>
        </c:ser>
        <c:ser>
          <c:idx val="0"/>
          <c:order val="1"/>
          <c:tx>
            <c:strRef>
              <c:f>'[Marine litter originating from shipping and fisheries.xlsx]Share of all litter'!$D$2</c:f>
              <c:strCache>
                <c:ptCount val="1"/>
                <c:pt idx="0">
                  <c:v>Shipping</c:v>
                </c:pt>
              </c:strCache>
            </c:strRef>
          </c:tx>
          <c:spPr>
            <a:solidFill>
              <a:schemeClr val="accent4">
                <a:lumMod val="40000"/>
                <a:lumOff val="60000"/>
              </a:schemeClr>
            </a:solidFill>
            <a:ln>
              <a:noFill/>
            </a:ln>
            <a:effectLst/>
          </c:spPr>
          <c:invertIfNegative val="0"/>
          <c:dPt>
            <c:idx val="0"/>
            <c:invertIfNegative val="0"/>
            <c:bubble3D val="0"/>
            <c:spPr>
              <a:solidFill>
                <a:schemeClr val="accent4"/>
              </a:solidFill>
              <a:ln>
                <a:noFill/>
              </a:ln>
              <a:effectLst/>
            </c:spPr>
            <c:extLst>
              <c:ext xmlns:c16="http://schemas.microsoft.com/office/drawing/2014/chart" uri="{C3380CC4-5D6E-409C-BE32-E72D297353CC}">
                <c16:uniqueId val="{00000004-6AD1-4936-BFAE-01AA4A6909D8}"/>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4-6AD1-4936-BFAE-01AA4A6909D8}"/>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'[Marine litter originating from shipping and fisheries.xlsx]Share of all litter'!$A$3:$A$7</c:f>
              <c:strCache>
                <c:ptCount val="5"/>
                <c:pt idx="0">
                  <c:v>Total</c:v>
                </c:pt>
                <c:pt idx="1">
                  <c:v>ATL</c:v>
                </c:pt>
                <c:pt idx="2">
                  <c:v>BAL</c:v>
                </c:pt>
                <c:pt idx="3">
                  <c:v>BLK</c:v>
                </c:pt>
                <c:pt idx="4">
                  <c:v>MED</c:v>
                </c:pt>
              </c:strCache>
            </c:strRef>
          </c:cat>
          <c:val>
            <c:numRef>
              <c:f>'[Marine litter originating from shipping and fisheries.xlsx]Share of all litter'!$D$3:$D$7</c:f>
              <c:numCache>
                <c:formatCode>General</c:formatCode>
                <c:ptCount val="5"/>
                <c:pt idx="0">
                  <c:v>1.7918326171389699E-2</c:v>
                </c:pt>
                <c:pt idx="1">
                  <c:v>1.24104880197968E-2</c:v>
                </c:pt>
                <c:pt idx="2">
                  <c:v>3.13965310958449E-2</c:v>
                </c:pt>
                <c:pt idx="3">
                  <c:v>1.01176241458601E-2</c:v>
                </c:pt>
                <c:pt idx="4">
                  <c:v>2.2514742009605699E-2</c:v>
                </c:pt>
              </c:numCache>
            </c:numRef>
          </c:val>
          <c:extLst>
            <c:ext xmlns:c16="http://schemas.microsoft.com/office/drawing/2014/chart" uri="{C3380CC4-5D6E-409C-BE32-E72D297353CC}">
              <c16:uniqueId val="{00000005-6AD1-4936-BFAE-01AA4A6909D8}"/>
            </c:ext>
          </c:extLst>
        </c:ser>
        <c:ser>
          <c:idx val="1"/>
          <c:order val="2"/>
          <c:tx>
            <c:strRef>
              <c:f>'[Marine litter originating from shipping and fisheries.xlsx]Share of all litter'!$E$2</c:f>
              <c:strCache>
                <c:ptCount val="1"/>
                <c:pt idx="0">
                  <c:v>Fishing and mariculture</c:v>
                </c:pt>
              </c:strCache>
            </c:strRef>
          </c:tx>
          <c:spPr>
            <a:solidFill>
              <a:schemeClr val="accent5">
                <a:lumMod val="60000"/>
                <a:lumOff val="40000"/>
              </a:schemeClr>
            </a:solidFill>
            <a:ln>
              <a:noFill/>
            </a:ln>
            <a:effectLst/>
          </c:spPr>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7-6AD1-4936-BFAE-01AA4A6909D8}"/>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7-6AD1-4936-BFAE-01AA4A6909D8}"/>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'[Marine litter originating from shipping and fisheries.xlsx]Share of all litter'!$A$3:$A$7</c:f>
              <c:strCache>
                <c:ptCount val="5"/>
                <c:pt idx="0">
                  <c:v>Total</c:v>
                </c:pt>
                <c:pt idx="1">
                  <c:v>ATL</c:v>
                </c:pt>
                <c:pt idx="2">
                  <c:v>BAL</c:v>
                </c:pt>
                <c:pt idx="3">
                  <c:v>BLK</c:v>
                </c:pt>
                <c:pt idx="4">
                  <c:v>MED</c:v>
                </c:pt>
              </c:strCache>
            </c:strRef>
          </c:cat>
          <c:val>
            <c:numRef>
              <c:f>'[Marine litter originating from shipping and fisheries.xlsx]Share of all litter'!$E$3:$E$7</c:f>
              <c:numCache>
                <c:formatCode>General</c:formatCode>
                <c:ptCount val="5"/>
                <c:pt idx="0">
                  <c:v>0.11215071942153999</c:v>
                </c:pt>
                <c:pt idx="1">
                  <c:v>0.18554418992215299</c:v>
                </c:pt>
                <c:pt idx="2">
                  <c:v>5.4123949184377199E-2</c:v>
                </c:pt>
                <c:pt idx="3">
                  <c:v>2.8384407073014799E-2</c:v>
                </c:pt>
                <c:pt idx="4">
                  <c:v>5.3682403875550802E-2</c:v>
                </c:pt>
              </c:numCache>
            </c:numRef>
          </c:val>
          <c:extLst>
            <c:ext xmlns:c16="http://schemas.microsoft.com/office/drawing/2014/chart" uri="{C3380CC4-5D6E-409C-BE32-E72D297353CC}">
              <c16:uniqueId val="{00000008-6AD1-4936-BFAE-01AA4A6909D8}"/>
            </c:ext>
          </c:extLst>
        </c:ser>
        <c:dLbls>
          <c:showLegendKey val="0"/>
          <c:showVal val="0"/>
          <c:showCatName val="0"/>
          <c:showSerName val="0"/>
          <c:showPercent val="0"/>
          <c:showBubbleSize val="0"/>
        </c:dLbls>
        <c:gapWidth val="25"/>
        <c:overlap val="100"/>
        <c:axId val="952438128"/>
        <c:axId val="903189263"/>
      </c:barChart>
      <c:catAx>
        <c:axId val="952438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3189263"/>
        <c:crosses val="autoZero"/>
        <c:auto val="1"/>
        <c:lblAlgn val="ctr"/>
        <c:lblOffset val="100"/>
        <c:noMultiLvlLbl val="0"/>
      </c:catAx>
      <c:valAx>
        <c:axId val="9031892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438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1" i="0" u="none" strike="noStrike" kern="1200" spc="0" baseline="0">
                <a:solidFill>
                  <a:sysClr val="windowText" lastClr="000000">
                    <a:lumMod val="65000"/>
                    <a:lumOff val="35000"/>
                  </a:sysClr>
                </a:solidFill>
              </a:rPr>
              <a:t>Median of litter items per 100 m, by source category and year</a:t>
            </a: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'[Marine litter originating from shipping and fisheries.xlsx]Full time series'!$F$2</c:f>
              <c:strCache>
                <c:ptCount val="1"/>
                <c:pt idx="0">
                  <c:v>Maritime activities</c:v>
                </c:pt>
              </c:strCache>
            </c:strRef>
          </c:tx>
          <c:spPr>
            <a:solidFill>
              <a:schemeClr val="tx2">
                <a:lumMod val="40000"/>
                <a:lumOff val="60000"/>
              </a:schemeClr>
            </a:solidFill>
            <a:ln>
              <a:noFill/>
            </a:ln>
            <a:effectLst/>
          </c:spPr>
          <c:invertIfNegative val="0"/>
          <c:cat>
            <c:numRef>
              <c:f>'[Marine litter originating from shipping and fisheries.xlsx]Full time series'!$B$3:$B$12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'[Marine litter originating from shipping and fisheries.xlsx]Full time series'!$F$3:$F$12</c:f>
              <c:numCache>
                <c:formatCode>General</c:formatCode>
                <c:ptCount val="10"/>
                <c:pt idx="0">
                  <c:v>27.6875</c:v>
                </c:pt>
                <c:pt idx="1">
                  <c:v>28.5208333333333</c:v>
                </c:pt>
                <c:pt idx="2">
                  <c:v>24</c:v>
                </c:pt>
                <c:pt idx="3">
                  <c:v>26.125</c:v>
                </c:pt>
                <c:pt idx="4">
                  <c:v>34.25</c:v>
                </c:pt>
                <c:pt idx="5">
                  <c:v>34.4583333333333</c:v>
                </c:pt>
                <c:pt idx="6">
                  <c:v>26.21875</c:v>
                </c:pt>
                <c:pt idx="7">
                  <c:v>20.125</c:v>
                </c:pt>
                <c:pt idx="8">
                  <c:v>18.28125</c:v>
                </c:pt>
                <c:pt idx="9">
                  <c:v>14.21875</c:v>
                </c:pt>
              </c:numCache>
            </c:numRef>
          </c:val>
          <c:extLst>
            <c:ext xmlns:c16="http://schemas.microsoft.com/office/drawing/2014/chart" uri="{C3380CC4-5D6E-409C-BE32-E72D297353CC}">
              <c16:uniqueId val="{00000000-10C7-45DE-B1E1-3A326C2C1DAC}"/>
            </c:ext>
          </c:extLst>
        </c:ser>
        <c:ser>
          <c:idx val="1"/>
          <c:order val="1"/>
          <c:tx>
            <c:strRef>
              <c:f>'[Marine litter originating from shipping and fisheries.xlsx]Full time series'!$G$2</c:f>
              <c:strCache>
                <c:ptCount val="1"/>
                <c:pt idx="0">
                  <c:v>Shipping</c:v>
                </c:pt>
              </c:strCache>
            </c:strRef>
          </c:tx>
          <c:spPr>
            <a:solidFill>
              <a:schemeClr val="accent4"/>
            </a:solidFill>
            <a:ln>
              <a:noFill/>
            </a:ln>
            <a:effectLst/>
          </c:spPr>
          <c:invertIfNegative val="0"/>
          <c:cat>
            <c:numRef>
              <c:f>'[Marine litter originating from shipping and fisheries.xlsx]Full time series'!$B$3:$B$12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'[Marine litter originating from shipping and fisheries.xlsx]Full time series'!$G$3:$G$12</c:f>
              <c:numCache>
                <c:formatCode>General</c:formatCode>
                <c:ptCount val="10"/>
                <c:pt idx="0">
                  <c:v>2.59375</c:v>
                </c:pt>
                <c:pt idx="1">
                  <c:v>3</c:v>
                </c:pt>
                <c:pt idx="2">
                  <c:v>2.2902046783625698</c:v>
                </c:pt>
                <c:pt idx="3">
                  <c:v>3.015625</c:v>
                </c:pt>
                <c:pt idx="4">
                  <c:v>2.6136363636363602</c:v>
                </c:pt>
                <c:pt idx="5">
                  <c:v>2.4375</c:v>
                </c:pt>
                <c:pt idx="6">
                  <c:v>1.6087962962963001</c:v>
                </c:pt>
                <c:pt idx="7">
                  <c:v>1.6666666666666701</c:v>
                </c:pt>
                <c:pt idx="8">
                  <c:v>1.3541666666666701</c:v>
                </c:pt>
                <c:pt idx="9">
                  <c:v>1.18640350877193</c:v>
                </c:pt>
              </c:numCache>
            </c:numRef>
          </c:val>
          <c:extLst>
            <c:ext xmlns:c16="http://schemas.microsoft.com/office/drawing/2014/chart" uri="{C3380CC4-5D6E-409C-BE32-E72D297353CC}">
              <c16:uniqueId val="{00000001-10C7-45DE-B1E1-3A326C2C1DAC}"/>
            </c:ext>
          </c:extLst>
        </c:ser>
        <c:ser>
          <c:idx val="2"/>
          <c:order val="2"/>
          <c:tx>
            <c:strRef>
              <c:f>'[Marine litter originating from shipping and fisheries.xlsx]Full time series'!$H$2</c:f>
              <c:strCache>
                <c:ptCount val="1"/>
                <c:pt idx="0">
                  <c:v>Fishing</c:v>
                </c:pt>
              </c:strCache>
            </c:strRef>
          </c:tx>
          <c:spPr>
            <a:solidFill>
              <a:schemeClr val="accent1"/>
            </a:solidFill>
            <a:ln>
              <a:noFill/>
            </a:ln>
            <a:effectLst/>
          </c:spPr>
          <c:invertIfNegative val="0"/>
          <c:cat>
            <c:numRef>
              <c:f>'[Marine litter originating from shipping and fisheries.xlsx]Full time series'!$B$3:$B$12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'[Marine litter originating from shipping and fisheries.xlsx]Full time series'!$H$3:$H$12</c:f>
              <c:numCache>
                <c:formatCode>General</c:formatCode>
                <c:ptCount val="10"/>
                <c:pt idx="0">
                  <c:v>14.6761734997029</c:v>
                </c:pt>
                <c:pt idx="1">
                  <c:v>14.125</c:v>
                </c:pt>
                <c:pt idx="2">
                  <c:v>12.25</c:v>
                </c:pt>
                <c:pt idx="3">
                  <c:v>13</c:v>
                </c:pt>
                <c:pt idx="4">
                  <c:v>20.0625</c:v>
                </c:pt>
                <c:pt idx="5">
                  <c:v>19.900240384615401</c:v>
                </c:pt>
                <c:pt idx="6">
                  <c:v>15.0625</c:v>
                </c:pt>
                <c:pt idx="7">
                  <c:v>10.5520833333333</c:v>
                </c:pt>
                <c:pt idx="8">
                  <c:v>12.5</c:v>
                </c:pt>
                <c:pt idx="9">
                  <c:v>8.7916666666666696</c:v>
                </c:pt>
              </c:numCache>
            </c:numRef>
          </c:val>
          <c:extLst>
            <c:ext xmlns:c16="http://schemas.microsoft.com/office/drawing/2014/chart" uri="{C3380CC4-5D6E-409C-BE32-E72D297353CC}">
              <c16:uniqueId val="{00000002-10C7-45DE-B1E1-3A326C2C1DAC}"/>
            </c:ext>
          </c:extLst>
        </c:ser>
        <c:dLbls>
          <c:showLegendKey val="0"/>
          <c:showVal val="0"/>
          <c:showCatName val="0"/>
          <c:showSerName val="0"/>
          <c:showPercent val="0"/>
          <c:showBubbleSize val="0"/>
        </c:dLbls>
        <c:gapWidth val="219"/>
        <c:overlap val="-27"/>
        <c:axId val="679806207"/>
        <c:axId val="70727439"/>
      </c:barChart>
      <c:catAx>
        <c:axId val="67980620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27439"/>
        <c:crosses val="autoZero"/>
        <c:auto val="1"/>
        <c:lblAlgn val="ctr"/>
        <c:lblOffset val="100"/>
        <c:noMultiLvlLbl val="0"/>
      </c:catAx>
      <c:valAx>
        <c:axId val="707274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Median items/100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98062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tx1">
                    <a:lumMod val="65000"/>
                    <a:lumOff val="35000"/>
                  </a:schemeClr>
                </a:solidFill>
                <a:latin typeface="+mn-lt"/>
                <a:ea typeface="+mn-ea"/>
                <a:cs typeface="+mn-cs"/>
              </a:defRPr>
            </a:pPr>
            <a:r>
              <a:rPr lang="en-GB" sz="1400"/>
              <a:t>Amounts Discharged at Sea</a:t>
            </a:r>
          </a:p>
        </c:rich>
      </c:tx>
      <c:overlay val="0"/>
      <c:spPr>
        <a:noFill/>
        <a:ln>
          <a:noFill/>
        </a:ln>
        <a:effectLst/>
      </c:spPr>
      <c:txPr>
        <a:bodyPr rot="0" spcFirstLastPara="1" vertOverflow="ellipsis" vert="horz" wrap="square" anchor="ctr" anchorCtr="1"/>
        <a:lstStyle/>
        <a:p>
          <a:pPr>
            <a:defRPr sz="2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Sheet1!$A$12</c:f>
              <c:strCache>
                <c:ptCount val="1"/>
                <c:pt idx="0">
                  <c:v>MARPOL ANNEX I</c:v>
                </c:pt>
              </c:strCache>
            </c:strRef>
          </c:tx>
          <c:spPr>
            <a:solidFill>
              <a:schemeClr val="accent1"/>
            </a:solidFill>
            <a:ln>
              <a:noFill/>
            </a:ln>
            <a:effectLst/>
          </c:spPr>
          <c:invertIfNegative val="0"/>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Sheet1!$B$11:$C$11</c:f>
              <c:numCache>
                <c:formatCode>General</c:formatCode>
                <c:ptCount val="2"/>
                <c:pt idx="0">
                  <c:v>2022</c:v>
                </c:pt>
                <c:pt idx="1">
                  <c:v>2023</c:v>
                </c:pt>
              </c:numCache>
            </c:numRef>
          </c:cat>
          <c:val>
            <c:numRef>
              <c:f>Sheet1!$B$12:$C$12</c:f>
              <c:numCache>
                <c:formatCode>General</c:formatCode>
                <c:ptCount val="2"/>
                <c:pt idx="0">
                  <c:v>1973</c:v>
                </c:pt>
                <c:pt idx="1">
                  <c:v>1419</c:v>
                </c:pt>
              </c:numCache>
            </c:numRef>
          </c:val>
          <c:extLst>
            <c:ext xmlns:c16="http://schemas.microsoft.com/office/drawing/2014/chart" uri="{C3380CC4-5D6E-409C-BE32-E72D297353CC}">
              <c16:uniqueId val="{00000000-5DA3-49A1-9BF0-4F275A3E19F2}"/>
            </c:ext>
          </c:extLst>
        </c:ser>
        <c:ser>
          <c:idx val="1"/>
          <c:order val="1"/>
          <c:tx>
            <c:strRef>
              <c:f>Sheet1!$A$13</c:f>
              <c:strCache>
                <c:ptCount val="1"/>
                <c:pt idx="0">
                  <c:v>MARPOL ANNEX II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Sheet1!$B$11:$C$11</c:f>
              <c:numCache>
                <c:formatCode>General</c:formatCode>
                <c:ptCount val="2"/>
                <c:pt idx="0">
                  <c:v>2022</c:v>
                </c:pt>
                <c:pt idx="1">
                  <c:v>2023</c:v>
                </c:pt>
              </c:numCache>
            </c:numRef>
          </c:cat>
          <c:val>
            <c:numRef>
              <c:f>Sheet1!$B$13:$C$13</c:f>
              <c:numCache>
                <c:formatCode>General</c:formatCode>
                <c:ptCount val="2"/>
                <c:pt idx="0">
                  <c:v>356</c:v>
                </c:pt>
                <c:pt idx="1">
                  <c:v>850</c:v>
                </c:pt>
              </c:numCache>
            </c:numRef>
          </c:val>
          <c:extLst>
            <c:ext xmlns:c16="http://schemas.microsoft.com/office/drawing/2014/chart" uri="{C3380CC4-5D6E-409C-BE32-E72D297353CC}">
              <c16:uniqueId val="{00000001-5DA3-49A1-9BF0-4F275A3E19F2}"/>
            </c:ext>
          </c:extLst>
        </c:ser>
        <c:ser>
          <c:idx val="2"/>
          <c:order val="2"/>
          <c:tx>
            <c:strRef>
              <c:f>Sheet1!$A$14</c:f>
              <c:strCache>
                <c:ptCount val="1"/>
                <c:pt idx="0">
                  <c:v>MARPOL ANNEX IV</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Sheet1!$B$11:$C$11</c:f>
              <c:numCache>
                <c:formatCode>General</c:formatCode>
                <c:ptCount val="2"/>
                <c:pt idx="0">
                  <c:v>2022</c:v>
                </c:pt>
                <c:pt idx="1">
                  <c:v>2023</c:v>
                </c:pt>
              </c:numCache>
            </c:numRef>
          </c:cat>
          <c:val>
            <c:numRef>
              <c:f>Sheet1!$B$14:$C$14</c:f>
              <c:numCache>
                <c:formatCode>General</c:formatCode>
                <c:ptCount val="2"/>
                <c:pt idx="0">
                  <c:v>359</c:v>
                </c:pt>
                <c:pt idx="1">
                  <c:v>3249</c:v>
                </c:pt>
              </c:numCache>
            </c:numRef>
          </c:val>
          <c:extLst>
            <c:ext xmlns:c16="http://schemas.microsoft.com/office/drawing/2014/chart" uri="{C3380CC4-5D6E-409C-BE32-E72D297353CC}">
              <c16:uniqueId val="{00000002-5DA3-49A1-9BF0-4F275A3E19F2}"/>
            </c:ext>
          </c:extLst>
        </c:ser>
        <c:ser>
          <c:idx val="3"/>
          <c:order val="3"/>
          <c:tx>
            <c:strRef>
              <c:f>Sheet1!$A$15</c:f>
              <c:strCache>
                <c:ptCount val="1"/>
                <c:pt idx="0">
                  <c:v>MARPOL ANNEX V</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Sheet1!$B$11:$C$11</c:f>
              <c:numCache>
                <c:formatCode>General</c:formatCode>
                <c:ptCount val="2"/>
                <c:pt idx="0">
                  <c:v>2022</c:v>
                </c:pt>
                <c:pt idx="1">
                  <c:v>2023</c:v>
                </c:pt>
              </c:numCache>
            </c:numRef>
          </c:cat>
          <c:val>
            <c:numRef>
              <c:f>Sheet1!$B$15:$C$15</c:f>
              <c:numCache>
                <c:formatCode>General</c:formatCode>
                <c:ptCount val="2"/>
                <c:pt idx="0">
                  <c:v>485</c:v>
                </c:pt>
                <c:pt idx="1">
                  <c:v>2175</c:v>
                </c:pt>
              </c:numCache>
            </c:numRef>
          </c:val>
          <c:extLst>
            <c:ext xmlns:c16="http://schemas.microsoft.com/office/drawing/2014/chart" uri="{C3380CC4-5D6E-409C-BE32-E72D297353CC}">
              <c16:uniqueId val="{00000003-5DA3-49A1-9BF0-4F275A3E19F2}"/>
            </c:ext>
          </c:extLst>
        </c:ser>
        <c:dLbls>
          <c:dLblPos val="ctr"/>
          <c:showLegendKey val="0"/>
          <c:showVal val="1"/>
          <c:showCatName val="0"/>
          <c:showSerName val="0"/>
          <c:showPercent val="0"/>
          <c:showBubbleSize val="0"/>
        </c:dLbls>
        <c:gapWidth val="150"/>
        <c:overlap val="100"/>
        <c:axId val="485393312"/>
        <c:axId val="243604928"/>
      </c:barChart>
      <c:catAx>
        <c:axId val="485393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243604928"/>
        <c:crosses val="autoZero"/>
        <c:auto val="1"/>
        <c:lblAlgn val="ctr"/>
        <c:lblOffset val="100"/>
        <c:noMultiLvlLbl val="0"/>
      </c:catAx>
      <c:valAx>
        <c:axId val="243604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r>
                  <a:rPr lang="en-US" sz="1600"/>
                  <a:t>m</a:t>
                </a:r>
                <a:r>
                  <a:rPr lang="en-US" sz="1600" baseline="30000"/>
                  <a:t>3</a:t>
                </a:r>
              </a:p>
            </c:rich>
          </c:tx>
          <c:overlay val="0"/>
          <c:spPr>
            <a:noFill/>
            <a:ln>
              <a:noFill/>
            </a:ln>
            <a:effectLst/>
          </c:spPr>
          <c:txPr>
            <a:bodyPr rot="-540000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393312"/>
        <c:crosses val="autoZero"/>
        <c:crossBetween val="between"/>
      </c:valAx>
      <c:spPr>
        <a:noFill/>
        <a:ln>
          <a:noFill/>
        </a:ln>
        <a:effectLst/>
      </c:spPr>
    </c:plotArea>
    <c:legend>
      <c:legendPos val="b"/>
      <c:layout>
        <c:manualLayout>
          <c:xMode val="edge"/>
          <c:yMode val="edge"/>
          <c:x val="7.0194313028958677E-2"/>
          <c:y val="0.8237573064103183"/>
          <c:w val="0.88733118339417549"/>
          <c:h val="0.15170281628906815"/>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[EAFO DATA 2023.xlsx]Number of ports and berts with !PivotTable10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E"/>
              <a:t>Number of</a:t>
            </a:r>
            <a:r>
              <a:rPr lang="en-IE" baseline="0"/>
              <a:t> ports and berts with OPS in European ports</a:t>
            </a:r>
            <a:endParaRPr lang="en-I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0951829566178437"/>
          <c:y val="8.2971695073429566E-2"/>
          <c:w val="0.86027047947792978"/>
          <c:h val="0.77805037556119372"/>
        </c:manualLayout>
      </c:layout>
      <c:barChart>
        <c:barDir val="bar"/>
        <c:grouping val="clustered"/>
        <c:varyColors val="0"/>
        <c:ser>
          <c:idx val="0"/>
          <c:order val="0"/>
          <c:tx>
            <c:strRef>
              <c:f>'Number of ports and berts with '!$B$3</c:f>
              <c:strCache>
                <c:ptCount val="1"/>
                <c:pt idx="0">
                  <c:v>Ports</c:v>
                </c:pt>
              </c:strCache>
            </c:strRef>
          </c:tx>
          <c:spPr>
            <a:solidFill>
              <a:schemeClr val="accent1"/>
            </a:solidFill>
            <a:ln>
              <a:noFill/>
            </a:ln>
            <a:effectLst/>
          </c:spPr>
          <c:invertIfNegative val="0"/>
          <c:cat>
            <c:strRef>
              <c:f>'Number of ports and berts with '!$A$4:$A$23</c:f>
              <c:strCache>
                <c:ptCount val="19"/>
                <c:pt idx="0">
                  <c:v>SK</c:v>
                </c:pt>
                <c:pt idx="1">
                  <c:v>SE</c:v>
                </c:pt>
                <c:pt idx="2">
                  <c:v>RO</c:v>
                </c:pt>
                <c:pt idx="3">
                  <c:v>PL</c:v>
                </c:pt>
                <c:pt idx="4">
                  <c:v>NO</c:v>
                </c:pt>
                <c:pt idx="5">
                  <c:v>NL</c:v>
                </c:pt>
                <c:pt idx="6">
                  <c:v>MT</c:v>
                </c:pt>
                <c:pt idx="7">
                  <c:v>LV</c:v>
                </c:pt>
                <c:pt idx="8">
                  <c:v>LT</c:v>
                </c:pt>
                <c:pt idx="9">
                  <c:v>IT</c:v>
                </c:pt>
                <c:pt idx="10">
                  <c:v>FR</c:v>
                </c:pt>
                <c:pt idx="11">
                  <c:v>FI</c:v>
                </c:pt>
                <c:pt idx="12">
                  <c:v>ES</c:v>
                </c:pt>
                <c:pt idx="13">
                  <c:v>EE</c:v>
                </c:pt>
                <c:pt idx="14">
                  <c:v>DK</c:v>
                </c:pt>
                <c:pt idx="15">
                  <c:v>DE</c:v>
                </c:pt>
                <c:pt idx="16">
                  <c:v>CH</c:v>
                </c:pt>
                <c:pt idx="17">
                  <c:v>BE</c:v>
                </c:pt>
                <c:pt idx="18">
                  <c:v>AT</c:v>
                </c:pt>
              </c:strCache>
            </c:strRef>
          </c:cat>
          <c:val>
            <c:numRef>
              <c:f>'Number of ports and berts with '!$B$4:$B$23</c:f>
              <c:numCache>
                <c:formatCode>General</c:formatCode>
                <c:ptCount val="19"/>
                <c:pt idx="0">
                  <c:v>1</c:v>
                </c:pt>
                <c:pt idx="1">
                  <c:v>8</c:v>
                </c:pt>
                <c:pt idx="2">
                  <c:v>2</c:v>
                </c:pt>
                <c:pt idx="3">
                  <c:v>1</c:v>
                </c:pt>
                <c:pt idx="4">
                  <c:v>39</c:v>
                </c:pt>
                <c:pt idx="5">
                  <c:v>2</c:v>
                </c:pt>
                <c:pt idx="6">
                  <c:v>1</c:v>
                </c:pt>
                <c:pt idx="7">
                  <c:v>3</c:v>
                </c:pt>
                <c:pt idx="8">
                  <c:v>1</c:v>
                </c:pt>
                <c:pt idx="9">
                  <c:v>3</c:v>
                </c:pt>
                <c:pt idx="10">
                  <c:v>5</c:v>
                </c:pt>
                <c:pt idx="11">
                  <c:v>4</c:v>
                </c:pt>
                <c:pt idx="12">
                  <c:v>7</c:v>
                </c:pt>
                <c:pt idx="13">
                  <c:v>1</c:v>
                </c:pt>
                <c:pt idx="14">
                  <c:v>6</c:v>
                </c:pt>
                <c:pt idx="15">
                  <c:v>6</c:v>
                </c:pt>
                <c:pt idx="16">
                  <c:v>1</c:v>
                </c:pt>
                <c:pt idx="17">
                  <c:v>3</c:v>
                </c:pt>
                <c:pt idx="18">
                  <c:v>2</c:v>
                </c:pt>
              </c:numCache>
            </c:numRef>
          </c:val>
          <c:extLst>
            <c:ext xmlns:c16="http://schemas.microsoft.com/office/drawing/2014/chart" uri="{C3380CC4-5D6E-409C-BE32-E72D297353CC}">
              <c16:uniqueId val="{00000000-893C-4741-B6E5-EF1C1648B11A}"/>
            </c:ext>
          </c:extLst>
        </c:ser>
        <c:ser>
          <c:idx val="1"/>
          <c:order val="1"/>
          <c:tx>
            <c:strRef>
              <c:f>'Number of ports and berts with '!$C$3</c:f>
              <c:strCache>
                <c:ptCount val="1"/>
                <c:pt idx="0">
                  <c:v>Berth Connections</c:v>
                </c:pt>
              </c:strCache>
            </c:strRef>
          </c:tx>
          <c:spPr>
            <a:solidFill>
              <a:schemeClr val="accent2"/>
            </a:solidFill>
            <a:ln>
              <a:noFill/>
            </a:ln>
            <a:effectLst/>
          </c:spPr>
          <c:invertIfNegative val="0"/>
          <c:cat>
            <c:strRef>
              <c:f>'Number of ports and berts with '!$A$4:$A$23</c:f>
              <c:strCache>
                <c:ptCount val="19"/>
                <c:pt idx="0">
                  <c:v>SK</c:v>
                </c:pt>
                <c:pt idx="1">
                  <c:v>SE</c:v>
                </c:pt>
                <c:pt idx="2">
                  <c:v>RO</c:v>
                </c:pt>
                <c:pt idx="3">
                  <c:v>PL</c:v>
                </c:pt>
                <c:pt idx="4">
                  <c:v>NO</c:v>
                </c:pt>
                <c:pt idx="5">
                  <c:v>NL</c:v>
                </c:pt>
                <c:pt idx="6">
                  <c:v>MT</c:v>
                </c:pt>
                <c:pt idx="7">
                  <c:v>LV</c:v>
                </c:pt>
                <c:pt idx="8">
                  <c:v>LT</c:v>
                </c:pt>
                <c:pt idx="9">
                  <c:v>IT</c:v>
                </c:pt>
                <c:pt idx="10">
                  <c:v>FR</c:v>
                </c:pt>
                <c:pt idx="11">
                  <c:v>FI</c:v>
                </c:pt>
                <c:pt idx="12">
                  <c:v>ES</c:v>
                </c:pt>
                <c:pt idx="13">
                  <c:v>EE</c:v>
                </c:pt>
                <c:pt idx="14">
                  <c:v>DK</c:v>
                </c:pt>
                <c:pt idx="15">
                  <c:v>DE</c:v>
                </c:pt>
                <c:pt idx="16">
                  <c:v>CH</c:v>
                </c:pt>
                <c:pt idx="17">
                  <c:v>BE</c:v>
                </c:pt>
                <c:pt idx="18">
                  <c:v>AT</c:v>
                </c:pt>
              </c:strCache>
            </c:strRef>
          </c:cat>
          <c:val>
            <c:numRef>
              <c:f>'Number of ports and berts with '!$C$4:$C$23</c:f>
              <c:numCache>
                <c:formatCode>General</c:formatCode>
                <c:ptCount val="19"/>
                <c:pt idx="0">
                  <c:v>46</c:v>
                </c:pt>
                <c:pt idx="1">
                  <c:v>12</c:v>
                </c:pt>
                <c:pt idx="2">
                  <c:v>40</c:v>
                </c:pt>
                <c:pt idx="3">
                  <c:v>1</c:v>
                </c:pt>
                <c:pt idx="4">
                  <c:v>212</c:v>
                </c:pt>
                <c:pt idx="5">
                  <c:v>26</c:v>
                </c:pt>
                <c:pt idx="6">
                  <c:v>1</c:v>
                </c:pt>
                <c:pt idx="7">
                  <c:v>27</c:v>
                </c:pt>
                <c:pt idx="8">
                  <c:v>5</c:v>
                </c:pt>
                <c:pt idx="9">
                  <c:v>4</c:v>
                </c:pt>
                <c:pt idx="10">
                  <c:v>10</c:v>
                </c:pt>
                <c:pt idx="11">
                  <c:v>14</c:v>
                </c:pt>
                <c:pt idx="12">
                  <c:v>11</c:v>
                </c:pt>
                <c:pt idx="13">
                  <c:v>1</c:v>
                </c:pt>
                <c:pt idx="14">
                  <c:v>29</c:v>
                </c:pt>
                <c:pt idx="15">
                  <c:v>9</c:v>
                </c:pt>
                <c:pt idx="16">
                  <c:v>1</c:v>
                </c:pt>
                <c:pt idx="17">
                  <c:v>49</c:v>
                </c:pt>
                <c:pt idx="18">
                  <c:v>58</c:v>
                </c:pt>
              </c:numCache>
            </c:numRef>
          </c:val>
          <c:extLst>
            <c:ext xmlns:c16="http://schemas.microsoft.com/office/drawing/2014/chart" uri="{C3380CC4-5D6E-409C-BE32-E72D297353CC}">
              <c16:uniqueId val="{00000001-893C-4741-B6E5-EF1C1648B11A}"/>
            </c:ext>
          </c:extLst>
        </c:ser>
        <c:dLbls>
          <c:showLegendKey val="0"/>
          <c:showVal val="0"/>
          <c:showCatName val="0"/>
          <c:showSerName val="0"/>
          <c:showPercent val="0"/>
          <c:showBubbleSize val="0"/>
        </c:dLbls>
        <c:gapWidth val="182"/>
        <c:axId val="1381208447"/>
        <c:axId val="1381389311"/>
      </c:barChart>
      <c:catAx>
        <c:axId val="1381208447"/>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EU countries</a:t>
                </a:r>
              </a:p>
            </c:rich>
          </c:tx>
          <c:layout>
            <c:manualLayout>
              <c:xMode val="edge"/>
              <c:yMode val="edge"/>
              <c:x val="1.9744298190383768E-2"/>
              <c:y val="0.4509603244123129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389311"/>
        <c:crosses val="autoZero"/>
        <c:auto val="1"/>
        <c:lblAlgn val="ctr"/>
        <c:lblOffset val="100"/>
        <c:noMultiLvlLbl val="0"/>
      </c:catAx>
      <c:valAx>
        <c:axId val="138138931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Number</a:t>
                </a:r>
              </a:p>
            </c:rich>
          </c:tx>
          <c:layout>
            <c:manualLayout>
              <c:xMode val="edge"/>
              <c:yMode val="edge"/>
              <c:x val="0.5154632187909719"/>
              <c:y val="0.9296603838433502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208447"/>
        <c:crosses val="autoZero"/>
        <c:crossBetween val="between"/>
      </c:valAx>
      <c:spPr>
        <a:noFill/>
        <a:ln>
          <a:noFill/>
        </a:ln>
        <a:effectLst/>
      </c:spPr>
    </c:plotArea>
    <c:legend>
      <c:legendPos val="r"/>
      <c:layout>
        <c:manualLayout>
          <c:xMode val="edge"/>
          <c:yMode val="edge"/>
          <c:x val="0.85337744278506789"/>
          <c:y val="0.32311534550445165"/>
          <c:w val="0.13202154750568146"/>
          <c:h val="0.2965207143549745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D08614C9-8C58-41C9-B325-EC89DA6A01CA}">
    <t:Anchor>
      <t:Comment id="388670277"/>
    </t:Anchor>
    <t:History>
      <t:Event id="{EE437D07-1C57-4261-AC38-0BA24E446010}" time="2023-10-20T13:53:00.374Z">
        <t:Attribution userId="S::claudia.cheio@emsa.europa.eu::62226e7c-0075-4248-9e26-c39d6c919675" userProvider="AD" userName="CHEIO Claudia (EMSA)"/>
        <t:Anchor>
          <t:Comment id="1478556372"/>
        </t:Anchor>
        <t:Create/>
      </t:Event>
      <t:Event id="{3DF670F4-8BED-46A1-8A63-66A79AE16BDB}" time="2023-10-20T13:53:00.374Z">
        <t:Attribution userId="S::claudia.cheio@emsa.europa.eu::62226e7c-0075-4248-9e26-c39d6c919675" userProvider="AD" userName="CHEIO Claudia (EMSA)"/>
        <t:Anchor>
          <t:Comment id="1478556372"/>
        </t:Anchor>
        <t:Assign userId="S::Sergio.ALDA@emsa.europa.eu::89cb50c0-54ef-45fa-82b2-abed23f96781" userProvider="AD" userName="ALDA Sergio (EMSA)"/>
      </t:Event>
      <t:Event id="{C6A3B0D5-4EFA-4388-8715-D81C24F946E5}" time="2023-10-20T13:53:00.374Z">
        <t:Attribution userId="S::claudia.cheio@emsa.europa.eu::62226e7c-0075-4248-9e26-c39d6c919675" userProvider="AD" userName="CHEIO Claudia (EMSA)"/>
        <t:Anchor>
          <t:Comment id="1478556372"/>
        </t:Anchor>
        <t:SetTitle title="@ALDA Sergio (EMSA)"/>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3CE6BE95D6064492F18C22A3037F20" ma:contentTypeVersion="17" ma:contentTypeDescription="Create a new document." ma:contentTypeScope="" ma:versionID="272d8a91ca69f22da747655a21711edb">
  <xsd:schema xmlns:xsd="http://www.w3.org/2001/XMLSchema" xmlns:xs="http://www.w3.org/2001/XMLSchema" xmlns:p="http://schemas.microsoft.com/office/2006/metadata/properties" xmlns:ns2="09ebf2d2-ff3d-41a3-b8d3-20da21a56573" xmlns:ns3="3345485b-0473-40f4-b2e4-69d2f3f2b609" targetNamespace="http://schemas.microsoft.com/office/2006/metadata/properties" ma:root="true" ma:fieldsID="12df999762f3b91094baebf9ef982110" ns2:_="" ns3:_="">
    <xsd:import namespace="09ebf2d2-ff3d-41a3-b8d3-20da21a56573"/>
    <xsd:import namespace="3345485b-0473-40f4-b2e4-69d2f3f2b6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ebf2d2-ff3d-41a3-b8d3-20da21a565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d248c55-9c44-49f8-9abb-57b90f6a0de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345485b-0473-40f4-b2e4-69d2f3f2b6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fad8a0e-cb2d-4773-8774-5f6d91c1c1a0}" ma:internalName="TaxCatchAll" ma:showField="CatchAllData" ma:web="3345485b-0473-40f4-b2e4-69d2f3f2b6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345485b-0473-40f4-b2e4-69d2f3f2b609">
      <UserInfo>
        <DisplayName>CUNHA Teresa (EMSA)</DisplayName>
        <AccountId>85</AccountId>
        <AccountType/>
      </UserInfo>
      <UserInfo>
        <DisplayName>CARMO Raquel (EMSA)</DisplayName>
        <AccountId>132</AccountId>
        <AccountType/>
      </UserInfo>
    </SharedWithUsers>
    <lcf76f155ced4ddcb4097134ff3c332f xmlns="09ebf2d2-ff3d-41a3-b8d3-20da21a56573">
      <Terms xmlns="http://schemas.microsoft.com/office/infopath/2007/PartnerControls"/>
    </lcf76f155ced4ddcb4097134ff3c332f>
    <TaxCatchAll xmlns="3345485b-0473-40f4-b2e4-69d2f3f2b60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7AE9B-D97A-403D-8BE8-0CDBF019A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ebf2d2-ff3d-41a3-b8d3-20da21a56573"/>
    <ds:schemaRef ds:uri="3345485b-0473-40f4-b2e4-69d2f3f2b6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29F9E-700B-4E43-B7A2-E7788AA7EFE7}">
  <ds:schemaRefs>
    <ds:schemaRef ds:uri="http://schemas.microsoft.com/office/2006/metadata/properties"/>
    <ds:schemaRef ds:uri="http://schemas.microsoft.com/office/infopath/2007/PartnerControls"/>
    <ds:schemaRef ds:uri="3345485b-0473-40f4-b2e4-69d2f3f2b609"/>
    <ds:schemaRef ds:uri="09ebf2d2-ff3d-41a3-b8d3-20da21a56573"/>
  </ds:schemaRefs>
</ds:datastoreItem>
</file>

<file path=customXml/itemProps3.xml><?xml version="1.0" encoding="utf-8"?>
<ds:datastoreItem xmlns:ds="http://schemas.openxmlformats.org/officeDocument/2006/customXml" ds:itemID="{34E68CC1-0FC7-4D60-B552-DA713D5774F9}">
  <ds:schemaRefs>
    <ds:schemaRef ds:uri="http://schemas.microsoft.com/sharepoint/v3/contenttype/forms"/>
  </ds:schemaRefs>
</ds:datastoreItem>
</file>

<file path=customXml/itemProps4.xml><?xml version="1.0" encoding="utf-8"?>
<ds:datastoreItem xmlns:ds="http://schemas.openxmlformats.org/officeDocument/2006/customXml" ds:itemID="{D93CC7DA-0754-47D1-A181-2127424D4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95931</Words>
  <Characters>546808</Characters>
  <Application>Microsoft Office Word</Application>
  <DocSecurity>8</DocSecurity>
  <Lines>4556</Lines>
  <Paragraphs>1282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641457</CharactersWithSpaces>
  <SharedDoc>false</SharedDoc>
  <HLinks>
    <vt:vector size="1122" baseType="variant">
      <vt:variant>
        <vt:i4>4849738</vt:i4>
      </vt:variant>
      <vt:variant>
        <vt:i4>2314</vt:i4>
      </vt:variant>
      <vt:variant>
        <vt:i4>0</vt:i4>
      </vt:variant>
      <vt:variant>
        <vt:i4>5</vt:i4>
      </vt:variant>
      <vt:variant>
        <vt:lpwstr>https://eur-lex.europa.eu/legal-content/EN/AUTO/?uri=celex:32016D2323</vt:lpwstr>
      </vt:variant>
      <vt:variant>
        <vt:lpwstr/>
      </vt:variant>
      <vt:variant>
        <vt:i4>5</vt:i4>
      </vt:variant>
      <vt:variant>
        <vt:i4>2311</vt:i4>
      </vt:variant>
      <vt:variant>
        <vt:i4>0</vt:i4>
      </vt:variant>
      <vt:variant>
        <vt:i4>5</vt:i4>
      </vt:variant>
      <vt:variant>
        <vt:lpwstr>http://ec.europa.eu/environment/waste/ships/list.htm</vt:lpwstr>
      </vt:variant>
      <vt:variant>
        <vt:lpwstr/>
      </vt:variant>
      <vt:variant>
        <vt:i4>2228259</vt:i4>
      </vt:variant>
      <vt:variant>
        <vt:i4>1932</vt:i4>
      </vt:variant>
      <vt:variant>
        <vt:i4>0</vt:i4>
      </vt:variant>
      <vt:variant>
        <vt:i4>5</vt:i4>
      </vt:variant>
      <vt:variant>
        <vt:lpwstr>https://doi.org/10.1016/j.atmosenv.2016.09.022</vt:lpwstr>
      </vt:variant>
      <vt:variant>
        <vt:lpwstr/>
      </vt:variant>
      <vt:variant>
        <vt:i4>4653095</vt:i4>
      </vt:variant>
      <vt:variant>
        <vt:i4>1929</vt:i4>
      </vt:variant>
      <vt:variant>
        <vt:i4>0</vt:i4>
      </vt:variant>
      <vt:variant>
        <vt:i4>5</vt:i4>
      </vt:variant>
      <vt:variant>
        <vt:lpwstr>https://static1.squarespace.com/static/5ff6c5336c885a268148bdcc/t/646cf5b50ba5a260052b1b66/1684862389529/Containers_Lost_at_Sea_2023_FINAL.pdf</vt:lpwstr>
      </vt:variant>
      <vt:variant>
        <vt:lpwstr/>
      </vt:variant>
      <vt:variant>
        <vt:i4>5373961</vt:i4>
      </vt:variant>
      <vt:variant>
        <vt:i4>1926</vt:i4>
      </vt:variant>
      <vt:variant>
        <vt:i4>0</vt:i4>
      </vt:variant>
      <vt:variant>
        <vt:i4>5</vt:i4>
      </vt:variant>
      <vt:variant>
        <vt:lpwstr>https://apps.who.int/iris/bitstream/handle/10665/345329/9789240034228-eng.pdf</vt:lpwstr>
      </vt:variant>
      <vt:variant>
        <vt:lpwstr/>
      </vt:variant>
      <vt:variant>
        <vt:i4>2228228</vt:i4>
      </vt:variant>
      <vt:variant>
        <vt:i4>1923</vt:i4>
      </vt:variant>
      <vt:variant>
        <vt:i4>0</vt:i4>
      </vt:variant>
      <vt:variant>
        <vt:i4>5</vt:i4>
      </vt:variant>
      <vt:variant>
        <vt:lpwstr>https://www3.weforum.org/docs/WEF_A Strategy_for_the_Transition_to_Zero_Emission_Shipping_2021.pdf</vt:lpwstr>
      </vt:variant>
      <vt:variant>
        <vt:lpwstr/>
      </vt:variant>
      <vt:variant>
        <vt:i4>6094871</vt:i4>
      </vt:variant>
      <vt:variant>
        <vt:i4>1920</vt:i4>
      </vt:variant>
      <vt:variant>
        <vt:i4>0</vt:i4>
      </vt:variant>
      <vt:variant>
        <vt:i4>5</vt:i4>
      </vt:variant>
      <vt:variant>
        <vt:lpwstr>https://www.gov.uk/government/publications/cop-26-clydebank-declaration-for-green-shipping-corridors</vt:lpwstr>
      </vt:variant>
      <vt:variant>
        <vt:lpwstr/>
      </vt:variant>
      <vt:variant>
        <vt:i4>983146</vt:i4>
      </vt:variant>
      <vt:variant>
        <vt:i4>1917</vt:i4>
      </vt:variant>
      <vt:variant>
        <vt:i4>0</vt:i4>
      </vt:variant>
      <vt:variant>
        <vt:i4>5</vt:i4>
      </vt:variant>
      <vt:variant>
        <vt:lpwstr>https://ec.europa.eu/clima/news/eu-ratifies-kigali-amendment-montreal-protocol_en</vt:lpwstr>
      </vt:variant>
      <vt:variant>
        <vt:lpwstr/>
      </vt:variant>
      <vt:variant>
        <vt:i4>3670125</vt:i4>
      </vt:variant>
      <vt:variant>
        <vt:i4>1914</vt:i4>
      </vt:variant>
      <vt:variant>
        <vt:i4>0</vt:i4>
      </vt:variant>
      <vt:variant>
        <vt:i4>5</vt:i4>
      </vt:variant>
      <vt:variant>
        <vt:lpwstr>https://www.unep.org/resources/report/marine-litter-analytical-overview</vt:lpwstr>
      </vt:variant>
      <vt:variant>
        <vt:lpwstr/>
      </vt:variant>
      <vt:variant>
        <vt:i4>2031639</vt:i4>
      </vt:variant>
      <vt:variant>
        <vt:i4>1911</vt:i4>
      </vt:variant>
      <vt:variant>
        <vt:i4>0</vt:i4>
      </vt:variant>
      <vt:variant>
        <vt:i4>5</vt:i4>
      </vt:variant>
      <vt:variant>
        <vt:lpwstr>https://ozone.unep.org/treaties/montreal-protocol</vt:lpwstr>
      </vt:variant>
      <vt:variant>
        <vt:lpwstr/>
      </vt:variant>
      <vt:variant>
        <vt:i4>458753</vt:i4>
      </vt:variant>
      <vt:variant>
        <vt:i4>1908</vt:i4>
      </vt:variant>
      <vt:variant>
        <vt:i4>0</vt:i4>
      </vt:variant>
      <vt:variant>
        <vt:i4>5</vt:i4>
      </vt:variant>
      <vt:variant>
        <vt:lpwstr>https://ozone.unep.org/treaties/vienna-convention</vt:lpwstr>
      </vt:variant>
      <vt:variant>
        <vt:lpwstr/>
      </vt:variant>
      <vt:variant>
        <vt:i4>6619226</vt:i4>
      </vt:variant>
      <vt:variant>
        <vt:i4>1905</vt:i4>
      </vt:variant>
      <vt:variant>
        <vt:i4>0</vt:i4>
      </vt:variant>
      <vt:variant>
        <vt:i4>5</vt:i4>
      </vt:variant>
      <vt:variant>
        <vt:lpwstr>https://unctad.org/system/files/official-document/rmt2023_en.pdf</vt:lpwstr>
      </vt:variant>
      <vt:variant>
        <vt:lpwstr/>
      </vt:variant>
      <vt:variant>
        <vt:i4>6684752</vt:i4>
      </vt:variant>
      <vt:variant>
        <vt:i4>1902</vt:i4>
      </vt:variant>
      <vt:variant>
        <vt:i4>0</vt:i4>
      </vt:variant>
      <vt:variant>
        <vt:i4>5</vt:i4>
      </vt:variant>
      <vt:variant>
        <vt:lpwstr>https://unctad.org/system/files/official-document/rmt2019_en.pdf</vt:lpwstr>
      </vt:variant>
      <vt:variant>
        <vt:lpwstr/>
      </vt:variant>
      <vt:variant>
        <vt:i4>6684760</vt:i4>
      </vt:variant>
      <vt:variant>
        <vt:i4>1899</vt:i4>
      </vt:variant>
      <vt:variant>
        <vt:i4>0</vt:i4>
      </vt:variant>
      <vt:variant>
        <vt:i4>5</vt:i4>
      </vt:variant>
      <vt:variant>
        <vt:lpwstr>https://unctad.org/system/files/official-document/rmt2011_en.pdf</vt:lpwstr>
      </vt:variant>
      <vt:variant>
        <vt:lpwstr/>
      </vt:variant>
      <vt:variant>
        <vt:i4>2293795</vt:i4>
      </vt:variant>
      <vt:variant>
        <vt:i4>1896</vt:i4>
      </vt:variant>
      <vt:variant>
        <vt:i4>0</vt:i4>
      </vt:variant>
      <vt:variant>
        <vt:i4>5</vt:i4>
      </vt:variant>
      <vt:variant>
        <vt:lpwstr>https://www.un.org/depts/los/convention_agreements/texts/unclos/unclos_e.pdf</vt:lpwstr>
      </vt:variant>
      <vt:variant>
        <vt:lpwstr/>
      </vt:variant>
      <vt:variant>
        <vt:i4>1310812</vt:i4>
      </vt:variant>
      <vt:variant>
        <vt:i4>1890</vt:i4>
      </vt:variant>
      <vt:variant>
        <vt:i4>0</vt:i4>
      </vt:variant>
      <vt:variant>
        <vt:i4>5</vt:i4>
      </vt:variant>
      <vt:variant>
        <vt:lpwstr>https://www.frontiersin.org/articles/10.3389/fmars.2018.00094</vt:lpwstr>
      </vt:variant>
      <vt:variant>
        <vt:lpwstr/>
      </vt:variant>
      <vt:variant>
        <vt:i4>1638420</vt:i4>
      </vt:variant>
      <vt:variant>
        <vt:i4>1887</vt:i4>
      </vt:variant>
      <vt:variant>
        <vt:i4>0</vt:i4>
      </vt:variant>
      <vt:variant>
        <vt:i4>5</vt:i4>
      </vt:variant>
      <vt:variant>
        <vt:lpwstr>https://doi.org/10.3390/catal11030404</vt:lpwstr>
      </vt:variant>
      <vt:variant>
        <vt:lpwstr/>
      </vt:variant>
      <vt:variant>
        <vt:i4>1572867</vt:i4>
      </vt:variant>
      <vt:variant>
        <vt:i4>1884</vt:i4>
      </vt:variant>
      <vt:variant>
        <vt:i4>0</vt:i4>
      </vt:variant>
      <vt:variant>
        <vt:i4>5</vt:i4>
      </vt:variant>
      <vt:variant>
        <vt:lpwstr>https://doi.org/10.3389/fmars.2020.00292</vt:lpwstr>
      </vt:variant>
      <vt:variant>
        <vt:lpwstr/>
      </vt:variant>
      <vt:variant>
        <vt:i4>6619251</vt:i4>
      </vt:variant>
      <vt:variant>
        <vt:i4>1881</vt:i4>
      </vt:variant>
      <vt:variant>
        <vt:i4>0</vt:i4>
      </vt:variant>
      <vt:variant>
        <vt:i4>5</vt:i4>
      </vt:variant>
      <vt:variant>
        <vt:lpwstr>https://doi.org/10.1126/science.1176985</vt:lpwstr>
      </vt:variant>
      <vt:variant>
        <vt:lpwstr/>
      </vt:variant>
      <vt:variant>
        <vt:i4>8323113</vt:i4>
      </vt:variant>
      <vt:variant>
        <vt:i4>1878</vt:i4>
      </vt:variant>
      <vt:variant>
        <vt:i4>0</vt:i4>
      </vt:variant>
      <vt:variant>
        <vt:i4>5</vt:i4>
      </vt:variant>
      <vt:variant>
        <vt:lpwstr>https://www.ipcc.ch/site/assets/uploads/2018/03/TAR-04.pdf</vt:lpwstr>
      </vt:variant>
      <vt:variant>
        <vt:lpwstr/>
      </vt:variant>
      <vt:variant>
        <vt:i4>1048649</vt:i4>
      </vt:variant>
      <vt:variant>
        <vt:i4>1875</vt:i4>
      </vt:variant>
      <vt:variant>
        <vt:i4>0</vt:i4>
      </vt:variant>
      <vt:variant>
        <vt:i4>5</vt:i4>
      </vt:variant>
      <vt:variant>
        <vt:lpwstr>https://ec.europa.eu/research/participants/documents/downloadPublic?documentIds=080166e5ef78dda7&amp;appId=PPGMS</vt:lpwstr>
      </vt:variant>
      <vt:variant>
        <vt:lpwstr/>
      </vt:variant>
      <vt:variant>
        <vt:i4>1245185</vt:i4>
      </vt:variant>
      <vt:variant>
        <vt:i4>1872</vt:i4>
      </vt:variant>
      <vt:variant>
        <vt:i4>0</vt:i4>
      </vt:variant>
      <vt:variant>
        <vt:i4>5</vt:i4>
      </vt:variant>
      <vt:variant>
        <vt:lpwstr>https://doi.org/10.3389/fmars.2019.00486</vt:lpwstr>
      </vt:variant>
      <vt:variant>
        <vt:lpwstr/>
      </vt:variant>
      <vt:variant>
        <vt:i4>2031695</vt:i4>
      </vt:variant>
      <vt:variant>
        <vt:i4>1869</vt:i4>
      </vt:variant>
      <vt:variant>
        <vt:i4>0</vt:i4>
      </vt:variant>
      <vt:variant>
        <vt:i4>5</vt:i4>
      </vt:variant>
      <vt:variant>
        <vt:lpwstr>https://oaarchive.arctic-council.org/bitstream/handle/11374/2735/ASSR 2 - October 20.pdf</vt:lpwstr>
      </vt:variant>
      <vt:variant>
        <vt:lpwstr/>
      </vt:variant>
      <vt:variant>
        <vt:i4>6619252</vt:i4>
      </vt:variant>
      <vt:variant>
        <vt:i4>1866</vt:i4>
      </vt:variant>
      <vt:variant>
        <vt:i4>0</vt:i4>
      </vt:variant>
      <vt:variant>
        <vt:i4>5</vt:i4>
      </vt:variant>
      <vt:variant>
        <vt:lpwstr>https://oap-cloudfront.ospar.org/media/filer_public/fe/78/fe78b829-5ba5-47e3-805c-09315c16c29c/p00890_modelling_flue_gas_exhaust_scrubber_report_.pdf</vt:lpwstr>
      </vt:variant>
      <vt:variant>
        <vt:lpwstr/>
      </vt:variant>
      <vt:variant>
        <vt:i4>7733310</vt:i4>
      </vt:variant>
      <vt:variant>
        <vt:i4>1863</vt:i4>
      </vt:variant>
      <vt:variant>
        <vt:i4>0</vt:i4>
      </vt:variant>
      <vt:variant>
        <vt:i4>5</vt:i4>
      </vt:variant>
      <vt:variant>
        <vt:lpwstr>https://doi.org/10.5194/os-17-1285-2021</vt:lpwstr>
      </vt:variant>
      <vt:variant>
        <vt:lpwstr/>
      </vt:variant>
      <vt:variant>
        <vt:i4>4587525</vt:i4>
      </vt:variant>
      <vt:variant>
        <vt:i4>1860</vt:i4>
      </vt:variant>
      <vt:variant>
        <vt:i4>0</vt:i4>
      </vt:variant>
      <vt:variant>
        <vt:i4>5</vt:i4>
      </vt:variant>
      <vt:variant>
        <vt:lpwstr>https://cms.zerocarbonshipping.com/media/uploads/publications/Maritime-Decarbonization-Strategy-2022.pdf</vt:lpwstr>
      </vt:variant>
      <vt:variant>
        <vt:lpwstr/>
      </vt:variant>
      <vt:variant>
        <vt:i4>3080316</vt:i4>
      </vt:variant>
      <vt:variant>
        <vt:i4>1857</vt:i4>
      </vt:variant>
      <vt:variant>
        <vt:i4>0</vt:i4>
      </vt:variant>
      <vt:variant>
        <vt:i4>5</vt:i4>
      </vt:variant>
      <vt:variant>
        <vt:lpwstr>https://doi.org/10.1016/j.scitotenv.2021.152721</vt:lpwstr>
      </vt:variant>
      <vt:variant>
        <vt:lpwstr/>
      </vt:variant>
      <vt:variant>
        <vt:i4>5439489</vt:i4>
      </vt:variant>
      <vt:variant>
        <vt:i4>1854</vt:i4>
      </vt:variant>
      <vt:variant>
        <vt:i4>0</vt:i4>
      </vt:variant>
      <vt:variant>
        <vt:i4>5</vt:i4>
      </vt:variant>
      <vt:variant>
        <vt:lpwstr>https://doi.org/10.1016/j.trd.2021.102912</vt:lpwstr>
      </vt:variant>
      <vt:variant>
        <vt:lpwstr/>
      </vt:variant>
      <vt:variant>
        <vt:i4>6094930</vt:i4>
      </vt:variant>
      <vt:variant>
        <vt:i4>1851</vt:i4>
      </vt:variant>
      <vt:variant>
        <vt:i4>0</vt:i4>
      </vt:variant>
      <vt:variant>
        <vt:i4>5</vt:i4>
      </vt:variant>
      <vt:variant>
        <vt:lpwstr>https://www.genevaenvironmentnetwork.org/events/making-peace-with-nature-and-delivering-on-the-sdgs-in-the-mediterranean/</vt:lpwstr>
      </vt:variant>
      <vt:variant>
        <vt:lpwstr/>
      </vt:variant>
      <vt:variant>
        <vt:i4>6488165</vt:i4>
      </vt:variant>
      <vt:variant>
        <vt:i4>1848</vt:i4>
      </vt:variant>
      <vt:variant>
        <vt:i4>0</vt:i4>
      </vt:variant>
      <vt:variant>
        <vt:i4>5</vt:i4>
      </vt:variant>
      <vt:variant>
        <vt:lpwstr>https://doi.org/10.1021/acs.est.8b05555</vt:lpwstr>
      </vt:variant>
      <vt:variant>
        <vt:lpwstr/>
      </vt:variant>
      <vt:variant>
        <vt:i4>5046361</vt:i4>
      </vt:variant>
      <vt:variant>
        <vt:i4>1845</vt:i4>
      </vt:variant>
      <vt:variant>
        <vt:i4>0</vt:i4>
      </vt:variant>
      <vt:variant>
        <vt:i4>5</vt:i4>
      </vt:variant>
      <vt:variant>
        <vt:lpwstr>https://www.kimointernational.org/fishing-for-litter/</vt:lpwstr>
      </vt:variant>
      <vt:variant>
        <vt:lpwstr/>
      </vt:variant>
      <vt:variant>
        <vt:i4>655431</vt:i4>
      </vt:variant>
      <vt:variant>
        <vt:i4>1842</vt:i4>
      </vt:variant>
      <vt:variant>
        <vt:i4>0</vt:i4>
      </vt:variant>
      <vt:variant>
        <vt:i4>5</vt:i4>
      </vt:variant>
      <vt:variant>
        <vt:lpwstr>https://doi.org/10.1080/25725084.2020.1792392</vt:lpwstr>
      </vt:variant>
      <vt:variant>
        <vt:lpwstr/>
      </vt:variant>
      <vt:variant>
        <vt:i4>2097250</vt:i4>
      </vt:variant>
      <vt:variant>
        <vt:i4>1839</vt:i4>
      </vt:variant>
      <vt:variant>
        <vt:i4>0</vt:i4>
      </vt:variant>
      <vt:variant>
        <vt:i4>5</vt:i4>
      </vt:variant>
      <vt:variant>
        <vt:lpwstr>https://doi.org/10.2760/820175</vt:lpwstr>
      </vt:variant>
      <vt:variant>
        <vt:lpwstr/>
      </vt:variant>
      <vt:variant>
        <vt:i4>5374064</vt:i4>
      </vt:variant>
      <vt:variant>
        <vt:i4>1836</vt:i4>
      </vt:variant>
      <vt:variant>
        <vt:i4>0</vt:i4>
      </vt:variant>
      <vt:variant>
        <vt:i4>5</vt:i4>
      </vt:variant>
      <vt:variant>
        <vt:lpwstr>https://www.researchgate.net/profile/Gregory-Silber-2/publication/332539367_Strategic_Plan_to_Mitigate_the_Impacts_of_Ship_Strikes_on_Cetacean_Populations_2017-2020/links/5cbada314585156cd7a4844f/Strategic-Plan-to-Mitigate-the-Impacts-of-Ship-Strikes-on-Cetacean-Populations-2017-2020.pdf</vt:lpwstr>
      </vt:variant>
      <vt:variant>
        <vt:lpwstr/>
      </vt:variant>
      <vt:variant>
        <vt:i4>4128887</vt:i4>
      </vt:variant>
      <vt:variant>
        <vt:i4>1833</vt:i4>
      </vt:variant>
      <vt:variant>
        <vt:i4>0</vt:i4>
      </vt:variant>
      <vt:variant>
        <vt:i4>5</vt:i4>
      </vt:variant>
      <vt:variant>
        <vt:lpwstr>https://www.ipcc.ch/report/ar6/syr/</vt:lpwstr>
      </vt:variant>
      <vt:variant>
        <vt:lpwstr/>
      </vt:variant>
      <vt:variant>
        <vt:i4>458844</vt:i4>
      </vt:variant>
      <vt:variant>
        <vt:i4>1830</vt:i4>
      </vt:variant>
      <vt:variant>
        <vt:i4>0</vt:i4>
      </vt:variant>
      <vt:variant>
        <vt:i4>5</vt:i4>
      </vt:variant>
      <vt:variant>
        <vt:lpwstr>https://www.ipcc-nggip.iges.or.jp/public/2006gl/</vt:lpwstr>
      </vt:variant>
      <vt:variant>
        <vt:lpwstr/>
      </vt:variant>
      <vt:variant>
        <vt:i4>3276898</vt:i4>
      </vt:variant>
      <vt:variant>
        <vt:i4>1827</vt:i4>
      </vt:variant>
      <vt:variant>
        <vt:i4>0</vt:i4>
      </vt:variant>
      <vt:variant>
        <vt:i4>5</vt:i4>
      </vt:variant>
      <vt:variant>
        <vt:lpwstr>https://wwwcdn.imo.org/localresources/en/Documents/MEPC.1-Circ.906 - Revised Guidelines For The Reduction Of Underwater Radiated NoiseFrom Shipping To Address... (Secretariat).pdf</vt:lpwstr>
      </vt:variant>
      <vt:variant>
        <vt:lpwstr/>
      </vt:variant>
      <vt:variant>
        <vt:i4>6029393</vt:i4>
      </vt:variant>
      <vt:variant>
        <vt:i4>1824</vt:i4>
      </vt:variant>
      <vt:variant>
        <vt:i4>0</vt:i4>
      </vt:variant>
      <vt:variant>
        <vt:i4>5</vt:i4>
      </vt:variant>
      <vt:variant>
        <vt:lpwstr>https://wwwcdn.imo.org/localresources/en/OurWork/Environment/Documents/annex/MEPC 80/Annex 14.pdf</vt:lpwstr>
      </vt:variant>
      <vt:variant>
        <vt:lpwstr/>
      </vt:variant>
      <vt:variant>
        <vt:i4>2621555</vt:i4>
      </vt:variant>
      <vt:variant>
        <vt:i4>1821</vt:i4>
      </vt:variant>
      <vt:variant>
        <vt:i4>0</vt:i4>
      </vt:variant>
      <vt:variant>
        <vt:i4>5</vt:i4>
      </vt:variant>
      <vt:variant>
        <vt:lpwstr>https://www.imo.org/en/MediaCentre/HotTopics/Pages/marinelitter-default.aspx?ref=marineregulations.news</vt:lpwstr>
      </vt:variant>
      <vt:variant>
        <vt:lpwstr/>
      </vt:variant>
      <vt:variant>
        <vt:i4>8126560</vt:i4>
      </vt:variant>
      <vt:variant>
        <vt:i4>1818</vt:i4>
      </vt:variant>
      <vt:variant>
        <vt:i4>0</vt:i4>
      </vt:variant>
      <vt:variant>
        <vt:i4>5</vt:i4>
      </vt:variant>
      <vt:variant>
        <vt:lpwstr>https://www.imo.org/en/MediaCentre/Pages/WhatsNew-740.aspx</vt:lpwstr>
      </vt:variant>
      <vt:variant>
        <vt:lpwstr/>
      </vt:variant>
      <vt:variant>
        <vt:i4>6029392</vt:i4>
      </vt:variant>
      <vt:variant>
        <vt:i4>1815</vt:i4>
      </vt:variant>
      <vt:variant>
        <vt:i4>0</vt:i4>
      </vt:variant>
      <vt:variant>
        <vt:i4>5</vt:i4>
      </vt:variant>
      <vt:variant>
        <vt:lpwstr>https://wwwcdn.imo.org/localresources/en/OurWork/Environment/Documents/annex/MEPC 80/Annex 15.pdf</vt:lpwstr>
      </vt:variant>
      <vt:variant>
        <vt:lpwstr/>
      </vt:variant>
      <vt:variant>
        <vt:i4>6422624</vt:i4>
      </vt:variant>
      <vt:variant>
        <vt:i4>1812</vt:i4>
      </vt:variant>
      <vt:variant>
        <vt:i4>0</vt:i4>
      </vt:variant>
      <vt:variant>
        <vt:i4>5</vt:i4>
      </vt:variant>
      <vt:variant>
        <vt:lpwstr>https://www.imo.org/en/MediaCentre/MeetingSummaries/Pages/CCC-8th-session.aspx</vt:lpwstr>
      </vt:variant>
      <vt:variant>
        <vt:lpwstr/>
      </vt:variant>
      <vt:variant>
        <vt:i4>458759</vt:i4>
      </vt:variant>
      <vt:variant>
        <vt:i4>1809</vt:i4>
      </vt:variant>
      <vt:variant>
        <vt:i4>0</vt:i4>
      </vt:variant>
      <vt:variant>
        <vt:i4>5</vt:i4>
      </vt:variant>
      <vt:variant>
        <vt:lpwstr>https://wwwcdn.imo.org/localresources/en/OurWork/Environment/Documents/annex/resolution MEPC 361(79).pdf</vt:lpwstr>
      </vt:variant>
      <vt:variant>
        <vt:lpwstr/>
      </vt:variant>
      <vt:variant>
        <vt:i4>262147</vt:i4>
      </vt:variant>
      <vt:variant>
        <vt:i4>1806</vt:i4>
      </vt:variant>
      <vt:variant>
        <vt:i4>0</vt:i4>
      </vt:variant>
      <vt:variant>
        <vt:i4>5</vt:i4>
      </vt:variant>
      <vt:variant>
        <vt:lpwstr>https://wwwcdn.imo.org/localresources/en/KnowledgeCentre/IndexofIMOResolutions/MEPCDocuments/MEPC.340(77).pdf</vt:lpwstr>
      </vt:variant>
      <vt:variant>
        <vt:lpwstr/>
      </vt:variant>
      <vt:variant>
        <vt:i4>589848</vt:i4>
      </vt:variant>
      <vt:variant>
        <vt:i4>1803</vt:i4>
      </vt:variant>
      <vt:variant>
        <vt:i4>0</vt:i4>
      </vt:variant>
      <vt:variant>
        <vt:i4>5</vt:i4>
      </vt:variant>
      <vt:variant>
        <vt:lpwstr>https://www.imo.org/en/MediaCentre/HotTopics/Pages/Sulphur-2020.aspx</vt:lpwstr>
      </vt:variant>
      <vt:variant>
        <vt:lpwstr/>
      </vt:variant>
      <vt:variant>
        <vt:i4>3538980</vt:i4>
      </vt:variant>
      <vt:variant>
        <vt:i4>1800</vt:i4>
      </vt:variant>
      <vt:variant>
        <vt:i4>0</vt:i4>
      </vt:variant>
      <vt:variant>
        <vt:i4>5</vt:i4>
      </vt:variant>
      <vt:variant>
        <vt:lpwstr>https://wwwcdn.imo.org/localresources/en/OurWork/Environment/Documents/Fourth IMO GHG Study 2020 - Full report and annexes.pdf</vt:lpwstr>
      </vt:variant>
      <vt:variant>
        <vt:lpwstr/>
      </vt:variant>
      <vt:variant>
        <vt:i4>5439512</vt:i4>
      </vt:variant>
      <vt:variant>
        <vt:i4>1797</vt:i4>
      </vt:variant>
      <vt:variant>
        <vt:i4>0</vt:i4>
      </vt:variant>
      <vt:variant>
        <vt:i4>5</vt:i4>
      </vt:variant>
      <vt:variant>
        <vt:lpwstr>https://www.imo.org/en/About/Conventions/Pages/International-Convention-for-the-Control-and-Management-of-Ships%27-Ballast-Water-and-Sediments-(BWM).aspx</vt:lpwstr>
      </vt:variant>
      <vt:variant>
        <vt:lpwstr/>
      </vt:variant>
      <vt:variant>
        <vt:i4>1835089</vt:i4>
      </vt:variant>
      <vt:variant>
        <vt:i4>1794</vt:i4>
      </vt:variant>
      <vt:variant>
        <vt:i4>0</vt:i4>
      </vt:variant>
      <vt:variant>
        <vt:i4>5</vt:i4>
      </vt:variant>
      <vt:variant>
        <vt:lpwstr>https://www.imo.org/en/MediaCentre/MeetingSummaries/Pages/MEPC-69th-session.aspx</vt:lpwstr>
      </vt:variant>
      <vt:variant>
        <vt:lpwstr/>
      </vt:variant>
      <vt:variant>
        <vt:i4>2490470</vt:i4>
      </vt:variant>
      <vt:variant>
        <vt:i4>1791</vt:i4>
      </vt:variant>
      <vt:variant>
        <vt:i4>0</vt:i4>
      </vt:variant>
      <vt:variant>
        <vt:i4>5</vt:i4>
      </vt:variant>
      <vt:variant>
        <vt:lpwstr>https://wwwcdn.imo.org/localresources/en/OurWork/Environment/Documents/177(58).pdf</vt:lpwstr>
      </vt:variant>
      <vt:variant>
        <vt:lpwstr/>
      </vt:variant>
      <vt:variant>
        <vt:i4>4522075</vt:i4>
      </vt:variant>
      <vt:variant>
        <vt:i4>1788</vt:i4>
      </vt:variant>
      <vt:variant>
        <vt:i4>0</vt:i4>
      </vt:variant>
      <vt:variant>
        <vt:i4>5</vt:i4>
      </vt:variant>
      <vt:variant>
        <vt:lpwstr>https://legalaffairs.gov.ag/pdf/conventions/Nairobi_International_Convention_on_Removal_of_Wrecks-pdf.pdf</vt:lpwstr>
      </vt:variant>
      <vt:variant>
        <vt:lpwstr/>
      </vt:variant>
      <vt:variant>
        <vt:i4>6029400</vt:i4>
      </vt:variant>
      <vt:variant>
        <vt:i4>1785</vt:i4>
      </vt:variant>
      <vt:variant>
        <vt:i4>0</vt:i4>
      </vt:variant>
      <vt:variant>
        <vt:i4>5</vt:i4>
      </vt:variant>
      <vt:variant>
        <vt:lpwstr>https://iea.blob.core.windows.net/assets/614bb748-dc5e-440b-966a-adae9ea022fe/WorldEnergyOutlook2023.pdf</vt:lpwstr>
      </vt:variant>
      <vt:variant>
        <vt:lpwstr/>
      </vt:variant>
      <vt:variant>
        <vt:i4>655360</vt:i4>
      </vt:variant>
      <vt:variant>
        <vt:i4>1782</vt:i4>
      </vt:variant>
      <vt:variant>
        <vt:i4>0</vt:i4>
      </vt:variant>
      <vt:variant>
        <vt:i4>5</vt:i4>
      </vt:variant>
      <vt:variant>
        <vt:lpwstr>https://iea.blob.core.windows.net/assets/830fe099-5530-48f2-a7c1-11f35d510983/WorldEnergyOutlook2022.pdf</vt:lpwstr>
      </vt:variant>
      <vt:variant>
        <vt:lpwstr/>
      </vt:variant>
      <vt:variant>
        <vt:i4>2687022</vt:i4>
      </vt:variant>
      <vt:variant>
        <vt:i4>1779</vt:i4>
      </vt:variant>
      <vt:variant>
        <vt:i4>0</vt:i4>
      </vt:variant>
      <vt:variant>
        <vt:i4>5</vt:i4>
      </vt:variant>
      <vt:variant>
        <vt:lpwstr>https://www.iea.org/data-and-statistics/charts/annual-change-in-co2-emissions-from-energy-combustion-and-industrial-processes-1900-2021</vt:lpwstr>
      </vt:variant>
      <vt:variant>
        <vt:lpwstr/>
      </vt:variant>
      <vt:variant>
        <vt:i4>5242958</vt:i4>
      </vt:variant>
      <vt:variant>
        <vt:i4>1776</vt:i4>
      </vt:variant>
      <vt:variant>
        <vt:i4>0</vt:i4>
      </vt:variant>
      <vt:variant>
        <vt:i4>5</vt:i4>
      </vt:variant>
      <vt:variant>
        <vt:lpwstr>https://theicct.org/event/6th-workshop-on-marine-black-carbon-emissions/</vt:lpwstr>
      </vt:variant>
      <vt:variant>
        <vt:lpwstr/>
      </vt:variant>
      <vt:variant>
        <vt:i4>8061046</vt:i4>
      </vt:variant>
      <vt:variant>
        <vt:i4>1773</vt:i4>
      </vt:variant>
      <vt:variant>
        <vt:i4>0</vt:i4>
      </vt:variant>
      <vt:variant>
        <vt:i4>5</vt:i4>
      </vt:variant>
      <vt:variant>
        <vt:lpwstr>https://doi.org/10.17895/ices.pub.7487</vt:lpwstr>
      </vt:variant>
      <vt:variant>
        <vt:lpwstr/>
      </vt:variant>
      <vt:variant>
        <vt:i4>2883621</vt:i4>
      </vt:variant>
      <vt:variant>
        <vt:i4>1770</vt:i4>
      </vt:variant>
      <vt:variant>
        <vt:i4>0</vt:i4>
      </vt:variant>
      <vt:variant>
        <vt:i4>5</vt:i4>
      </vt:variant>
      <vt:variant>
        <vt:lpwstr>https://doi.org/10.3389/fenvc.2023.1090704</vt:lpwstr>
      </vt:variant>
      <vt:variant>
        <vt:lpwstr/>
      </vt:variant>
      <vt:variant>
        <vt:i4>1048670</vt:i4>
      </vt:variant>
      <vt:variant>
        <vt:i4>1767</vt:i4>
      </vt:variant>
      <vt:variant>
        <vt:i4>0</vt:i4>
      </vt:variant>
      <vt:variant>
        <vt:i4>5</vt:i4>
      </vt:variant>
      <vt:variant>
        <vt:lpwstr>https://www.ilmatieteenlaitos.fi/</vt:lpwstr>
      </vt:variant>
      <vt:variant>
        <vt:lpwstr/>
      </vt:variant>
      <vt:variant>
        <vt:i4>6225929</vt:i4>
      </vt:variant>
      <vt:variant>
        <vt:i4>1764</vt:i4>
      </vt:variant>
      <vt:variant>
        <vt:i4>0</vt:i4>
      </vt:variant>
      <vt:variant>
        <vt:i4>5</vt:i4>
      </vt:variant>
      <vt:variant>
        <vt:lpwstr>https://cedelft.eu/wp-content/uploads/sites/2/2023/03/CE_Delft_220512_Preventing_spills_of_plastic_pellets_DEF1-1.pdf</vt:lpwstr>
      </vt:variant>
      <vt:variant>
        <vt:lpwstr/>
      </vt:variant>
      <vt:variant>
        <vt:i4>7274612</vt:i4>
      </vt:variant>
      <vt:variant>
        <vt:i4>1761</vt:i4>
      </vt:variant>
      <vt:variant>
        <vt:i4>0</vt:i4>
      </vt:variant>
      <vt:variant>
        <vt:i4>5</vt:i4>
      </vt:variant>
      <vt:variant>
        <vt:lpwstr>https://view.officeapps.live.com/op/view.aspx?src=https%3A%2F%2Fec.europa.eu%2Feurostat%2Fstatistics-explained%2Fimages%2Fa%2Fa9%2FSE_Article_Maritime_Freight-Vessels_2022-11.xlsx&amp;wdOrigin=BROWSELINK</vt:lpwstr>
      </vt:variant>
      <vt:variant>
        <vt:lpwstr/>
      </vt:variant>
      <vt:variant>
        <vt:i4>8192042</vt:i4>
      </vt:variant>
      <vt:variant>
        <vt:i4>1758</vt:i4>
      </vt:variant>
      <vt:variant>
        <vt:i4>0</vt:i4>
      </vt:variant>
      <vt:variant>
        <vt:i4>5</vt:i4>
      </vt:variant>
      <vt:variant>
        <vt:lpwstr>https://eur-lex.europa.eu/eli/reg/2023/1804/oj</vt:lpwstr>
      </vt:variant>
      <vt:variant>
        <vt:lpwstr/>
      </vt:variant>
      <vt:variant>
        <vt:i4>5177369</vt:i4>
      </vt:variant>
      <vt:variant>
        <vt:i4>1755</vt:i4>
      </vt:variant>
      <vt:variant>
        <vt:i4>0</vt:i4>
      </vt:variant>
      <vt:variant>
        <vt:i4>5</vt:i4>
      </vt:variant>
      <vt:variant>
        <vt:lpwstr>http://data.europa.eu/eli/reg/2023/957/oj</vt:lpwstr>
      </vt:variant>
      <vt:variant>
        <vt:lpwstr/>
      </vt:variant>
      <vt:variant>
        <vt:i4>1507339</vt:i4>
      </vt:variant>
      <vt:variant>
        <vt:i4>1752</vt:i4>
      </vt:variant>
      <vt:variant>
        <vt:i4>0</vt:i4>
      </vt:variant>
      <vt:variant>
        <vt:i4>5</vt:i4>
      </vt:variant>
      <vt:variant>
        <vt:lpwstr>https://www.consilium.europa.eu/en/press/press-releases/2023/07/25/fueleu-maritime-initiative-council-adopts-new-law-to-decarbonise-the-maritime-sector/</vt:lpwstr>
      </vt:variant>
      <vt:variant>
        <vt:lpwstr/>
      </vt:variant>
      <vt:variant>
        <vt:i4>589853</vt:i4>
      </vt:variant>
      <vt:variant>
        <vt:i4>1749</vt:i4>
      </vt:variant>
      <vt:variant>
        <vt:i4>0</vt:i4>
      </vt:variant>
      <vt:variant>
        <vt:i4>5</vt:i4>
      </vt:variant>
      <vt:variant>
        <vt:lpwstr>https://eur-lex.europa.eu/legal-content/EN/TXT/HTML/?uri=CELEX:32019L0904&amp;from=EN</vt:lpwstr>
      </vt:variant>
      <vt:variant>
        <vt:lpwstr/>
      </vt:variant>
      <vt:variant>
        <vt:i4>1441803</vt:i4>
      </vt:variant>
      <vt:variant>
        <vt:i4>1746</vt:i4>
      </vt:variant>
      <vt:variant>
        <vt:i4>0</vt:i4>
      </vt:variant>
      <vt:variant>
        <vt:i4>5</vt:i4>
      </vt:variant>
      <vt:variant>
        <vt:lpwstr>https://eur-lex.europa.eu/legal-content/EN/TXT/PDF/?uri=CELEX:32019L0883</vt:lpwstr>
      </vt:variant>
      <vt:variant>
        <vt:lpwstr/>
      </vt:variant>
      <vt:variant>
        <vt:i4>6946862</vt:i4>
      </vt:variant>
      <vt:variant>
        <vt:i4>1743</vt:i4>
      </vt:variant>
      <vt:variant>
        <vt:i4>0</vt:i4>
      </vt:variant>
      <vt:variant>
        <vt:i4>5</vt:i4>
      </vt:variant>
      <vt:variant>
        <vt:lpwstr>http://data.europa.eu/eli/reg/2018/1999/oj/eng</vt:lpwstr>
      </vt:variant>
      <vt:variant>
        <vt:lpwstr/>
      </vt:variant>
      <vt:variant>
        <vt:i4>262150</vt:i4>
      </vt:variant>
      <vt:variant>
        <vt:i4>1740</vt:i4>
      </vt:variant>
      <vt:variant>
        <vt:i4>0</vt:i4>
      </vt:variant>
      <vt:variant>
        <vt:i4>5</vt:i4>
      </vt:variant>
      <vt:variant>
        <vt:lpwstr>http://data.europa.eu/eli/dec/2017/848/oj/eng</vt:lpwstr>
      </vt:variant>
      <vt:variant>
        <vt:lpwstr/>
      </vt:variant>
      <vt:variant>
        <vt:i4>262150</vt:i4>
      </vt:variant>
      <vt:variant>
        <vt:i4>1737</vt:i4>
      </vt:variant>
      <vt:variant>
        <vt:i4>0</vt:i4>
      </vt:variant>
      <vt:variant>
        <vt:i4>5</vt:i4>
      </vt:variant>
      <vt:variant>
        <vt:lpwstr>http://data.europa.eu/eli/dec/2017/848/oj/eng</vt:lpwstr>
      </vt:variant>
      <vt:variant>
        <vt:lpwstr/>
      </vt:variant>
      <vt:variant>
        <vt:i4>327733</vt:i4>
      </vt:variant>
      <vt:variant>
        <vt:i4>1734</vt:i4>
      </vt:variant>
      <vt:variant>
        <vt:i4>0</vt:i4>
      </vt:variant>
      <vt:variant>
        <vt:i4>5</vt:i4>
      </vt:variant>
      <vt:variant>
        <vt:lpwstr>https://eur-lex.europa.eu/legal-content/EN/TXT/?toc=OJ%3AL%3A2016%3A344%3ATOC&amp;uri=uriserv%3AOJ.L_.2016.344.01.0001.01.ENG</vt:lpwstr>
      </vt:variant>
      <vt:variant>
        <vt:lpwstr/>
      </vt:variant>
      <vt:variant>
        <vt:i4>4325404</vt:i4>
      </vt:variant>
      <vt:variant>
        <vt:i4>1731</vt:i4>
      </vt:variant>
      <vt:variant>
        <vt:i4>0</vt:i4>
      </vt:variant>
      <vt:variant>
        <vt:i4>5</vt:i4>
      </vt:variant>
      <vt:variant>
        <vt:lpwstr>http://data.europa.eu/eli/dir/2016/802/oj</vt:lpwstr>
      </vt:variant>
      <vt:variant>
        <vt:lpwstr/>
      </vt:variant>
      <vt:variant>
        <vt:i4>4653082</vt:i4>
      </vt:variant>
      <vt:variant>
        <vt:i4>1728</vt:i4>
      </vt:variant>
      <vt:variant>
        <vt:i4>0</vt:i4>
      </vt:variant>
      <vt:variant>
        <vt:i4>5</vt:i4>
      </vt:variant>
      <vt:variant>
        <vt:lpwstr>http://data.europa.eu/eli/reg/2015/757/oj</vt:lpwstr>
      </vt:variant>
      <vt:variant>
        <vt:lpwstr/>
      </vt:variant>
      <vt:variant>
        <vt:i4>3211320</vt:i4>
      </vt:variant>
      <vt:variant>
        <vt:i4>1725</vt:i4>
      </vt:variant>
      <vt:variant>
        <vt:i4>0</vt:i4>
      </vt:variant>
      <vt:variant>
        <vt:i4>5</vt:i4>
      </vt:variant>
      <vt:variant>
        <vt:lpwstr>http://eur-lex.europa.eu/legal-content/EN/TXT/PDF/?uri=CELEX:32014L0089&amp;from=EN</vt:lpwstr>
      </vt:variant>
      <vt:variant>
        <vt:lpwstr/>
      </vt:variant>
      <vt:variant>
        <vt:i4>1900626</vt:i4>
      </vt:variant>
      <vt:variant>
        <vt:i4>1722</vt:i4>
      </vt:variant>
      <vt:variant>
        <vt:i4>0</vt:i4>
      </vt:variant>
      <vt:variant>
        <vt:i4>5</vt:i4>
      </vt:variant>
      <vt:variant>
        <vt:lpwstr>https://eur-lex.europa.eu/legal-content/EN/ALL/?uri=CELEX:32013R1257</vt:lpwstr>
      </vt:variant>
      <vt:variant>
        <vt:lpwstr/>
      </vt:variant>
      <vt:variant>
        <vt:i4>4522015</vt:i4>
      </vt:variant>
      <vt:variant>
        <vt:i4>1719</vt:i4>
      </vt:variant>
      <vt:variant>
        <vt:i4>0</vt:i4>
      </vt:variant>
      <vt:variant>
        <vt:i4>5</vt:i4>
      </vt:variant>
      <vt:variant>
        <vt:lpwstr>http://data.europa.eu/eli/dir/2009/123/oj</vt:lpwstr>
      </vt:variant>
      <vt:variant>
        <vt:lpwstr/>
      </vt:variant>
      <vt:variant>
        <vt:i4>6029397</vt:i4>
      </vt:variant>
      <vt:variant>
        <vt:i4>1716</vt:i4>
      </vt:variant>
      <vt:variant>
        <vt:i4>0</vt:i4>
      </vt:variant>
      <vt:variant>
        <vt:i4>5</vt:i4>
      </vt:variant>
      <vt:variant>
        <vt:lpwstr>http://data.europa.eu/eli/dir/2009/18/oj</vt:lpwstr>
      </vt:variant>
      <vt:variant>
        <vt:lpwstr/>
      </vt:variant>
      <vt:variant>
        <vt:i4>1572866</vt:i4>
      </vt:variant>
      <vt:variant>
        <vt:i4>1713</vt:i4>
      </vt:variant>
      <vt:variant>
        <vt:i4>0</vt:i4>
      </vt:variant>
      <vt:variant>
        <vt:i4>5</vt:i4>
      </vt:variant>
      <vt:variant>
        <vt:lpwstr>https://eur-lex.europa.eu/legal-content/EN/TXT/PDF/?uri=CELEX:32008L0105</vt:lpwstr>
      </vt:variant>
      <vt:variant>
        <vt:lpwstr/>
      </vt:variant>
      <vt:variant>
        <vt:i4>458762</vt:i4>
      </vt:variant>
      <vt:variant>
        <vt:i4>1710</vt:i4>
      </vt:variant>
      <vt:variant>
        <vt:i4>0</vt:i4>
      </vt:variant>
      <vt:variant>
        <vt:i4>5</vt:i4>
      </vt:variant>
      <vt:variant>
        <vt:lpwstr>https://eur-lex.europa.eu/legal-content/EN/TXT/PDF/?uri=CELEX:32022R0720</vt:lpwstr>
      </vt:variant>
      <vt:variant>
        <vt:lpwstr/>
      </vt:variant>
      <vt:variant>
        <vt:i4>7077932</vt:i4>
      </vt:variant>
      <vt:variant>
        <vt:i4>1707</vt:i4>
      </vt:variant>
      <vt:variant>
        <vt:i4>0</vt:i4>
      </vt:variant>
      <vt:variant>
        <vt:i4>5</vt:i4>
      </vt:variant>
      <vt:variant>
        <vt:lpwstr>http://data.europa.eu/eli/reg/2006/1013/oj/eng</vt:lpwstr>
      </vt:variant>
      <vt:variant>
        <vt:lpwstr/>
      </vt:variant>
      <vt:variant>
        <vt:i4>5374040</vt:i4>
      </vt:variant>
      <vt:variant>
        <vt:i4>1704</vt:i4>
      </vt:variant>
      <vt:variant>
        <vt:i4>0</vt:i4>
      </vt:variant>
      <vt:variant>
        <vt:i4>5</vt:i4>
      </vt:variant>
      <vt:variant>
        <vt:lpwstr>http://data.europa.eu/eli/dir/2005/35/oj</vt:lpwstr>
      </vt:variant>
      <vt:variant>
        <vt:lpwstr/>
      </vt:variant>
      <vt:variant>
        <vt:i4>5963788</vt:i4>
      </vt:variant>
      <vt:variant>
        <vt:i4>1701</vt:i4>
      </vt:variant>
      <vt:variant>
        <vt:i4>0</vt:i4>
      </vt:variant>
      <vt:variant>
        <vt:i4>5</vt:i4>
      </vt:variant>
      <vt:variant>
        <vt:lpwstr>https://eur-lex.europa.eu/legal-content/EN/TXT/?uri=CELEX%3A32002L0059&amp;qid=1698323593416</vt:lpwstr>
      </vt:variant>
      <vt:variant>
        <vt:lpwstr/>
      </vt:variant>
      <vt:variant>
        <vt:i4>1048607</vt:i4>
      </vt:variant>
      <vt:variant>
        <vt:i4>1698</vt:i4>
      </vt:variant>
      <vt:variant>
        <vt:i4>0</vt:i4>
      </vt:variant>
      <vt:variant>
        <vt:i4>5</vt:i4>
      </vt:variant>
      <vt:variant>
        <vt:lpwstr>http://data.europa.eu/eli/dir/2000/60/2014-11-20</vt:lpwstr>
      </vt:variant>
      <vt:variant>
        <vt:lpwstr/>
      </vt:variant>
      <vt:variant>
        <vt:i4>6357101</vt:i4>
      </vt:variant>
      <vt:variant>
        <vt:i4>1695</vt:i4>
      </vt:variant>
      <vt:variant>
        <vt:i4>0</vt:i4>
      </vt:variant>
      <vt:variant>
        <vt:i4>5</vt:i4>
      </vt:variant>
      <vt:variant>
        <vt:lpwstr>https://eur-lex.europa.eu/legal-content/EN/TXT/?uri=CELEX%3A21979A1113%2801%29</vt:lpwstr>
      </vt:variant>
      <vt:variant>
        <vt:lpwstr/>
      </vt:variant>
      <vt:variant>
        <vt:i4>1114121</vt:i4>
      </vt:variant>
      <vt:variant>
        <vt:i4>1692</vt:i4>
      </vt:variant>
      <vt:variant>
        <vt:i4>0</vt:i4>
      </vt:variant>
      <vt:variant>
        <vt:i4>5</vt:i4>
      </vt:variant>
      <vt:variant>
        <vt:lpwstr>https://doi.org/10.3389/fmars.2019.00606</vt:lpwstr>
      </vt:variant>
      <vt:variant>
        <vt:lpwstr/>
      </vt:variant>
      <vt:variant>
        <vt:i4>7995421</vt:i4>
      </vt:variant>
      <vt:variant>
        <vt:i4>1689</vt:i4>
      </vt:variant>
      <vt:variant>
        <vt:i4>0</vt:i4>
      </vt:variant>
      <vt:variant>
        <vt:i4>5</vt:i4>
      </vt:variant>
      <vt:variant>
        <vt:lpwstr>https://www.europarl.europa.eu/thinktank/en/document/EPRS_BRI(2021)662636</vt:lpwstr>
      </vt:variant>
      <vt:variant>
        <vt:lpwstr/>
      </vt:variant>
      <vt:variant>
        <vt:i4>8061036</vt:i4>
      </vt:variant>
      <vt:variant>
        <vt:i4>1686</vt:i4>
      </vt:variant>
      <vt:variant>
        <vt:i4>0</vt:i4>
      </vt:variant>
      <vt:variant>
        <vt:i4>5</vt:i4>
      </vt:variant>
      <vt:variant>
        <vt:lpwstr>https://www.emsa.europa.eu/about/financial-regulations/items.html?cid=14:technical&amp;id=4834</vt:lpwstr>
      </vt:variant>
      <vt:variant>
        <vt:lpwstr/>
      </vt:variant>
      <vt:variant>
        <vt:i4>4063265</vt:i4>
      </vt:variant>
      <vt:variant>
        <vt:i4>1683</vt:i4>
      </vt:variant>
      <vt:variant>
        <vt:i4>0</vt:i4>
      </vt:variant>
      <vt:variant>
        <vt:i4>5</vt:i4>
      </vt:variant>
      <vt:variant>
        <vt:lpwstr>https://www.emsa.europa.eu/newsroom/covid19-impact/item/4795-july-2022-covid-19-impact-on-shipping-report.html</vt:lpwstr>
      </vt:variant>
      <vt:variant>
        <vt:lpwstr/>
      </vt:variant>
      <vt:variant>
        <vt:i4>720919</vt:i4>
      </vt:variant>
      <vt:variant>
        <vt:i4>1680</vt:i4>
      </vt:variant>
      <vt:variant>
        <vt:i4>0</vt:i4>
      </vt:variant>
      <vt:variant>
        <vt:i4>5</vt:i4>
      </vt:variant>
      <vt:variant>
        <vt:lpwstr>https://www.emsa.europa.eu/emcip.html</vt:lpwstr>
      </vt:variant>
      <vt:variant>
        <vt:lpwstr/>
      </vt:variant>
      <vt:variant>
        <vt:i4>6750242</vt:i4>
      </vt:variant>
      <vt:variant>
        <vt:i4>1677</vt:i4>
      </vt:variant>
      <vt:variant>
        <vt:i4>0</vt:i4>
      </vt:variant>
      <vt:variant>
        <vt:i4>5</vt:i4>
      </vt:variant>
      <vt:variant>
        <vt:lpwstr>https://ows.emodnet-humanactivities.eu/geonetwork/srv/api/records/d3e86612-35a7-4c0f-a995-245062fd2792</vt:lpwstr>
      </vt:variant>
      <vt:variant>
        <vt:lpwstr/>
      </vt:variant>
      <vt:variant>
        <vt:i4>2555941</vt:i4>
      </vt:variant>
      <vt:variant>
        <vt:i4>1674</vt:i4>
      </vt:variant>
      <vt:variant>
        <vt:i4>0</vt:i4>
      </vt:variant>
      <vt:variant>
        <vt:i4>5</vt:i4>
      </vt:variant>
      <vt:variant>
        <vt:lpwstr>https://www.egcsa.com/map-regulations/</vt:lpwstr>
      </vt:variant>
      <vt:variant>
        <vt:lpwstr/>
      </vt:variant>
      <vt:variant>
        <vt:i4>1376327</vt:i4>
      </vt:variant>
      <vt:variant>
        <vt:i4>1671</vt:i4>
      </vt:variant>
      <vt:variant>
        <vt:i4>0</vt:i4>
      </vt:variant>
      <vt:variant>
        <vt:i4>5</vt:i4>
      </vt:variant>
      <vt:variant>
        <vt:lpwstr>https://www.eea.europa.eu/publications/maritime-transport</vt:lpwstr>
      </vt:variant>
      <vt:variant>
        <vt:lpwstr/>
      </vt:variant>
      <vt:variant>
        <vt:i4>458828</vt:i4>
      </vt:variant>
      <vt:variant>
        <vt:i4>1668</vt:i4>
      </vt:variant>
      <vt:variant>
        <vt:i4>0</vt:i4>
      </vt:variant>
      <vt:variant>
        <vt:i4>5</vt:i4>
      </vt:variant>
      <vt:variant>
        <vt:lpwstr>https://www.eea.europa.eu/publications/emep-eea-guidebook-2023/part-b-sectoral-guidance-chapters/1-energy/1-a-combustion/1-a-3-d-navigation/view</vt:lpwstr>
      </vt:variant>
      <vt:variant>
        <vt:lpwstr/>
      </vt:variant>
      <vt:variant>
        <vt:i4>1704015</vt:i4>
      </vt:variant>
      <vt:variant>
        <vt:i4>1665</vt:i4>
      </vt:variant>
      <vt:variant>
        <vt:i4>0</vt:i4>
      </vt:variant>
      <vt:variant>
        <vt:i4>5</vt:i4>
      </vt:variant>
      <vt:variant>
        <vt:lpwstr>https://www.eea.europa.eu/themes/biodiversity/natura-2000</vt:lpwstr>
      </vt:variant>
      <vt:variant>
        <vt:lpwstr/>
      </vt:variant>
      <vt:variant>
        <vt:i4>8126540</vt:i4>
      </vt:variant>
      <vt:variant>
        <vt:i4>1662</vt:i4>
      </vt:variant>
      <vt:variant>
        <vt:i4>0</vt:i4>
      </vt:variant>
      <vt:variant>
        <vt:i4>5</vt:i4>
      </vt:variant>
      <vt:variant>
        <vt:lpwstr>https://www.eea.europa.eu/ims/marine-non-indigenous-species-in</vt:lpwstr>
      </vt:variant>
      <vt:variant>
        <vt:lpwstr>_ftn1</vt:lpwstr>
      </vt:variant>
      <vt:variant>
        <vt:i4>4587591</vt:i4>
      </vt:variant>
      <vt:variant>
        <vt:i4>1659</vt:i4>
      </vt:variant>
      <vt:variant>
        <vt:i4>0</vt:i4>
      </vt:variant>
      <vt:variant>
        <vt:i4>5</vt:i4>
      </vt:variant>
      <vt:variant>
        <vt:lpwstr>https://www.eea.europa.eu/en/datahub</vt:lpwstr>
      </vt:variant>
      <vt:variant>
        <vt:lpwstr/>
      </vt:variant>
      <vt:variant>
        <vt:i4>720922</vt:i4>
      </vt:variant>
      <vt:variant>
        <vt:i4>1656</vt:i4>
      </vt:variant>
      <vt:variant>
        <vt:i4>0</vt:i4>
      </vt:variant>
      <vt:variant>
        <vt:i4>5</vt:i4>
      </vt:variant>
      <vt:variant>
        <vt:lpwstr>https://data.europa.eu/doi/10.2800/088047</vt:lpwstr>
      </vt:variant>
      <vt:variant>
        <vt:lpwstr/>
      </vt:variant>
      <vt:variant>
        <vt:i4>524378</vt:i4>
      </vt:variant>
      <vt:variant>
        <vt:i4>1653</vt:i4>
      </vt:variant>
      <vt:variant>
        <vt:i4>0</vt:i4>
      </vt:variant>
      <vt:variant>
        <vt:i4>5</vt:i4>
      </vt:variant>
      <vt:variant>
        <vt:lpwstr>https://www.eea.europa.eu/publications/air-quality-in-europe-2022</vt:lpwstr>
      </vt:variant>
      <vt:variant>
        <vt:lpwstr/>
      </vt:variant>
      <vt:variant>
        <vt:i4>3211308</vt:i4>
      </vt:variant>
      <vt:variant>
        <vt:i4>1650</vt:i4>
      </vt:variant>
      <vt:variant>
        <vt:i4>0</vt:i4>
      </vt:variant>
      <vt:variant>
        <vt:i4>5</vt:i4>
      </vt:variant>
      <vt:variant>
        <vt:lpwstr>https://www.eea.europa.eu/data-and-maps/indicators/trends-in-marine-alien-species-1/assessment</vt:lpwstr>
      </vt:variant>
      <vt:variant>
        <vt:lpwstr/>
      </vt:variant>
      <vt:variant>
        <vt:i4>3866660</vt:i4>
      </vt:variant>
      <vt:variant>
        <vt:i4>1647</vt:i4>
      </vt:variant>
      <vt:variant>
        <vt:i4>0</vt:i4>
      </vt:variant>
      <vt:variant>
        <vt:i4>5</vt:i4>
      </vt:variant>
      <vt:variant>
        <vt:lpwstr>https://data.europa.eu/doi/10.2771/7151</vt:lpwstr>
      </vt:variant>
      <vt:variant>
        <vt:lpwstr/>
      </vt:variant>
      <vt:variant>
        <vt:i4>6946877</vt:i4>
      </vt:variant>
      <vt:variant>
        <vt:i4>1644</vt:i4>
      </vt:variant>
      <vt:variant>
        <vt:i4>0</vt:i4>
      </vt:variant>
      <vt:variant>
        <vt:i4>5</vt:i4>
      </vt:variant>
      <vt:variant>
        <vt:lpwstr>https://dopa.jrc.ec.europa.eu/kcbd/dashboard/</vt:lpwstr>
      </vt:variant>
      <vt:variant>
        <vt:lpwstr>Target%2012</vt:lpwstr>
      </vt:variant>
      <vt:variant>
        <vt:i4>7864438</vt:i4>
      </vt:variant>
      <vt:variant>
        <vt:i4>1641</vt:i4>
      </vt:variant>
      <vt:variant>
        <vt:i4>0</vt:i4>
      </vt:variant>
      <vt:variant>
        <vt:i4>5</vt:i4>
      </vt:variant>
      <vt:variant>
        <vt:lpwstr>https://eur-lex.europa.eu/LexUriServ/LexUriServ.do?uri=SWD:2023:0164:FIN:EN:PDF</vt:lpwstr>
      </vt:variant>
      <vt:variant>
        <vt:lpwstr/>
      </vt:variant>
      <vt:variant>
        <vt:i4>5832800</vt:i4>
      </vt:variant>
      <vt:variant>
        <vt:i4>1638</vt:i4>
      </vt:variant>
      <vt:variant>
        <vt:i4>0</vt:i4>
      </vt:variant>
      <vt:variant>
        <vt:i4>5</vt:i4>
      </vt:variant>
      <vt:variant>
        <vt:lpwstr>https://climate.ec.europa.eu/system/files/2023-03/swd_2023_54_en.pdf</vt:lpwstr>
      </vt:variant>
      <vt:variant>
        <vt:lpwstr/>
      </vt:variant>
      <vt:variant>
        <vt:i4>1114128</vt:i4>
      </vt:variant>
      <vt:variant>
        <vt:i4>1635</vt:i4>
      </vt:variant>
      <vt:variant>
        <vt:i4>0</vt:i4>
      </vt:variant>
      <vt:variant>
        <vt:i4>5</vt:i4>
      </vt:variant>
      <vt:variant>
        <vt:lpwstr>https://eur-lex.europa.eu/legal-content/EN/TXT/?uri=CELEX:52021PC0557</vt:lpwstr>
      </vt:variant>
      <vt:variant>
        <vt:lpwstr/>
      </vt:variant>
      <vt:variant>
        <vt:i4>5177405</vt:i4>
      </vt:variant>
      <vt:variant>
        <vt:i4>1632</vt:i4>
      </vt:variant>
      <vt:variant>
        <vt:i4>0</vt:i4>
      </vt:variant>
      <vt:variant>
        <vt:i4>5</vt:i4>
      </vt:variant>
      <vt:variant>
        <vt:lpwstr>https://energy.ec.europa.eu/data-and-analysis/energy-modelling/policy-scenarios-delivering-european-green-deal_en</vt:lpwstr>
      </vt:variant>
      <vt:variant>
        <vt:lpwstr/>
      </vt:variant>
      <vt:variant>
        <vt:i4>4128863</vt:i4>
      </vt:variant>
      <vt:variant>
        <vt:i4>1629</vt:i4>
      </vt:variant>
      <vt:variant>
        <vt:i4>0</vt:i4>
      </vt:variant>
      <vt:variant>
        <vt:i4>5</vt:i4>
      </vt:variant>
      <vt:variant>
        <vt:lpwstr>https://ec.europa.eu/environment/pdf/zero-pollution-action-plan/communication_en.pdf</vt:lpwstr>
      </vt:variant>
      <vt:variant>
        <vt:lpwstr/>
      </vt:variant>
      <vt:variant>
        <vt:i4>7471142</vt:i4>
      </vt:variant>
      <vt:variant>
        <vt:i4>1626</vt:i4>
      </vt:variant>
      <vt:variant>
        <vt:i4>0</vt:i4>
      </vt:variant>
      <vt:variant>
        <vt:i4>5</vt:i4>
      </vt:variant>
      <vt:variant>
        <vt:lpwstr>https://eur-lex.europa.eu/legal-content/EN/TXT/?uri=CELEX%3A52021JC0027</vt:lpwstr>
      </vt:variant>
      <vt:variant>
        <vt:lpwstr/>
      </vt:variant>
      <vt:variant>
        <vt:i4>6750326</vt:i4>
      </vt:variant>
      <vt:variant>
        <vt:i4>1623</vt:i4>
      </vt:variant>
      <vt:variant>
        <vt:i4>0</vt:i4>
      </vt:variant>
      <vt:variant>
        <vt:i4>5</vt:i4>
      </vt:variant>
      <vt:variant>
        <vt:lpwstr>https://eur-lex.europa.eu/legal-content/EN/TXT/HTML/?uri=CELEX:52021DC0550&amp;from=EN</vt:lpwstr>
      </vt:variant>
      <vt:variant>
        <vt:lpwstr/>
      </vt:variant>
      <vt:variant>
        <vt:i4>7733250</vt:i4>
      </vt:variant>
      <vt:variant>
        <vt:i4>1620</vt:i4>
      </vt:variant>
      <vt:variant>
        <vt:i4>0</vt:i4>
      </vt:variant>
      <vt:variant>
        <vt:i4>5</vt:i4>
      </vt:variant>
      <vt:variant>
        <vt:lpwstr>https://commission.europa.eu/news/commission-presents-renewable-energy-directive-revision-2021-07-14_en</vt:lpwstr>
      </vt:variant>
      <vt:variant>
        <vt:lpwstr/>
      </vt:variant>
      <vt:variant>
        <vt:i4>2031657</vt:i4>
      </vt:variant>
      <vt:variant>
        <vt:i4>1617</vt:i4>
      </vt:variant>
      <vt:variant>
        <vt:i4>0</vt:i4>
      </vt:variant>
      <vt:variant>
        <vt:i4>5</vt:i4>
      </vt:variant>
      <vt:variant>
        <vt:lpwstr>https://climate.ec.europa.eu/system/files/2021-08/c_2021_6022_en.pdf</vt:lpwstr>
      </vt:variant>
      <vt:variant>
        <vt:lpwstr/>
      </vt:variant>
      <vt:variant>
        <vt:i4>5570683</vt:i4>
      </vt:variant>
      <vt:variant>
        <vt:i4>1614</vt:i4>
      </vt:variant>
      <vt:variant>
        <vt:i4>0</vt:i4>
      </vt:variant>
      <vt:variant>
        <vt:i4>5</vt:i4>
      </vt:variant>
      <vt:variant>
        <vt:lpwstr>https://ec.europa.eu/clima/policies/ets_en</vt:lpwstr>
      </vt:variant>
      <vt:variant>
        <vt:lpwstr/>
      </vt:variant>
      <vt:variant>
        <vt:i4>7733284</vt:i4>
      </vt:variant>
      <vt:variant>
        <vt:i4>1611</vt:i4>
      </vt:variant>
      <vt:variant>
        <vt:i4>0</vt:i4>
      </vt:variant>
      <vt:variant>
        <vt:i4>5</vt:i4>
      </vt:variant>
      <vt:variant>
        <vt:lpwstr>https://eur-lex.europa.eu/legal-content/EN/TXT/?uri=celex%3A52020DC0380</vt:lpwstr>
      </vt:variant>
      <vt:variant>
        <vt:lpwstr/>
      </vt:variant>
      <vt:variant>
        <vt:i4>5505120</vt:i4>
      </vt:variant>
      <vt:variant>
        <vt:i4>1608</vt:i4>
      </vt:variant>
      <vt:variant>
        <vt:i4>0</vt:i4>
      </vt:variant>
      <vt:variant>
        <vt:i4>5</vt:i4>
      </vt:variant>
      <vt:variant>
        <vt:lpwstr>https://climate.ec.europa.eu/system/files/2020-05/swd_2020_82_en.pdf</vt:lpwstr>
      </vt:variant>
      <vt:variant>
        <vt:lpwstr/>
      </vt:variant>
      <vt:variant>
        <vt:i4>1441820</vt:i4>
      </vt:variant>
      <vt:variant>
        <vt:i4>1605</vt:i4>
      </vt:variant>
      <vt:variant>
        <vt:i4>0</vt:i4>
      </vt:variant>
      <vt:variant>
        <vt:i4>5</vt:i4>
      </vt:variant>
      <vt:variant>
        <vt:lpwstr>https://eur-lex.europa.eu/legal-content/EN/TXT/?uri=CELEX:52018SC0021</vt:lpwstr>
      </vt:variant>
      <vt:variant>
        <vt:lpwstr/>
      </vt:variant>
      <vt:variant>
        <vt:i4>99</vt:i4>
      </vt:variant>
      <vt:variant>
        <vt:i4>1602</vt:i4>
      </vt:variant>
      <vt:variant>
        <vt:i4>0</vt:i4>
      </vt:variant>
      <vt:variant>
        <vt:i4>5</vt:i4>
      </vt:variant>
      <vt:variant>
        <vt:lpwstr>http://data.europa.eu/eli/dec_impl/2015/253/oj</vt:lpwstr>
      </vt:variant>
      <vt:variant>
        <vt:lpwstr/>
      </vt:variant>
      <vt:variant>
        <vt:i4>99</vt:i4>
      </vt:variant>
      <vt:variant>
        <vt:i4>1599</vt:i4>
      </vt:variant>
      <vt:variant>
        <vt:i4>0</vt:i4>
      </vt:variant>
      <vt:variant>
        <vt:i4>5</vt:i4>
      </vt:variant>
      <vt:variant>
        <vt:lpwstr>http://data.europa.eu/eli/dec_impl/2015/253/oj</vt:lpwstr>
      </vt:variant>
      <vt:variant>
        <vt:lpwstr/>
      </vt:variant>
      <vt:variant>
        <vt:i4>5832788</vt:i4>
      </vt:variant>
      <vt:variant>
        <vt:i4>1596</vt:i4>
      </vt:variant>
      <vt:variant>
        <vt:i4>0</vt:i4>
      </vt:variant>
      <vt:variant>
        <vt:i4>5</vt:i4>
      </vt:variant>
      <vt:variant>
        <vt:lpwstr>https://afi.dnv.com/</vt:lpwstr>
      </vt:variant>
      <vt:variant>
        <vt:lpwstr/>
      </vt:variant>
      <vt:variant>
        <vt:i4>4325501</vt:i4>
      </vt:variant>
      <vt:variant>
        <vt:i4>1593</vt:i4>
      </vt:variant>
      <vt:variant>
        <vt:i4>0</vt:i4>
      </vt:variant>
      <vt:variant>
        <vt:i4>5</vt:i4>
      </vt:variant>
      <vt:variant>
        <vt:lpwstr>https://www.safety4sea.com/wp-content/uploads/2016/06/DNV-GL-Brochure-Black-Carbon-2016_06.pdf</vt:lpwstr>
      </vt:variant>
      <vt:variant>
        <vt:lpwstr/>
      </vt:variant>
      <vt:variant>
        <vt:i4>5636189</vt:i4>
      </vt:variant>
      <vt:variant>
        <vt:i4>1590</vt:i4>
      </vt:variant>
      <vt:variant>
        <vt:i4>0</vt:i4>
      </vt:variant>
      <vt:variant>
        <vt:i4>5</vt:i4>
      </vt:variant>
      <vt:variant>
        <vt:lpwstr>https://currentdirect.eu/</vt:lpwstr>
      </vt:variant>
      <vt:variant>
        <vt:lpwstr/>
      </vt:variant>
      <vt:variant>
        <vt:i4>3538990</vt:i4>
      </vt:variant>
      <vt:variant>
        <vt:i4>1587</vt:i4>
      </vt:variant>
      <vt:variant>
        <vt:i4>0</vt:i4>
      </vt:variant>
      <vt:variant>
        <vt:i4>5</vt:i4>
      </vt:variant>
      <vt:variant>
        <vt:lpwstr>https://www.emsa.europa.eu/newsroom/latest-news/download/6881/4569/23.html</vt:lpwstr>
      </vt:variant>
      <vt:variant>
        <vt:lpwstr/>
      </vt:variant>
      <vt:variant>
        <vt:i4>7667740</vt:i4>
      </vt:variant>
      <vt:variant>
        <vt:i4>1584</vt:i4>
      </vt:variant>
      <vt:variant>
        <vt:i4>0</vt:i4>
      </vt:variant>
      <vt:variant>
        <vt:i4>5</vt:i4>
      </vt:variant>
      <vt:variant>
        <vt:lpwstr>https://cruising.org/-/media/clia-media/research/2023/2023-clia-state-of-the-cruise-industry-report_low-res.ashx</vt:lpwstr>
      </vt:variant>
      <vt:variant>
        <vt:lpwstr/>
      </vt:variant>
      <vt:variant>
        <vt:i4>2556005</vt:i4>
      </vt:variant>
      <vt:variant>
        <vt:i4>1581</vt:i4>
      </vt:variant>
      <vt:variant>
        <vt:i4>0</vt:i4>
      </vt:variant>
      <vt:variant>
        <vt:i4>5</vt:i4>
      </vt:variant>
      <vt:variant>
        <vt:lpwstr>https://doi.org/10.1533/9780857095343.6.842</vt:lpwstr>
      </vt:variant>
      <vt:variant>
        <vt:lpwstr/>
      </vt:variant>
      <vt:variant>
        <vt:i4>3932261</vt:i4>
      </vt:variant>
      <vt:variant>
        <vt:i4>1578</vt:i4>
      </vt:variant>
      <vt:variant>
        <vt:i4>0</vt:i4>
      </vt:variant>
      <vt:variant>
        <vt:i4>5</vt:i4>
      </vt:variant>
      <vt:variant>
        <vt:lpwstr>https://doi.org/10.1016/j.prime.2023.100132</vt:lpwstr>
      </vt:variant>
      <vt:variant>
        <vt:lpwstr/>
      </vt:variant>
      <vt:variant>
        <vt:i4>4390986</vt:i4>
      </vt:variant>
      <vt:variant>
        <vt:i4>1575</vt:i4>
      </vt:variant>
      <vt:variant>
        <vt:i4>0</vt:i4>
      </vt:variant>
      <vt:variant>
        <vt:i4>5</vt:i4>
      </vt:variant>
      <vt:variant>
        <vt:lpwstr>https://www.ansto.gov.au/our-science/nuclear-technologies/reactor-systems/advanced-reactors/evolution-of-molten-salt</vt:lpwstr>
      </vt:variant>
      <vt:variant>
        <vt:lpwstr/>
      </vt:variant>
      <vt:variant>
        <vt:i4>2097198</vt:i4>
      </vt:variant>
      <vt:variant>
        <vt:i4>1572</vt:i4>
      </vt:variant>
      <vt:variant>
        <vt:i4>0</vt:i4>
      </vt:variant>
      <vt:variant>
        <vt:i4>5</vt:i4>
      </vt:variant>
      <vt:variant>
        <vt:lpwstr>https://www.amap.no/documents/doc/arctic-climate-change-update-2021-key-trends-and-impacts.-summary-for-policy-makers/3508</vt:lpwstr>
      </vt:variant>
      <vt:variant>
        <vt:lpwstr/>
      </vt:variant>
      <vt:variant>
        <vt:i4>6357027</vt:i4>
      </vt:variant>
      <vt:variant>
        <vt:i4>1377</vt:i4>
      </vt:variant>
      <vt:variant>
        <vt:i4>0</vt:i4>
      </vt:variant>
      <vt:variant>
        <vt:i4>5</vt:i4>
      </vt:variant>
      <vt:variant>
        <vt:lpwstr>https://www.maritimebatteryforum.com/ship-register</vt:lpwstr>
      </vt:variant>
      <vt:variant>
        <vt:lpwstr/>
      </vt:variant>
      <vt:variant>
        <vt:i4>4587599</vt:i4>
      </vt:variant>
      <vt:variant>
        <vt:i4>1287</vt:i4>
      </vt:variant>
      <vt:variant>
        <vt:i4>0</vt:i4>
      </vt:variant>
      <vt:variant>
        <vt:i4>5</vt:i4>
      </vt:variant>
      <vt:variant>
        <vt:lpwstr>https://emodnet.ec.europa.eu/geonetwork/srv/eng/catalog.search</vt:lpwstr>
      </vt:variant>
      <vt:variant>
        <vt:lpwstr>/metadata/ff0933f1-d6df-45d1-8c4e-3f5a95a2296e</vt:lpwstr>
      </vt:variant>
      <vt:variant>
        <vt:i4>4587599</vt:i4>
      </vt:variant>
      <vt:variant>
        <vt:i4>1275</vt:i4>
      </vt:variant>
      <vt:variant>
        <vt:i4>0</vt:i4>
      </vt:variant>
      <vt:variant>
        <vt:i4>5</vt:i4>
      </vt:variant>
      <vt:variant>
        <vt:lpwstr>https://emodnet.ec.europa.eu/geonetwork/srv/eng/catalog.search</vt:lpwstr>
      </vt:variant>
      <vt:variant>
        <vt:lpwstr>/metadata/ff0933f1-d6df-45d1-8c4e-3f5a95a2296e</vt:lpwstr>
      </vt:variant>
      <vt:variant>
        <vt:i4>1441848</vt:i4>
      </vt:variant>
      <vt:variant>
        <vt:i4>347</vt:i4>
      </vt:variant>
      <vt:variant>
        <vt:i4>0</vt:i4>
      </vt:variant>
      <vt:variant>
        <vt:i4>5</vt:i4>
      </vt:variant>
      <vt:variant>
        <vt:lpwstr/>
      </vt:variant>
      <vt:variant>
        <vt:lpwstr>_Toc157692701</vt:lpwstr>
      </vt:variant>
      <vt:variant>
        <vt:i4>1441848</vt:i4>
      </vt:variant>
      <vt:variant>
        <vt:i4>341</vt:i4>
      </vt:variant>
      <vt:variant>
        <vt:i4>0</vt:i4>
      </vt:variant>
      <vt:variant>
        <vt:i4>5</vt:i4>
      </vt:variant>
      <vt:variant>
        <vt:lpwstr/>
      </vt:variant>
      <vt:variant>
        <vt:lpwstr>_Toc157692700</vt:lpwstr>
      </vt:variant>
      <vt:variant>
        <vt:i4>2031673</vt:i4>
      </vt:variant>
      <vt:variant>
        <vt:i4>335</vt:i4>
      </vt:variant>
      <vt:variant>
        <vt:i4>0</vt:i4>
      </vt:variant>
      <vt:variant>
        <vt:i4>5</vt:i4>
      </vt:variant>
      <vt:variant>
        <vt:lpwstr/>
      </vt:variant>
      <vt:variant>
        <vt:lpwstr>_Toc157692699</vt:lpwstr>
      </vt:variant>
      <vt:variant>
        <vt:i4>2031673</vt:i4>
      </vt:variant>
      <vt:variant>
        <vt:i4>329</vt:i4>
      </vt:variant>
      <vt:variant>
        <vt:i4>0</vt:i4>
      </vt:variant>
      <vt:variant>
        <vt:i4>5</vt:i4>
      </vt:variant>
      <vt:variant>
        <vt:lpwstr/>
      </vt:variant>
      <vt:variant>
        <vt:lpwstr>_Toc157692698</vt:lpwstr>
      </vt:variant>
      <vt:variant>
        <vt:i4>2031673</vt:i4>
      </vt:variant>
      <vt:variant>
        <vt:i4>323</vt:i4>
      </vt:variant>
      <vt:variant>
        <vt:i4>0</vt:i4>
      </vt:variant>
      <vt:variant>
        <vt:i4>5</vt:i4>
      </vt:variant>
      <vt:variant>
        <vt:lpwstr/>
      </vt:variant>
      <vt:variant>
        <vt:lpwstr>_Toc157692697</vt:lpwstr>
      </vt:variant>
      <vt:variant>
        <vt:i4>2031673</vt:i4>
      </vt:variant>
      <vt:variant>
        <vt:i4>317</vt:i4>
      </vt:variant>
      <vt:variant>
        <vt:i4>0</vt:i4>
      </vt:variant>
      <vt:variant>
        <vt:i4>5</vt:i4>
      </vt:variant>
      <vt:variant>
        <vt:lpwstr/>
      </vt:variant>
      <vt:variant>
        <vt:lpwstr>_Toc157692696</vt:lpwstr>
      </vt:variant>
      <vt:variant>
        <vt:i4>2031673</vt:i4>
      </vt:variant>
      <vt:variant>
        <vt:i4>311</vt:i4>
      </vt:variant>
      <vt:variant>
        <vt:i4>0</vt:i4>
      </vt:variant>
      <vt:variant>
        <vt:i4>5</vt:i4>
      </vt:variant>
      <vt:variant>
        <vt:lpwstr/>
      </vt:variant>
      <vt:variant>
        <vt:lpwstr>_Toc157692695</vt:lpwstr>
      </vt:variant>
      <vt:variant>
        <vt:i4>2031673</vt:i4>
      </vt:variant>
      <vt:variant>
        <vt:i4>305</vt:i4>
      </vt:variant>
      <vt:variant>
        <vt:i4>0</vt:i4>
      </vt:variant>
      <vt:variant>
        <vt:i4>5</vt:i4>
      </vt:variant>
      <vt:variant>
        <vt:lpwstr/>
      </vt:variant>
      <vt:variant>
        <vt:lpwstr>_Toc157692694</vt:lpwstr>
      </vt:variant>
      <vt:variant>
        <vt:i4>2031673</vt:i4>
      </vt:variant>
      <vt:variant>
        <vt:i4>299</vt:i4>
      </vt:variant>
      <vt:variant>
        <vt:i4>0</vt:i4>
      </vt:variant>
      <vt:variant>
        <vt:i4>5</vt:i4>
      </vt:variant>
      <vt:variant>
        <vt:lpwstr/>
      </vt:variant>
      <vt:variant>
        <vt:lpwstr>_Toc157692693</vt:lpwstr>
      </vt:variant>
      <vt:variant>
        <vt:i4>2031673</vt:i4>
      </vt:variant>
      <vt:variant>
        <vt:i4>293</vt:i4>
      </vt:variant>
      <vt:variant>
        <vt:i4>0</vt:i4>
      </vt:variant>
      <vt:variant>
        <vt:i4>5</vt:i4>
      </vt:variant>
      <vt:variant>
        <vt:lpwstr/>
      </vt:variant>
      <vt:variant>
        <vt:lpwstr>_Toc157692692</vt:lpwstr>
      </vt:variant>
      <vt:variant>
        <vt:i4>2031673</vt:i4>
      </vt:variant>
      <vt:variant>
        <vt:i4>287</vt:i4>
      </vt:variant>
      <vt:variant>
        <vt:i4>0</vt:i4>
      </vt:variant>
      <vt:variant>
        <vt:i4>5</vt:i4>
      </vt:variant>
      <vt:variant>
        <vt:lpwstr/>
      </vt:variant>
      <vt:variant>
        <vt:lpwstr>_Toc157692691</vt:lpwstr>
      </vt:variant>
      <vt:variant>
        <vt:i4>2031673</vt:i4>
      </vt:variant>
      <vt:variant>
        <vt:i4>281</vt:i4>
      </vt:variant>
      <vt:variant>
        <vt:i4>0</vt:i4>
      </vt:variant>
      <vt:variant>
        <vt:i4>5</vt:i4>
      </vt:variant>
      <vt:variant>
        <vt:lpwstr/>
      </vt:variant>
      <vt:variant>
        <vt:lpwstr>_Toc157692690</vt:lpwstr>
      </vt:variant>
      <vt:variant>
        <vt:i4>1966137</vt:i4>
      </vt:variant>
      <vt:variant>
        <vt:i4>275</vt:i4>
      </vt:variant>
      <vt:variant>
        <vt:i4>0</vt:i4>
      </vt:variant>
      <vt:variant>
        <vt:i4>5</vt:i4>
      </vt:variant>
      <vt:variant>
        <vt:lpwstr/>
      </vt:variant>
      <vt:variant>
        <vt:lpwstr>_Toc157692689</vt:lpwstr>
      </vt:variant>
      <vt:variant>
        <vt:i4>1966137</vt:i4>
      </vt:variant>
      <vt:variant>
        <vt:i4>269</vt:i4>
      </vt:variant>
      <vt:variant>
        <vt:i4>0</vt:i4>
      </vt:variant>
      <vt:variant>
        <vt:i4>5</vt:i4>
      </vt:variant>
      <vt:variant>
        <vt:lpwstr/>
      </vt:variant>
      <vt:variant>
        <vt:lpwstr>_Toc157692688</vt:lpwstr>
      </vt:variant>
      <vt:variant>
        <vt:i4>1966137</vt:i4>
      </vt:variant>
      <vt:variant>
        <vt:i4>263</vt:i4>
      </vt:variant>
      <vt:variant>
        <vt:i4>0</vt:i4>
      </vt:variant>
      <vt:variant>
        <vt:i4>5</vt:i4>
      </vt:variant>
      <vt:variant>
        <vt:lpwstr/>
      </vt:variant>
      <vt:variant>
        <vt:lpwstr>_Toc157692687</vt:lpwstr>
      </vt:variant>
      <vt:variant>
        <vt:i4>1966137</vt:i4>
      </vt:variant>
      <vt:variant>
        <vt:i4>257</vt:i4>
      </vt:variant>
      <vt:variant>
        <vt:i4>0</vt:i4>
      </vt:variant>
      <vt:variant>
        <vt:i4>5</vt:i4>
      </vt:variant>
      <vt:variant>
        <vt:lpwstr/>
      </vt:variant>
      <vt:variant>
        <vt:lpwstr>_Toc157692686</vt:lpwstr>
      </vt:variant>
      <vt:variant>
        <vt:i4>1966137</vt:i4>
      </vt:variant>
      <vt:variant>
        <vt:i4>251</vt:i4>
      </vt:variant>
      <vt:variant>
        <vt:i4>0</vt:i4>
      </vt:variant>
      <vt:variant>
        <vt:i4>5</vt:i4>
      </vt:variant>
      <vt:variant>
        <vt:lpwstr/>
      </vt:variant>
      <vt:variant>
        <vt:lpwstr>_Toc157692685</vt:lpwstr>
      </vt:variant>
      <vt:variant>
        <vt:i4>1966137</vt:i4>
      </vt:variant>
      <vt:variant>
        <vt:i4>245</vt:i4>
      </vt:variant>
      <vt:variant>
        <vt:i4>0</vt:i4>
      </vt:variant>
      <vt:variant>
        <vt:i4>5</vt:i4>
      </vt:variant>
      <vt:variant>
        <vt:lpwstr/>
      </vt:variant>
      <vt:variant>
        <vt:lpwstr>_Toc157692684</vt:lpwstr>
      </vt:variant>
      <vt:variant>
        <vt:i4>1966137</vt:i4>
      </vt:variant>
      <vt:variant>
        <vt:i4>239</vt:i4>
      </vt:variant>
      <vt:variant>
        <vt:i4>0</vt:i4>
      </vt:variant>
      <vt:variant>
        <vt:i4>5</vt:i4>
      </vt:variant>
      <vt:variant>
        <vt:lpwstr/>
      </vt:variant>
      <vt:variant>
        <vt:lpwstr>_Toc157692683</vt:lpwstr>
      </vt:variant>
      <vt:variant>
        <vt:i4>1966137</vt:i4>
      </vt:variant>
      <vt:variant>
        <vt:i4>233</vt:i4>
      </vt:variant>
      <vt:variant>
        <vt:i4>0</vt:i4>
      </vt:variant>
      <vt:variant>
        <vt:i4>5</vt:i4>
      </vt:variant>
      <vt:variant>
        <vt:lpwstr/>
      </vt:variant>
      <vt:variant>
        <vt:lpwstr>_Toc157692682</vt:lpwstr>
      </vt:variant>
      <vt:variant>
        <vt:i4>1966137</vt:i4>
      </vt:variant>
      <vt:variant>
        <vt:i4>227</vt:i4>
      </vt:variant>
      <vt:variant>
        <vt:i4>0</vt:i4>
      </vt:variant>
      <vt:variant>
        <vt:i4>5</vt:i4>
      </vt:variant>
      <vt:variant>
        <vt:lpwstr/>
      </vt:variant>
      <vt:variant>
        <vt:lpwstr>_Toc157692681</vt:lpwstr>
      </vt:variant>
      <vt:variant>
        <vt:i4>1966137</vt:i4>
      </vt:variant>
      <vt:variant>
        <vt:i4>221</vt:i4>
      </vt:variant>
      <vt:variant>
        <vt:i4>0</vt:i4>
      </vt:variant>
      <vt:variant>
        <vt:i4>5</vt:i4>
      </vt:variant>
      <vt:variant>
        <vt:lpwstr/>
      </vt:variant>
      <vt:variant>
        <vt:lpwstr>_Toc157692680</vt:lpwstr>
      </vt:variant>
      <vt:variant>
        <vt:i4>1114169</vt:i4>
      </vt:variant>
      <vt:variant>
        <vt:i4>215</vt:i4>
      </vt:variant>
      <vt:variant>
        <vt:i4>0</vt:i4>
      </vt:variant>
      <vt:variant>
        <vt:i4>5</vt:i4>
      </vt:variant>
      <vt:variant>
        <vt:lpwstr/>
      </vt:variant>
      <vt:variant>
        <vt:lpwstr>_Toc157692679</vt:lpwstr>
      </vt:variant>
      <vt:variant>
        <vt:i4>1114169</vt:i4>
      </vt:variant>
      <vt:variant>
        <vt:i4>209</vt:i4>
      </vt:variant>
      <vt:variant>
        <vt:i4>0</vt:i4>
      </vt:variant>
      <vt:variant>
        <vt:i4>5</vt:i4>
      </vt:variant>
      <vt:variant>
        <vt:lpwstr/>
      </vt:variant>
      <vt:variant>
        <vt:lpwstr>_Toc157692678</vt:lpwstr>
      </vt:variant>
      <vt:variant>
        <vt:i4>1114169</vt:i4>
      </vt:variant>
      <vt:variant>
        <vt:i4>203</vt:i4>
      </vt:variant>
      <vt:variant>
        <vt:i4>0</vt:i4>
      </vt:variant>
      <vt:variant>
        <vt:i4>5</vt:i4>
      </vt:variant>
      <vt:variant>
        <vt:lpwstr/>
      </vt:variant>
      <vt:variant>
        <vt:lpwstr>_Toc157692677</vt:lpwstr>
      </vt:variant>
      <vt:variant>
        <vt:i4>1114169</vt:i4>
      </vt:variant>
      <vt:variant>
        <vt:i4>197</vt:i4>
      </vt:variant>
      <vt:variant>
        <vt:i4>0</vt:i4>
      </vt:variant>
      <vt:variant>
        <vt:i4>5</vt:i4>
      </vt:variant>
      <vt:variant>
        <vt:lpwstr/>
      </vt:variant>
      <vt:variant>
        <vt:lpwstr>_Toc157692676</vt:lpwstr>
      </vt:variant>
      <vt:variant>
        <vt:i4>1114169</vt:i4>
      </vt:variant>
      <vt:variant>
        <vt:i4>191</vt:i4>
      </vt:variant>
      <vt:variant>
        <vt:i4>0</vt:i4>
      </vt:variant>
      <vt:variant>
        <vt:i4>5</vt:i4>
      </vt:variant>
      <vt:variant>
        <vt:lpwstr/>
      </vt:variant>
      <vt:variant>
        <vt:lpwstr>_Toc157692675</vt:lpwstr>
      </vt:variant>
      <vt:variant>
        <vt:i4>1114169</vt:i4>
      </vt:variant>
      <vt:variant>
        <vt:i4>185</vt:i4>
      </vt:variant>
      <vt:variant>
        <vt:i4>0</vt:i4>
      </vt:variant>
      <vt:variant>
        <vt:i4>5</vt:i4>
      </vt:variant>
      <vt:variant>
        <vt:lpwstr/>
      </vt:variant>
      <vt:variant>
        <vt:lpwstr>_Toc157692674</vt:lpwstr>
      </vt:variant>
      <vt:variant>
        <vt:i4>1114169</vt:i4>
      </vt:variant>
      <vt:variant>
        <vt:i4>179</vt:i4>
      </vt:variant>
      <vt:variant>
        <vt:i4>0</vt:i4>
      </vt:variant>
      <vt:variant>
        <vt:i4>5</vt:i4>
      </vt:variant>
      <vt:variant>
        <vt:lpwstr/>
      </vt:variant>
      <vt:variant>
        <vt:lpwstr>_Toc157692673</vt:lpwstr>
      </vt:variant>
      <vt:variant>
        <vt:i4>1114169</vt:i4>
      </vt:variant>
      <vt:variant>
        <vt:i4>173</vt:i4>
      </vt:variant>
      <vt:variant>
        <vt:i4>0</vt:i4>
      </vt:variant>
      <vt:variant>
        <vt:i4>5</vt:i4>
      </vt:variant>
      <vt:variant>
        <vt:lpwstr/>
      </vt:variant>
      <vt:variant>
        <vt:lpwstr>_Toc157692672</vt:lpwstr>
      </vt:variant>
      <vt:variant>
        <vt:i4>1114169</vt:i4>
      </vt:variant>
      <vt:variant>
        <vt:i4>167</vt:i4>
      </vt:variant>
      <vt:variant>
        <vt:i4>0</vt:i4>
      </vt:variant>
      <vt:variant>
        <vt:i4>5</vt:i4>
      </vt:variant>
      <vt:variant>
        <vt:lpwstr/>
      </vt:variant>
      <vt:variant>
        <vt:lpwstr>_Toc157692671</vt:lpwstr>
      </vt:variant>
      <vt:variant>
        <vt:i4>1114169</vt:i4>
      </vt:variant>
      <vt:variant>
        <vt:i4>161</vt:i4>
      </vt:variant>
      <vt:variant>
        <vt:i4>0</vt:i4>
      </vt:variant>
      <vt:variant>
        <vt:i4>5</vt:i4>
      </vt:variant>
      <vt:variant>
        <vt:lpwstr/>
      </vt:variant>
      <vt:variant>
        <vt:lpwstr>_Toc157692670</vt:lpwstr>
      </vt:variant>
      <vt:variant>
        <vt:i4>1048633</vt:i4>
      </vt:variant>
      <vt:variant>
        <vt:i4>155</vt:i4>
      </vt:variant>
      <vt:variant>
        <vt:i4>0</vt:i4>
      </vt:variant>
      <vt:variant>
        <vt:i4>5</vt:i4>
      </vt:variant>
      <vt:variant>
        <vt:lpwstr/>
      </vt:variant>
      <vt:variant>
        <vt:lpwstr>_Toc157692669</vt:lpwstr>
      </vt:variant>
      <vt:variant>
        <vt:i4>1048633</vt:i4>
      </vt:variant>
      <vt:variant>
        <vt:i4>149</vt:i4>
      </vt:variant>
      <vt:variant>
        <vt:i4>0</vt:i4>
      </vt:variant>
      <vt:variant>
        <vt:i4>5</vt:i4>
      </vt:variant>
      <vt:variant>
        <vt:lpwstr/>
      </vt:variant>
      <vt:variant>
        <vt:lpwstr>_Toc157692668</vt:lpwstr>
      </vt:variant>
      <vt:variant>
        <vt:i4>1048633</vt:i4>
      </vt:variant>
      <vt:variant>
        <vt:i4>143</vt:i4>
      </vt:variant>
      <vt:variant>
        <vt:i4>0</vt:i4>
      </vt:variant>
      <vt:variant>
        <vt:i4>5</vt:i4>
      </vt:variant>
      <vt:variant>
        <vt:lpwstr/>
      </vt:variant>
      <vt:variant>
        <vt:lpwstr>_Toc157692667</vt:lpwstr>
      </vt:variant>
      <vt:variant>
        <vt:i4>1048633</vt:i4>
      </vt:variant>
      <vt:variant>
        <vt:i4>137</vt:i4>
      </vt:variant>
      <vt:variant>
        <vt:i4>0</vt:i4>
      </vt:variant>
      <vt:variant>
        <vt:i4>5</vt:i4>
      </vt:variant>
      <vt:variant>
        <vt:lpwstr/>
      </vt:variant>
      <vt:variant>
        <vt:lpwstr>_Toc157692666</vt:lpwstr>
      </vt:variant>
      <vt:variant>
        <vt:i4>1048633</vt:i4>
      </vt:variant>
      <vt:variant>
        <vt:i4>131</vt:i4>
      </vt:variant>
      <vt:variant>
        <vt:i4>0</vt:i4>
      </vt:variant>
      <vt:variant>
        <vt:i4>5</vt:i4>
      </vt:variant>
      <vt:variant>
        <vt:lpwstr/>
      </vt:variant>
      <vt:variant>
        <vt:lpwstr>_Toc157692665</vt:lpwstr>
      </vt:variant>
      <vt:variant>
        <vt:i4>1048633</vt:i4>
      </vt:variant>
      <vt:variant>
        <vt:i4>125</vt:i4>
      </vt:variant>
      <vt:variant>
        <vt:i4>0</vt:i4>
      </vt:variant>
      <vt:variant>
        <vt:i4>5</vt:i4>
      </vt:variant>
      <vt:variant>
        <vt:lpwstr/>
      </vt:variant>
      <vt:variant>
        <vt:lpwstr>_Toc157692664</vt:lpwstr>
      </vt:variant>
      <vt:variant>
        <vt:i4>1048633</vt:i4>
      </vt:variant>
      <vt:variant>
        <vt:i4>119</vt:i4>
      </vt:variant>
      <vt:variant>
        <vt:i4>0</vt:i4>
      </vt:variant>
      <vt:variant>
        <vt:i4>5</vt:i4>
      </vt:variant>
      <vt:variant>
        <vt:lpwstr/>
      </vt:variant>
      <vt:variant>
        <vt:lpwstr>_Toc157692663</vt:lpwstr>
      </vt:variant>
      <vt:variant>
        <vt:i4>1048633</vt:i4>
      </vt:variant>
      <vt:variant>
        <vt:i4>113</vt:i4>
      </vt:variant>
      <vt:variant>
        <vt:i4>0</vt:i4>
      </vt:variant>
      <vt:variant>
        <vt:i4>5</vt:i4>
      </vt:variant>
      <vt:variant>
        <vt:lpwstr/>
      </vt:variant>
      <vt:variant>
        <vt:lpwstr>_Toc157692662</vt:lpwstr>
      </vt:variant>
      <vt:variant>
        <vt:i4>1048633</vt:i4>
      </vt:variant>
      <vt:variant>
        <vt:i4>107</vt:i4>
      </vt:variant>
      <vt:variant>
        <vt:i4>0</vt:i4>
      </vt:variant>
      <vt:variant>
        <vt:i4>5</vt:i4>
      </vt:variant>
      <vt:variant>
        <vt:lpwstr/>
      </vt:variant>
      <vt:variant>
        <vt:lpwstr>_Toc157692661</vt:lpwstr>
      </vt:variant>
      <vt:variant>
        <vt:i4>1048633</vt:i4>
      </vt:variant>
      <vt:variant>
        <vt:i4>101</vt:i4>
      </vt:variant>
      <vt:variant>
        <vt:i4>0</vt:i4>
      </vt:variant>
      <vt:variant>
        <vt:i4>5</vt:i4>
      </vt:variant>
      <vt:variant>
        <vt:lpwstr/>
      </vt:variant>
      <vt:variant>
        <vt:lpwstr>_Toc157692660</vt:lpwstr>
      </vt:variant>
      <vt:variant>
        <vt:i4>1245241</vt:i4>
      </vt:variant>
      <vt:variant>
        <vt:i4>95</vt:i4>
      </vt:variant>
      <vt:variant>
        <vt:i4>0</vt:i4>
      </vt:variant>
      <vt:variant>
        <vt:i4>5</vt:i4>
      </vt:variant>
      <vt:variant>
        <vt:lpwstr/>
      </vt:variant>
      <vt:variant>
        <vt:lpwstr>_Toc157692659</vt:lpwstr>
      </vt:variant>
      <vt:variant>
        <vt:i4>1245241</vt:i4>
      </vt:variant>
      <vt:variant>
        <vt:i4>89</vt:i4>
      </vt:variant>
      <vt:variant>
        <vt:i4>0</vt:i4>
      </vt:variant>
      <vt:variant>
        <vt:i4>5</vt:i4>
      </vt:variant>
      <vt:variant>
        <vt:lpwstr/>
      </vt:variant>
      <vt:variant>
        <vt:lpwstr>_Toc157692658</vt:lpwstr>
      </vt:variant>
      <vt:variant>
        <vt:i4>1245241</vt:i4>
      </vt:variant>
      <vt:variant>
        <vt:i4>83</vt:i4>
      </vt:variant>
      <vt:variant>
        <vt:i4>0</vt:i4>
      </vt:variant>
      <vt:variant>
        <vt:i4>5</vt:i4>
      </vt:variant>
      <vt:variant>
        <vt:lpwstr/>
      </vt:variant>
      <vt:variant>
        <vt:lpwstr>_Toc157692657</vt:lpwstr>
      </vt:variant>
      <vt:variant>
        <vt:i4>1245241</vt:i4>
      </vt:variant>
      <vt:variant>
        <vt:i4>77</vt:i4>
      </vt:variant>
      <vt:variant>
        <vt:i4>0</vt:i4>
      </vt:variant>
      <vt:variant>
        <vt:i4>5</vt:i4>
      </vt:variant>
      <vt:variant>
        <vt:lpwstr/>
      </vt:variant>
      <vt:variant>
        <vt:lpwstr>_Toc157692656</vt:lpwstr>
      </vt:variant>
      <vt:variant>
        <vt:i4>1245241</vt:i4>
      </vt:variant>
      <vt:variant>
        <vt:i4>71</vt:i4>
      </vt:variant>
      <vt:variant>
        <vt:i4>0</vt:i4>
      </vt:variant>
      <vt:variant>
        <vt:i4>5</vt:i4>
      </vt:variant>
      <vt:variant>
        <vt:lpwstr/>
      </vt:variant>
      <vt:variant>
        <vt:lpwstr>_Toc157692655</vt:lpwstr>
      </vt:variant>
      <vt:variant>
        <vt:i4>1245241</vt:i4>
      </vt:variant>
      <vt:variant>
        <vt:i4>65</vt:i4>
      </vt:variant>
      <vt:variant>
        <vt:i4>0</vt:i4>
      </vt:variant>
      <vt:variant>
        <vt:i4>5</vt:i4>
      </vt:variant>
      <vt:variant>
        <vt:lpwstr/>
      </vt:variant>
      <vt:variant>
        <vt:lpwstr>_Toc157692654</vt:lpwstr>
      </vt:variant>
      <vt:variant>
        <vt:i4>1245241</vt:i4>
      </vt:variant>
      <vt:variant>
        <vt:i4>59</vt:i4>
      </vt:variant>
      <vt:variant>
        <vt:i4>0</vt:i4>
      </vt:variant>
      <vt:variant>
        <vt:i4>5</vt:i4>
      </vt:variant>
      <vt:variant>
        <vt:lpwstr/>
      </vt:variant>
      <vt:variant>
        <vt:lpwstr>_Toc157692653</vt:lpwstr>
      </vt:variant>
      <vt:variant>
        <vt:i4>1245241</vt:i4>
      </vt:variant>
      <vt:variant>
        <vt:i4>53</vt:i4>
      </vt:variant>
      <vt:variant>
        <vt:i4>0</vt:i4>
      </vt:variant>
      <vt:variant>
        <vt:i4>5</vt:i4>
      </vt:variant>
      <vt:variant>
        <vt:lpwstr/>
      </vt:variant>
      <vt:variant>
        <vt:lpwstr>_Toc157692652</vt:lpwstr>
      </vt:variant>
      <vt:variant>
        <vt:i4>1245241</vt:i4>
      </vt:variant>
      <vt:variant>
        <vt:i4>47</vt:i4>
      </vt:variant>
      <vt:variant>
        <vt:i4>0</vt:i4>
      </vt:variant>
      <vt:variant>
        <vt:i4>5</vt:i4>
      </vt:variant>
      <vt:variant>
        <vt:lpwstr/>
      </vt:variant>
      <vt:variant>
        <vt:lpwstr>_Toc157692651</vt:lpwstr>
      </vt:variant>
      <vt:variant>
        <vt:i4>1245241</vt:i4>
      </vt:variant>
      <vt:variant>
        <vt:i4>41</vt:i4>
      </vt:variant>
      <vt:variant>
        <vt:i4>0</vt:i4>
      </vt:variant>
      <vt:variant>
        <vt:i4>5</vt:i4>
      </vt:variant>
      <vt:variant>
        <vt:lpwstr/>
      </vt:variant>
      <vt:variant>
        <vt:lpwstr>_Toc157692650</vt:lpwstr>
      </vt:variant>
      <vt:variant>
        <vt:i4>1179705</vt:i4>
      </vt:variant>
      <vt:variant>
        <vt:i4>35</vt:i4>
      </vt:variant>
      <vt:variant>
        <vt:i4>0</vt:i4>
      </vt:variant>
      <vt:variant>
        <vt:i4>5</vt:i4>
      </vt:variant>
      <vt:variant>
        <vt:lpwstr/>
      </vt:variant>
      <vt:variant>
        <vt:lpwstr>_Toc157692649</vt:lpwstr>
      </vt:variant>
      <vt:variant>
        <vt:i4>1179705</vt:i4>
      </vt:variant>
      <vt:variant>
        <vt:i4>29</vt:i4>
      </vt:variant>
      <vt:variant>
        <vt:i4>0</vt:i4>
      </vt:variant>
      <vt:variant>
        <vt:i4>5</vt:i4>
      </vt:variant>
      <vt:variant>
        <vt:lpwstr/>
      </vt:variant>
      <vt:variant>
        <vt:lpwstr>_Toc157692648</vt:lpwstr>
      </vt:variant>
      <vt:variant>
        <vt:i4>1179705</vt:i4>
      </vt:variant>
      <vt:variant>
        <vt:i4>23</vt:i4>
      </vt:variant>
      <vt:variant>
        <vt:i4>0</vt:i4>
      </vt:variant>
      <vt:variant>
        <vt:i4>5</vt:i4>
      </vt:variant>
      <vt:variant>
        <vt:lpwstr/>
      </vt:variant>
      <vt:variant>
        <vt:lpwstr>_Toc157692647</vt:lpwstr>
      </vt:variant>
      <vt:variant>
        <vt:i4>1179705</vt:i4>
      </vt:variant>
      <vt:variant>
        <vt:i4>17</vt:i4>
      </vt:variant>
      <vt:variant>
        <vt:i4>0</vt:i4>
      </vt:variant>
      <vt:variant>
        <vt:i4>5</vt:i4>
      </vt:variant>
      <vt:variant>
        <vt:lpwstr/>
      </vt:variant>
      <vt:variant>
        <vt:lpwstr>_Toc157692646</vt:lpwstr>
      </vt:variant>
      <vt:variant>
        <vt:i4>1179705</vt:i4>
      </vt:variant>
      <vt:variant>
        <vt:i4>11</vt:i4>
      </vt:variant>
      <vt:variant>
        <vt:i4>0</vt:i4>
      </vt:variant>
      <vt:variant>
        <vt:i4>5</vt:i4>
      </vt:variant>
      <vt:variant>
        <vt:lpwstr/>
      </vt:variant>
      <vt:variant>
        <vt:lpwstr>_Toc157692645</vt:lpwstr>
      </vt:variant>
      <vt:variant>
        <vt:i4>5505038</vt:i4>
      </vt:variant>
      <vt:variant>
        <vt:i4>12</vt:i4>
      </vt:variant>
      <vt:variant>
        <vt:i4>0</vt:i4>
      </vt:variant>
      <vt:variant>
        <vt:i4>5</vt:i4>
      </vt:variant>
      <vt:variant>
        <vt:lpwstr>https://www.imo.org/en/About/Events/Pages/URN-Workshop-2023.aspx</vt:lpwstr>
      </vt:variant>
      <vt:variant>
        <vt:lpwstr/>
      </vt:variant>
      <vt:variant>
        <vt:i4>4784200</vt:i4>
      </vt:variant>
      <vt:variant>
        <vt:i4>9</vt:i4>
      </vt:variant>
      <vt:variant>
        <vt:i4>0</vt:i4>
      </vt:variant>
      <vt:variant>
        <vt:i4>5</vt:i4>
      </vt:variant>
      <vt:variant>
        <vt:lpwstr>https://gisis.imo.org/Public/Default.aspx</vt:lpwstr>
      </vt:variant>
      <vt:variant>
        <vt:lpwstr/>
      </vt:variant>
      <vt:variant>
        <vt:i4>7667830</vt:i4>
      </vt:variant>
      <vt:variant>
        <vt:i4>6</vt:i4>
      </vt:variant>
      <vt:variant>
        <vt:i4>0</vt:i4>
      </vt:variant>
      <vt:variant>
        <vt:i4>5</vt:i4>
      </vt:variant>
      <vt:variant>
        <vt:lpwstr>https://ec.europa.eu/eurostat/statistics-explained/index.php?title=Glossary:Passenger-kilometre</vt:lpwstr>
      </vt:variant>
      <vt:variant>
        <vt:lpwstr/>
      </vt:variant>
      <vt:variant>
        <vt:i4>2818140</vt:i4>
      </vt:variant>
      <vt:variant>
        <vt:i4>3</vt:i4>
      </vt:variant>
      <vt:variant>
        <vt:i4>0</vt:i4>
      </vt:variant>
      <vt:variant>
        <vt:i4>5</vt:i4>
      </vt:variant>
      <vt:variant>
        <vt:lpwstr>https://ec.europa.eu/eurostat/statistics-explained/index.php?title=Glossary:Tonne-kilometre_(tkm</vt:lpwstr>
      </vt:variant>
      <vt:variant>
        <vt:lpwstr/>
      </vt:variant>
      <vt:variant>
        <vt:i4>5963794</vt:i4>
      </vt:variant>
      <vt:variant>
        <vt:i4>0</vt:i4>
      </vt:variant>
      <vt:variant>
        <vt:i4>0</vt:i4>
      </vt:variant>
      <vt:variant>
        <vt:i4>5</vt:i4>
      </vt:variant>
      <vt:variant>
        <vt:lpwstr>https://stecf.jrc.ec.europa.eu/index.html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Schmidt</dc:creator>
  <cp:keywords/>
  <dc:description/>
  <cp:lastModifiedBy>DJAVIDNIA Samy (EMSA)</cp:lastModifiedBy>
  <cp:revision>2</cp:revision>
  <cp:lastPrinted>2024-01-17T16:28:00Z</cp:lastPrinted>
  <dcterms:created xsi:type="dcterms:W3CDTF">2024-02-02T10:28:00Z</dcterms:created>
  <dcterms:modified xsi:type="dcterms:W3CDTF">2024-02-02T10:28:00Z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0x010100B53CE6BE95D6064492F18C22A3037F20</vt:lpwstr>
  </property>
  <property fmtid="{D5CDD505-2E9C-101B-9397-08002B2CF9AE}" pid="3" name="Order">
    <vt:r8>2900</vt:r8>
  </property>
  <property fmtid="{D5CDD505-2E9C-101B-9397-08002B2CF9AE}" pid="4" name="GrammarlyDocumentId">
    <vt:lpwstr>17ae8454a6344730552193cd86a1692c63386dc80541fa6aaff064e1aedbb4ee</vt:lpwstr>
  </property>
  <property fmtid="{D5CDD505-2E9C-101B-9397-08002B2CF9AE}" pid="5" name="ZOTERO_PREF_2">
    <vt:lpwstr>alAbbreviations" value="true"/&gt;&lt;pref name="delayCitationUpdates" value="true"/&gt;&lt;pref name="dontAskDelayCitationUpdates" value="true"/&gt;&lt;/prefs&gt;&lt;/data&gt;</vt:lpwstr>
  </property>
  <property fmtid="{D5CDD505-2E9C-101B-9397-08002B2CF9AE}" pid="6" name="MSIP_Label_6bd9ddd1-4d20-43f6-abfa-fc3c07406f94_Enabled">
    <vt:lpwstr>true</vt:lpwstr>
  </property>
  <property fmtid="{D5CDD505-2E9C-101B-9397-08002B2CF9AE}" pid="7" name="MSIP_Label_6bd9ddd1-4d20-43f6-abfa-fc3c07406f94_SetDate">
    <vt:lpwstr>2023-12-01T10:14:10Z</vt:lpwstr>
  </property>
  <property fmtid="{D5CDD505-2E9C-101B-9397-08002B2CF9AE}" pid="8" name="MSIP_Label_6bd9ddd1-4d20-43f6-abfa-fc3c07406f94_Method">
    <vt:lpwstr>Standard</vt:lpwstr>
  </property>
  <property fmtid="{D5CDD505-2E9C-101B-9397-08002B2CF9AE}" pid="9" name="MSIP_Label_6bd9ddd1-4d20-43f6-abfa-fc3c07406f94_Name">
    <vt:lpwstr>Commission Use</vt:lpwstr>
  </property>
  <property fmtid="{D5CDD505-2E9C-101B-9397-08002B2CF9AE}" pid="10" name="MSIP_Label_6bd9ddd1-4d20-43f6-abfa-fc3c07406f94_SiteId">
    <vt:lpwstr>b24c8b06-522c-46fe-9080-70926f8dddb1</vt:lpwstr>
  </property>
  <property fmtid="{D5CDD505-2E9C-101B-9397-08002B2CF9AE}" pid="11" name="MSIP_Label_6bd9ddd1-4d20-43f6-abfa-fc3c07406f94_ActionId">
    <vt:lpwstr>73f86296-7c17-4e5f-91f4-ed03110f5273</vt:lpwstr>
  </property>
  <property fmtid="{D5CDD505-2E9C-101B-9397-08002B2CF9AE}" pid="12" name="MSIP_Label_6bd9ddd1-4d20-43f6-abfa-fc3c07406f94_ContentBits">
    <vt:lpwstr>0</vt:lpwstr>
  </property>
  <property fmtid="{D5CDD505-2E9C-101B-9397-08002B2CF9AE}" pid="13" name="MediaServiceImageTags">
    <vt:lpwstr/>
  </property>
  <property fmtid="{D5CDD505-2E9C-101B-9397-08002B2CF9AE}" pid="14" name="ZOTERO_PREF_1">
    <vt:lpwstr>&lt;data data-version="3" zotero-version="6.0.26"&gt;&lt;session id="QVHv4zoz"/&gt;&lt;style id="http://www.zotero.org/styles/apa" locale="en-GB" hasBibliography="1" bibliographyStyleHasBeenSet="1"/&gt;&lt;prefs&gt;&lt;pref name="fieldType" value="Field"/&gt;&lt;pref name="automaticJourn</vt:lpwstr>
  </property>
</Properties>
</file>